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ДОГОВОР С ИНЖИНИРИНГОВОЙ КОМПАНИЕЙ — КЛЮЧЕВЫЕ УСЛОВИЯ</w:t>
      </w:r>
    </w:p>
    <w:p>
      <w:pPr>
        <w:spacing w:before="0" w:after="0" w:line="264" w:lineRule="auto"/>
      </w:pPr>
      <w:r>
        <w:rPr/>
        <w:t xml:space="preserve">(при долевом участии привлечение инжиниринговой компании обязательно; требования к ней — по законодательству о долевом участии)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Стороны: Застройщик [Застройщик]; Инжиниринговая компания [___], аккредитация № [___]</w:t>
      </w:r>
    </w:p>
    <w:p>
      <w:pPr>
        <w:spacing w:before="0" w:after="0" w:line="264" w:lineRule="auto"/>
      </w:pPr>
      <w:r>
        <w:rPr/>
        <w:t xml:space="preserve">Объект: ЖК «[Название ЖК]», [Адрес участка]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ПРЕДМЕТ</w:t>
      </w:r>
    </w:p>
    <w:p>
      <w:pPr>
        <w:spacing w:before="0" w:after="0" w:line="264" w:lineRule="auto"/>
      </w:pPr>
      <w:r>
        <w:rPr/>
        <w:t xml:space="preserve">— контроль целевого использования денег дольщиков</w:t>
      </w:r>
    </w:p>
    <w:p>
      <w:pPr>
        <w:spacing w:before="0" w:after="0" w:line="264" w:lineRule="auto"/>
      </w:pPr>
      <w:r>
        <w:rPr/>
        <w:t xml:space="preserve">— контроль качества и сроков строительства, соответствия ПСД</w:t>
      </w:r>
    </w:p>
    <w:p>
      <w:pPr>
        <w:spacing w:before="0" w:after="0" w:line="264" w:lineRule="auto"/>
      </w:pPr>
      <w:r>
        <w:rPr/>
        <w:t xml:space="preserve">— проверка актов выполненных работ перед оплатой со счёта дольщиков</w:t>
      </w:r>
    </w:p>
    <w:p>
      <w:pPr>
        <w:spacing w:before="0" w:after="0" w:line="264" w:lineRule="auto"/>
      </w:pPr>
      <w:r>
        <w:rPr/>
        <w:t xml:space="preserve">— ежемесячные отчёты застройщику, уполномоченной компании и МИО</w:t>
      </w:r>
    </w:p>
    <w:p>
      <w:pPr>
        <w:spacing w:before="0" w:after="0" w:line="264" w:lineRule="auto"/>
      </w:pPr>
      <w:r>
        <w:rPr/>
        <w:t xml:space="preserve">— участие в приёмке объекта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ПОРЯДОК РАБОТЫ</w:t>
      </w:r>
    </w:p>
    <w:p>
      <w:pPr>
        <w:spacing w:before="0" w:after="0" w:line="264" w:lineRule="auto"/>
      </w:pPr>
      <w:r>
        <w:rPr/>
        <w:t xml:space="preserve">— согласование платежей со счёта дольщиков: в течение [___] рабочих дней</w:t>
      </w:r>
    </w:p>
    <w:p>
      <w:pPr>
        <w:spacing w:before="0" w:after="0" w:line="264" w:lineRule="auto"/>
      </w:pPr>
      <w:r>
        <w:rPr/>
        <w:t xml:space="preserve">— выезды на объект: не реже [___] раз в месяц, фотофиксация</w:t>
      </w:r>
    </w:p>
    <w:p>
      <w:pPr>
        <w:spacing w:before="0" w:after="0" w:line="264" w:lineRule="auto"/>
      </w:pPr>
      <w:r>
        <w:rPr/>
        <w:t xml:space="preserve">— доступ к исполнительной документации и бухгалтерским данным по объекту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ЦЕНА: [___] тг ([___]% от стоимости строительства); оплата ежемесячно</w:t>
      </w:r>
    </w:p>
    <w:p>
      <w:pPr>
        <w:spacing w:before="0" w:after="0" w:line="264" w:lineRule="auto"/>
      </w:pPr>
      <w:r>
        <w:rPr/>
        <w:t xml:space="preserve">СРОК: до ввода объекта в эксплуатацию и передачи квартир</w:t>
      </w:r>
    </w:p>
    <w:p>
      <w:pPr>
        <w:spacing w:before="0" w:after="0" w:line="264" w:lineRule="auto"/>
      </w:pPr>
      <w:r>
        <w:rPr/>
        <w:t xml:space="preserve">ОТВЕТСТВЕННОСТЬ: за согласование нецелевых платежей; страхование ответственности</w:t>
      </w:r>
    </w:p>
    <w:p>
      <w:pPr>
        <w:spacing w:before="0" w:after="0" w:line="264" w:lineRule="auto"/>
      </w:pPr>
      <w:r>
        <w:rPr/>
        <w:t xml:space="preserve">НЕЗАВИСИМОСТЬ: компания не аффилирована с застройщиком и генподрядчиком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