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ИНЖИНИРИНГТІК КОМПАНИЯМЕН ШАРТ — НЕГІЗГІ ТАЛАПТАР</w:t>
      </w:r>
    </w:p>
    <w:p>
      <w:pPr>
        <w:spacing w:before="0" w:after="0" w:line="264" w:lineRule="auto"/>
      </w:pPr>
      <w:r>
        <w:rPr/>
        <w:t xml:space="preserve">(үлестік қатысу кезінде инжинирингтік компанияны тарту міндетті; оған қойылатын талаптар — үлестік қатысу туралы заңнама бойынша)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Тараптар: Құрылыс салушы [Құрылыс салушы]; Инжинирингтік компания [___], аккредиттеу № [___]</w:t>
      </w:r>
    </w:p>
    <w:p>
      <w:pPr>
        <w:spacing w:before="0" w:after="0" w:line="264" w:lineRule="auto"/>
      </w:pPr>
      <w:r>
        <w:rPr/>
        <w:t xml:space="preserve">Объект: «[ТҮК атауы]» ТҮК, [Учаске мекенжайы]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МӘНІ</w:t>
      </w:r>
    </w:p>
    <w:p>
      <w:pPr>
        <w:spacing w:before="0" w:after="0" w:line="264" w:lineRule="auto"/>
      </w:pPr>
      <w:r>
        <w:rPr/>
        <w:t xml:space="preserve">— үлескерлердің ақшасын мақсатты пайдалануды бақылау</w:t>
      </w:r>
    </w:p>
    <w:p>
      <w:pPr>
        <w:spacing w:before="0" w:after="0" w:line="264" w:lineRule="auto"/>
      </w:pPr>
      <w:r>
        <w:rPr/>
        <w:t xml:space="preserve">— құрылыс сапасы мен мерзімдерін, ЖСҚ-ға сәйкестігін бақылау</w:t>
      </w:r>
    </w:p>
    <w:p>
      <w:pPr>
        <w:spacing w:before="0" w:after="0" w:line="264" w:lineRule="auto"/>
      </w:pPr>
      <w:r>
        <w:rPr/>
        <w:t xml:space="preserve">— үлескерлердің шотынан төлем алдында орындалған жұмыстар актілерін тексеру</w:t>
      </w:r>
    </w:p>
    <w:p>
      <w:pPr>
        <w:spacing w:before="0" w:after="0" w:line="264" w:lineRule="auto"/>
      </w:pPr>
      <w:r>
        <w:rPr/>
        <w:t xml:space="preserve">— құрылыс салушыға, уәкілетті компанияға және ЖАО-ға ай сайынғы есептер</w:t>
      </w:r>
    </w:p>
    <w:p>
      <w:pPr>
        <w:spacing w:before="0" w:after="0" w:line="264" w:lineRule="auto"/>
      </w:pPr>
      <w:r>
        <w:rPr/>
        <w:t xml:space="preserve">— объектіні қабылдауға қатысу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ЖҰМЫС ТӘРТІБІ</w:t>
      </w:r>
    </w:p>
    <w:p>
      <w:pPr>
        <w:spacing w:before="0" w:after="0" w:line="264" w:lineRule="auto"/>
      </w:pPr>
      <w:r>
        <w:rPr/>
        <w:t xml:space="preserve">— үлескерлердің шотынан төлемдерді келісу: [___] жұмыс күні ішінде</w:t>
      </w:r>
    </w:p>
    <w:p>
      <w:pPr>
        <w:spacing w:before="0" w:after="0" w:line="264" w:lineRule="auto"/>
      </w:pPr>
      <w:r>
        <w:rPr/>
        <w:t xml:space="preserve">— объектіге шығу: айына кемінде [___] рет, фототіркеу</w:t>
      </w:r>
    </w:p>
    <w:p>
      <w:pPr>
        <w:spacing w:before="0" w:after="0" w:line="264" w:lineRule="auto"/>
      </w:pPr>
      <w:r>
        <w:rPr/>
        <w:t xml:space="preserve">— объект бойынша атқарушы құжаттамаға және бухгалтерлік деректерге қол жеткізу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БАҒАСЫ: [___] тг (құрылыс құнының [___]%); ай сайын төленеді</w:t>
      </w:r>
    </w:p>
    <w:p>
      <w:pPr>
        <w:spacing w:before="0" w:after="0" w:line="264" w:lineRule="auto"/>
      </w:pPr>
      <w:r>
        <w:rPr/>
        <w:t xml:space="preserve">МЕРЗІМІ: объектіні пайдалануға бергенге және пәтерлерді тапсырғанға дейін</w:t>
      </w:r>
    </w:p>
    <w:p>
      <w:pPr>
        <w:spacing w:before="0" w:after="0" w:line="264" w:lineRule="auto"/>
      </w:pPr>
      <w:r>
        <w:rPr/>
        <w:t xml:space="preserve">ЖАУАПКЕРШІЛІК: мақсатсыз төлемдерді келіскені үшін; жауапкершілікті сақтандыру</w:t>
      </w:r>
    </w:p>
    <w:p>
      <w:pPr>
        <w:spacing w:before="0" w:after="0" w:line="264" w:lineRule="auto"/>
      </w:pPr>
      <w:r>
        <w:rPr/>
        <w:t xml:space="preserve">ТӘУЕЛСІЗДІК: компания құрылыс салушымен және бас мердігермен үлестес емес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