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71.png" ContentType="image/png"/>
  <Override PartName="/word/media/rId278.png" ContentType="image/png"/>
  <Override PartName="/word/media/rId288.png" ContentType="image/png"/>
  <Override PartName="/word/media/rId329.png" ContentType="image/png"/>
  <Override PartName="/word/media/rId322.png" ContentType="image/png"/>
  <Override PartName="/word/media/rId317.png" ContentType="image/png"/>
  <Override PartName="/word/media/rId308.png" ContentType="image/png"/>
  <Override PartName="/word/media/rId365.png" ContentType="image/png"/>
  <Override PartName="/word/media/rId370.png" ContentType="image/png"/>
  <Override PartName="/word/media/rId342.png" ContentType="image/png"/>
  <Override PartName="/word/media/rId346.png" ContentType="image/png"/>
  <Override PartName="/word/media/rId352.png" ContentType="image/png"/>
  <Override PartName="/word/media/rId336.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strategy"/>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(95% CI: [-0.303, +0.333],</w:t>
      </w:r>
      <w:r>
        <w:t xml:space="preserve"> </w:t>
      </w:r>
      <w:r>
        <w:rPr>
          <w:i/>
          <w:iCs/>
        </w:rPr>
        <w:t xml:space="preserve">p</w:t>
      </w:r>
      <w:r>
        <w:t xml:space="preserve"> </w:t>
      </w:r>
      <w:r>
        <w:t xml:space="preserve">= 0.928) — close to zero and not statistically significant.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ala-longrun"/>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79"/>
        </w:tc>
      </w:tr>
    </w:tbl>
    <w:bookmarkEnd w:id="180"/>
    <w:bookmarkStart w:id="185"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84"/>
        </w:tc>
      </w:tr>
    </w:tbl>
    <w:bookmarkEnd w:id="185"/>
    <w:bookmarkStart w:id="193"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192"/>
        </w:tc>
      </w:tr>
    </w:tbl>
    <w:bookmarkEnd w:id="193"/>
    <w:bookmarkStart w:id="198"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02"/>
        </w:tc>
      </w:tr>
    </w:tbl>
    <w:bookmarkEnd w:id="203"/>
    <w:bookmarkEnd w:id="204"/>
    <w:bookmarkStart w:id="217" w:name="sec-synthesis"/>
    <w:p>
      <w:pPr>
        <w:pStyle w:val="Heading1"/>
      </w:pPr>
      <w:r>
        <w:t xml:space="preserve">25. Five-case synthesis</w:t>
      </w:r>
    </w:p>
    <w:bookmarkStart w:id="21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13"/>
        </w:tc>
      </w:tr>
    </w:tbl>
    <w:bookmarkEnd w:id="214"/>
    <w:bookmarkStart w:id="21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15"/>
    <w:bookmarkStart w:id="21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16"/>
    <w:bookmarkEnd w:id="217"/>
    <w:bookmarkStart w:id="218" w:name="discussion"/>
    <w:p>
      <w:pPr>
        <w:pStyle w:val="Heading1"/>
      </w:pPr>
      <w:r>
        <w:t xml:space="preserve">26.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19"/>
    <w:bookmarkStart w:id="223" w:name="sec-policy"/>
    <w:p>
      <w:pPr>
        <w:pStyle w:val="Heading1"/>
      </w:pPr>
      <w:r>
        <w:t xml:space="preserve">28. Policy implications</w:t>
      </w:r>
    </w:p>
    <w:bookmarkStart w:id="22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20"/>
    <w:bookmarkStart w:id="22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21"/>
    <w:bookmarkStart w:id="22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22"/>
    <w:bookmarkEnd w:id="223"/>
    <w:bookmarkStart w:id="22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2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24"/>
    <w:bookmarkStart w:id="22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26"/>
    <w:bookmarkEnd w:id="227"/>
    <w:bookmarkStart w:id="22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28"/>
    <w:bookmarkStart w:id="23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66" w:name="references-1"/>
    <w:p>
      <w:pPr>
        <w:pStyle w:val="Heading1"/>
      </w:pPr>
      <w:r>
        <w:t xml:space="preserve">References</w:t>
      </w:r>
    </w:p>
    <w:bookmarkStart w:id="265" w:name="refs"/>
    <w:bookmarkStart w:id="23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34">
        <w:r>
          <w:rPr>
            <w:rStyle w:val="Hyperlink"/>
          </w:rPr>
          <w:t xml:space="preserve">https://doi.org/10.1198/jasa.2009.ap08746</w:t>
        </w:r>
      </w:hyperlink>
      <w:r>
        <w:t xml:space="preserve">.</w:t>
      </w:r>
    </w:p>
    <w:bookmarkEnd w:id="235"/>
    <w:bookmarkStart w:id="236"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36"/>
    <w:bookmarkStart w:id="238"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37">
        <w:r>
          <w:rPr>
            <w:rStyle w:val="Hyperlink"/>
          </w:rPr>
          <w:t xml:space="preserve">https://doi.org/10.1073/pnas.0914177107</w:t>
        </w:r>
      </w:hyperlink>
      <w:r>
        <w:t xml:space="preserve">.</w:t>
      </w:r>
    </w:p>
    <w:bookmarkEnd w:id="238"/>
    <w:bookmarkStart w:id="239"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39"/>
    <w:bookmarkStart w:id="241"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40">
        <w:r>
          <w:rPr>
            <w:rStyle w:val="Hyperlink"/>
          </w:rPr>
          <w:t xml:space="preserve">https://doi.org/10.1257/aer.20190159</w:t>
        </w:r>
      </w:hyperlink>
      <w:r>
        <w:t xml:space="preserve">.</w:t>
      </w:r>
    </w:p>
    <w:bookmarkEnd w:id="241"/>
    <w:bookmarkStart w:id="242"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42"/>
    <w:bookmarkStart w:id="244"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43">
        <w:r>
          <w:rPr>
            <w:rStyle w:val="Hyperlink"/>
          </w:rPr>
          <w:t xml:space="preserve">https://doi.org/10.1016/j.jeconom.2020.12.001</w:t>
        </w:r>
      </w:hyperlink>
      <w:r>
        <w:t xml:space="preserve">.</w:t>
      </w:r>
    </w:p>
    <w:bookmarkEnd w:id="244"/>
    <w:bookmarkStart w:id="246"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45">
        <w:r>
          <w:rPr>
            <w:rStyle w:val="Hyperlink"/>
          </w:rPr>
          <w:t xml:space="preserve">https://doi.org/10.1162/rest.90.3.414</w:t>
        </w:r>
      </w:hyperlink>
      <w:r>
        <w:t xml:space="preserve">.</w:t>
      </w:r>
    </w:p>
    <w:bookmarkEnd w:id="246"/>
    <w:bookmarkStart w:id="247"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47"/>
    <w:bookmarkStart w:id="249"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48">
        <w:r>
          <w:rPr>
            <w:rStyle w:val="Hyperlink"/>
          </w:rPr>
          <w:t xml:space="preserve">https://doi.org/10.1016/j.jeem.2011.01.012</w:t>
        </w:r>
      </w:hyperlink>
      <w:r>
        <w:t xml:space="preserve">.</w:t>
      </w:r>
    </w:p>
    <w:bookmarkEnd w:id="249"/>
    <w:bookmarkStart w:id="250"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50"/>
    <w:bookmarkStart w:id="251"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51"/>
    <w:bookmarkStart w:id="253"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52">
        <w:r>
          <w:rPr>
            <w:rStyle w:val="Hyperlink"/>
          </w:rPr>
          <w:t xml:space="preserve">https://doi.org/10.1126/sciadv.aav3006</w:t>
        </w:r>
      </w:hyperlink>
      <w:r>
        <w:t xml:space="preserve">.</w:t>
      </w:r>
    </w:p>
    <w:bookmarkEnd w:id="253"/>
    <w:bookmarkStart w:id="255"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54">
        <w:r>
          <w:rPr>
            <w:rStyle w:val="Hyperlink"/>
          </w:rPr>
          <w:t xml:space="preserve">https://doi.org/10.1111/cobi.12568</w:t>
        </w:r>
      </w:hyperlink>
      <w:r>
        <w:t xml:space="preserve">.</w:t>
      </w:r>
    </w:p>
    <w:bookmarkEnd w:id="255"/>
    <w:bookmarkStart w:id="256"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56"/>
    <w:bookmarkStart w:id="258"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57">
        <w:r>
          <w:rPr>
            <w:rStyle w:val="Hyperlink"/>
          </w:rPr>
          <w:t xml:space="preserve">https://doi.org/10.1016/j.jeconom.2020.06.003</w:t>
        </w:r>
      </w:hyperlink>
      <w:r>
        <w:t xml:space="preserve">.</w:t>
      </w:r>
    </w:p>
    <w:bookmarkEnd w:id="258"/>
    <w:bookmarkStart w:id="260"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59">
        <w:r>
          <w:rPr>
            <w:rStyle w:val="Hyperlink"/>
          </w:rPr>
          <w:t xml:space="preserve">https://doi.org/10.1016/j.jeem.2009.10.003</w:t>
        </w:r>
      </w:hyperlink>
      <w:r>
        <w:t xml:space="preserve">.</w:t>
      </w:r>
    </w:p>
    <w:bookmarkEnd w:id="260"/>
    <w:bookmarkStart w:id="262"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61">
        <w:r>
          <w:rPr>
            <w:rStyle w:val="Hyperlink"/>
          </w:rPr>
          <w:t xml:space="preserve">https://doi.org/10.1016/j.jeconom.2020.09.006</w:t>
        </w:r>
      </w:hyperlink>
      <w:r>
        <w:t xml:space="preserve">.</w:t>
      </w:r>
    </w:p>
    <w:bookmarkEnd w:id="262"/>
    <w:bookmarkStart w:id="264"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63">
        <w:r>
          <w:rPr>
            <w:rStyle w:val="Hyperlink"/>
          </w:rPr>
          <w:t xml:space="preserve">https://doi.org/10.1017/pan.2016.2</w:t>
        </w:r>
      </w:hyperlink>
      <w:r>
        <w:t xml:space="preserve">.</w:t>
      </w:r>
    </w:p>
    <w:bookmarkEnd w:id="264"/>
    <w:bookmarkEnd w:id="265"/>
    <w:bookmarkEnd w:id="266"/>
    <w:bookmarkStart w:id="267"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67"/>
    <w:bookmarkStart w:id="277" w:name="sec-a-georef"/>
    <w:p>
      <w:pPr>
        <w:pStyle w:val="Heading1"/>
      </w:pPr>
      <w:r>
        <w:t xml:space="preserve">Appendix A — Georeferencing ROS localities</w:t>
      </w:r>
    </w:p>
    <w:bookmarkStart w:id="268"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68"/>
    <w:bookmarkStart w:id="269"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69"/>
    <w:bookmarkStart w:id="270"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70"/>
    <w:bookmarkStart w:id="275"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74" w:name="fig-map-georef"/>
          <w:p>
            <w:pPr>
              <w:pStyle w:val="Compact"/>
              <w:jc w:val="center"/>
            </w:pPr>
            <w:r>
              <w:drawing>
                <wp:inline>
                  <wp:extent cx="5334000" cy="6667500"/>
                  <wp:effectExtent b="0" l="0" r="0" t="0"/>
                  <wp:docPr descr="" title="" id="272" name="Picture"/>
                  <a:graphic>
                    <a:graphicData uri="http://schemas.openxmlformats.org/drawingml/2006/picture">
                      <pic:pic>
                        <pic:nvPicPr>
                          <pic:cNvPr descr="A1_data_pipeline_files/figure-docx/fig-map-georef-1.png" id="273" name="Picture"/>
                          <pic:cNvPicPr>
                            <a:picLocks noChangeArrowheads="1" noChangeAspect="1"/>
                          </pic:cNvPicPr>
                        </pic:nvPicPr>
                        <pic:blipFill>
                          <a:blip r:embed="rId27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74"/>
        </w:tc>
      </w:tr>
    </w:tbl>
    <w:bookmarkEnd w:id="275"/>
    <w:bookmarkStart w:id="276"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76"/>
    <w:bookmarkEnd w:id="277"/>
    <w:bookmarkStart w:id="296" w:name="sec-a-overlaps"/>
    <w:p>
      <w:pPr>
        <w:pStyle w:val="Heading1"/>
      </w:pPr>
      <w:r>
        <w:t xml:space="preserve">Appendix A — Protected-area overlap analysis</w:t>
      </w:r>
    </w:p>
    <w:bookmarkStart w:id="282"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81" w:name="fig-map-overlaps"/>
          <w:p>
            <w:pPr>
              <w:pStyle w:val="Compact"/>
              <w:jc w:val="center"/>
            </w:pPr>
            <w:r>
              <w:drawing>
                <wp:inline>
                  <wp:extent cx="5334000" cy="6667500"/>
                  <wp:effectExtent b="0" l="0" r="0" t="0"/>
                  <wp:docPr descr="" title="" id="279" name="Picture"/>
                  <a:graphic>
                    <a:graphicData uri="http://schemas.openxmlformats.org/drawingml/2006/picture">
                      <pic:pic>
                        <pic:nvPicPr>
                          <pic:cNvPr descr="A1_data_pipeline_files/figure-docx/fig-map-overlaps-1.png" id="280" name="Picture"/>
                          <pic:cNvPicPr>
                            <a:picLocks noChangeArrowheads="1" noChangeAspect="1"/>
                          </pic:cNvPicPr>
                        </pic:nvPicPr>
                        <pic:blipFill>
                          <a:blip r:embed="rId27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81"/>
        </w:tc>
      </w:tr>
    </w:tbl>
    <w:bookmarkEnd w:id="282"/>
    <w:bookmarkStart w:id="284"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83"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83"/>
        </w:tc>
      </w:tr>
    </w:tbl>
    <w:bookmarkEnd w:id="284"/>
    <w:bookmarkStart w:id="285"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85"/>
    <w:bookmarkStart w:id="292" w:name="decree-date-revision"/>
    <w:p>
      <w:pPr>
        <w:pStyle w:val="Heading2"/>
      </w:pPr>
      <w:r>
        <w:t xml:space="preserve">A.4 Decree date revision</w:t>
      </w:r>
    </w:p>
    <w:p>
      <w:pPr>
        <w:pStyle w:val="FirstParagraph"/>
      </w:pPr>
      <w:r>
        <w:t xml:space="preserve">Official creation years were cross-checked against the Madagascar legal database (</w:t>
      </w:r>
      <w:hyperlink r:id="rId286">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87"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87"/>
          <w:p/>
        </w:tc>
      </w:tr>
    </w:tbl>
    <w:tbl>
      <w:tblPr>
        <w:tblStyle w:val="Table"/>
        <w:tblW w:type="pct" w:w="5000"/>
        <w:tblLayout w:type="fixed"/>
        <w:tblLook w:firstRow="0" w:lastRow="0" w:firstColumn="0" w:lastColumn="0" w:noHBand="0" w:noVBand="0" w:val="0000"/>
      </w:tblPr>
      <w:tblGrid>
        <w:gridCol w:w="7920"/>
      </w:tblGrid>
      <w:tr>
        <w:tc>
          <w:tcPr/>
          <w:bookmarkStart w:id="291" w:name="fig-timeline"/>
          <w:p>
            <w:pPr>
              <w:pStyle w:val="Compact"/>
              <w:jc w:val="center"/>
            </w:pPr>
            <w:r>
              <w:drawing>
                <wp:inline>
                  <wp:extent cx="5334000" cy="3733800"/>
                  <wp:effectExtent b="0" l="0" r="0" t="0"/>
                  <wp:docPr descr="" title="" id="289" name="Picture"/>
                  <a:graphic>
                    <a:graphicData uri="http://schemas.openxmlformats.org/drawingml/2006/picture">
                      <pic:pic>
                        <pic:nvPicPr>
                          <pic:cNvPr descr="A1_data_pipeline_files/figure-docx/fig-timeline-1.png" id="290" name="Picture"/>
                          <pic:cNvPicPr>
                            <a:picLocks noChangeArrowheads="1" noChangeAspect="1"/>
                          </pic:cNvPicPr>
                        </pic:nvPicPr>
                        <pic:blipFill>
                          <a:blip r:embed="rId28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91"/>
        </w:tc>
      </w:tr>
    </w:tbl>
    <w:bookmarkEnd w:id="292"/>
    <w:bookmarkStart w:id="295"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Program Files\Quarto\share\formats\docx\note.png" id="29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95"/>
    <w:bookmarkEnd w:id="296"/>
    <w:bookmarkStart w:id="305" w:name="sec-a-variables"/>
    <w:p>
      <w:pPr>
        <w:pStyle w:val="Heading1"/>
      </w:pPr>
      <w:r>
        <w:t xml:space="preserve">Appendix A — Variable construction</w:t>
      </w:r>
    </w:p>
    <w:bookmarkStart w:id="297"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97"/>
    <w:bookmarkStart w:id="298"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98"/>
    <w:bookmarkStart w:id="299"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99"/>
    <w:bookmarkStart w:id="300"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300"/>
    <w:bookmarkStart w:id="301"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301"/>
    <w:bookmarkStart w:id="303"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302"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302"/>
        </w:tc>
      </w:tr>
    </w:tbl>
    <w:bookmarkEnd w:id="303"/>
    <w:bookmarkStart w:id="304"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304"/>
    <w:bookmarkEnd w:id="305"/>
    <w:bookmarkStart w:id="306"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306"/>
    <w:bookmarkStart w:id="307"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307"/>
    <w:bookmarkStart w:id="312"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11" w:name="fig-wdpa-timeline"/>
          <w:p>
            <w:pPr>
              <w:pStyle w:val="Compact"/>
              <w:jc w:val="center"/>
            </w:pPr>
            <w:r>
              <w:drawing>
                <wp:inline>
                  <wp:extent cx="5334000" cy="3394363"/>
                  <wp:effectExtent b="0" l="0" r="0" t="0"/>
                  <wp:docPr descr="" title="" id="309" name="Picture"/>
                  <a:graphic>
                    <a:graphicData uri="http://schemas.openxmlformats.org/drawingml/2006/picture">
                      <pic:pic>
                        <pic:nvPicPr>
                          <pic:cNvPr descr="A2_donor_validity_files/figure-docx/fig-wdpa-timeline-1.png" id="310" name="Picture"/>
                          <pic:cNvPicPr>
                            <a:picLocks noChangeArrowheads="1" noChangeAspect="1"/>
                          </pic:cNvPicPr>
                        </pic:nvPicPr>
                        <pic:blipFill>
                          <a:blip r:embed="rId308"/>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11"/>
        </w:tc>
      </w:tr>
    </w:tbl>
    <w:bookmarkEnd w:id="312"/>
    <w:bookmarkStart w:id="315" w:name="sec-b-proximity"/>
    <w:p>
      <w:pPr>
        <w:pStyle w:val="Heading1"/>
      </w:pPr>
      <w:r>
        <w:t xml:space="preserve">Appendix B — Proximity analysis</w:t>
      </w:r>
    </w:p>
    <w:bookmarkStart w:id="314"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13"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13"/>
        </w:tc>
      </w:tr>
    </w:tbl>
    <w:bookmarkEnd w:id="314"/>
    <w:bookmarkEnd w:id="315"/>
    <w:bookmarkStart w:id="327" w:name="sec-b-results"/>
    <w:p>
      <w:pPr>
        <w:pStyle w:val="Heading1"/>
      </w:pPr>
      <w:r>
        <w:t xml:space="preserve">Appendix B — Results</w:t>
      </w:r>
    </w:p>
    <w:bookmarkStart w:id="321"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16"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16"/>
        </w:tc>
      </w:tr>
    </w:tbl>
    <w:tbl>
      <w:tblPr>
        <w:tblStyle w:val="Table"/>
        <w:tblW w:type="pct" w:w="5000"/>
        <w:tblLayout w:type="fixed"/>
        <w:tblLook w:firstRow="0" w:lastRow="0" w:firstColumn="0" w:lastColumn="0" w:noHBand="0" w:noVBand="0" w:val="0000"/>
      </w:tblPr>
      <w:tblGrid>
        <w:gridCol w:w="7920"/>
      </w:tblGrid>
      <w:tr>
        <w:tc>
          <w:tcPr/>
          <w:bookmarkStart w:id="320" w:name="fig-map-exposure"/>
          <w:p>
            <w:pPr>
              <w:pStyle w:val="Compact"/>
              <w:jc w:val="center"/>
            </w:pPr>
            <w:r>
              <w:drawing>
                <wp:inline>
                  <wp:extent cx="5334000" cy="6667500"/>
                  <wp:effectExtent b="0" l="0" r="0" t="0"/>
                  <wp:docPr descr="" title="" id="318" name="Picture"/>
                  <a:graphic>
                    <a:graphicData uri="http://schemas.openxmlformats.org/drawingml/2006/picture">
                      <pic:pic>
                        <pic:nvPicPr>
                          <pic:cNvPr descr="A2_donor_validity_files/figure-docx/fig-map-exposure-1.png" id="319" name="Picture"/>
                          <pic:cNvPicPr>
                            <a:picLocks noChangeArrowheads="1" noChangeAspect="1"/>
                          </pic:cNvPicPr>
                        </pic:nvPicPr>
                        <pic:blipFill>
                          <a:blip r:embed="rId31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20"/>
        </w:tc>
      </w:tr>
    </w:tbl>
    <w:bookmarkEnd w:id="321"/>
    <w:bookmarkStart w:id="326"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25" w:name="fig-exposure-detail"/>
          <w:p>
            <w:pPr>
              <w:pStyle w:val="Compact"/>
              <w:jc w:val="center"/>
            </w:pPr>
            <w:r>
              <w:drawing>
                <wp:inline>
                  <wp:extent cx="5334000" cy="2909454"/>
                  <wp:effectExtent b="0" l="0" r="0" t="0"/>
                  <wp:docPr descr="" title="" id="323" name="Picture"/>
                  <a:graphic>
                    <a:graphicData uri="http://schemas.openxmlformats.org/drawingml/2006/picture">
                      <pic:pic>
                        <pic:nvPicPr>
                          <pic:cNvPr descr="A2_donor_validity_files/figure-docx/fig-exposure-detail-1.png" id="324" name="Picture"/>
                          <pic:cNvPicPr>
                            <a:picLocks noChangeArrowheads="1" noChangeAspect="1"/>
                          </pic:cNvPicPr>
                        </pic:nvPicPr>
                        <pic:blipFill>
                          <a:blip r:embed="rId32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25"/>
        </w:tc>
      </w:tr>
    </w:tbl>
    <w:bookmarkEnd w:id="326"/>
    <w:bookmarkEnd w:id="327"/>
    <w:bookmarkStart w:id="334" w:name="sec-b-implications"/>
    <w:p>
      <w:pPr>
        <w:pStyle w:val="Heading1"/>
      </w:pPr>
      <w:r>
        <w:t xml:space="preserve">Appendix B — Implications</w:t>
      </w:r>
    </w:p>
    <w:bookmarkStart w:id="328"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28"/>
    <w:bookmarkStart w:id="333"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32" w:name="fig-clean-donors"/>
          <w:p>
            <w:pPr>
              <w:pStyle w:val="Compact"/>
              <w:jc w:val="center"/>
            </w:pPr>
            <w:r>
              <w:drawing>
                <wp:inline>
                  <wp:extent cx="5334000" cy="5334000"/>
                  <wp:effectExtent b="0" l="0" r="0" t="0"/>
                  <wp:docPr descr="" title="" id="330" name="Picture"/>
                  <a:graphic>
                    <a:graphicData uri="http://schemas.openxmlformats.org/drawingml/2006/picture">
                      <pic:pic>
                        <pic:nvPicPr>
                          <pic:cNvPr descr="A2_donor_validity_files/figure-docx/fig-clean-donors-1.pn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32"/>
        </w:tc>
      </w:tr>
    </w:tbl>
    <w:bookmarkEnd w:id="333"/>
    <w:bookmarkEnd w:id="334"/>
    <w:bookmarkStart w:id="335"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35"/>
    <w:bookmarkStart w:id="340"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39" w:name="fig-unadj-att"/>
          <w:p>
            <w:pPr>
              <w:pStyle w:val="Compact"/>
              <w:jc w:val="center"/>
            </w:pPr>
            <w:r>
              <w:drawing>
                <wp:inline>
                  <wp:extent cx="5334000" cy="2222500"/>
                  <wp:effectExtent b="0" l="0" r="0" t="0"/>
                  <wp:docPr descr="" title="" id="337" name="Picture"/>
                  <a:graphic>
                    <a:graphicData uri="http://schemas.openxmlformats.org/drawingml/2006/picture">
                      <pic:pic>
                        <pic:nvPicPr>
                          <pic:cNvPr descr="A3_robustness_files/figure-docx/fig-unadj-att-1.png" id="338" name="Picture"/>
                          <pic:cNvPicPr>
                            <a:picLocks noChangeArrowheads="1" noChangeAspect="1"/>
                          </pic:cNvPicPr>
                        </pic:nvPicPr>
                        <pic:blipFill>
                          <a:blip r:embed="rId33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39"/>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40"/>
    <w:bookmarkStart w:id="350"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41"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levels-att"/>
          <w:p>
            <w:pPr>
              <w:pStyle w:val="Compact"/>
              <w:jc w:val="center"/>
            </w:pPr>
            <w:r>
              <w:drawing>
                <wp:inline>
                  <wp:extent cx="5334000" cy="2222500"/>
                  <wp:effectExtent b="0" l="0" r="0" t="0"/>
                  <wp:docPr descr="" title="" id="343" name="Picture"/>
                  <a:graphic>
                    <a:graphicData uri="http://schemas.openxmlformats.org/drawingml/2006/picture">
                      <pic:pic>
                        <pic:nvPicPr>
                          <pic:cNvPr descr="A3_robustness_files/figure-docx/fig-levels-att-1.png" id="344" name="Picture"/>
                          <pic:cNvPicPr>
                            <a:picLocks noChangeArrowheads="1" noChangeAspect="1"/>
                          </pic:cNvPicPr>
                        </pic:nvPicPr>
                        <pic:blipFill>
                          <a:blip r:embed="rId342"/>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45"/>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49" w:name="fig-pretreat-fit"/>
          <w:p>
            <w:pPr>
              <w:pStyle w:val="Compact"/>
              <w:jc w:val="center"/>
            </w:pPr>
            <w:r>
              <w:drawing>
                <wp:inline>
                  <wp:extent cx="5334000" cy="2222500"/>
                  <wp:effectExtent b="0" l="0" r="0" t="0"/>
                  <wp:docPr descr="" title="" id="347" name="Picture"/>
                  <a:graphic>
                    <a:graphicData uri="http://schemas.openxmlformats.org/drawingml/2006/picture">
                      <pic:pic>
                        <pic:nvPicPr>
                          <pic:cNvPr descr="A3_robustness_files/figure-docx/fig-pretreat-fit-1.png" id="348" name="Picture"/>
                          <pic:cNvPicPr>
                            <a:picLocks noChangeArrowheads="1" noChangeAspect="1"/>
                          </pic:cNvPicPr>
                        </pic:nvPicPr>
                        <pic:blipFill>
                          <a:blip r:embed="rId34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49"/>
        </w:tc>
      </w:tr>
    </w:tbl>
    <w:bookmarkEnd w:id="350"/>
    <w:bookmarkStart w:id="363"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58"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51"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sdid-maro"/>
          <w:p>
            <w:pPr>
              <w:pStyle w:val="Compact"/>
              <w:jc w:val="center"/>
            </w:pPr>
            <w:r>
              <w:drawing>
                <wp:inline>
                  <wp:extent cx="5334000" cy="3333750"/>
                  <wp:effectExtent b="0" l="0" r="0" t="0"/>
                  <wp:docPr descr="" title="" id="353" name="Picture"/>
                  <a:graphic>
                    <a:graphicData uri="http://schemas.openxmlformats.org/drawingml/2006/picture">
                      <pic:pic>
                        <pic:nvPicPr>
                          <pic:cNvPr descr="A3_robustness_files/figure-docx/fig-sdid-maro-1.png" id="354" name="Picture"/>
                          <pic:cNvPicPr>
                            <a:picLocks noChangeArrowheads="1" noChangeAspect="1"/>
                          </pic:cNvPicPr>
                        </pic:nvPicPr>
                        <pic:blipFill>
                          <a:blip r:embed="rId3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Program Files\Quarto\share\formats\docx\note.png" id="3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58"/>
    <w:bookmarkStart w:id="362"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59"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C:\Program Files\Quarto\share\formats\docx\warning.png" id="361"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62"/>
    <w:bookmarkEnd w:id="363"/>
    <w:bookmarkStart w:id="379"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64"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64"/>
    <w:bookmarkStart w:id="369"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68" w:name="fig-cs-attgt"/>
          <w:p>
            <w:pPr>
              <w:pStyle w:val="Compact"/>
              <w:jc w:val="center"/>
            </w:pPr>
            <w:r>
              <w:drawing>
                <wp:inline>
                  <wp:extent cx="5334000" cy="3200400"/>
                  <wp:effectExtent b="0" l="0" r="0" t="0"/>
                  <wp:docPr descr="" title="" id="366" name="Picture"/>
                  <a:graphic>
                    <a:graphicData uri="http://schemas.openxmlformats.org/drawingml/2006/picture">
                      <pic:pic>
                        <pic:nvPicPr>
                          <pic:cNvPr descr="A3_robustness_files/figure-docx/fig-cs-attgt-1.png" id="367" name="Picture"/>
                          <pic:cNvPicPr>
                            <a:picLocks noChangeArrowheads="1" noChangeAspect="1"/>
                          </pic:cNvPicPr>
                        </pic:nvPicPr>
                        <pic:blipFill>
                          <a:blip r:embed="rId3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68"/>
        </w:tc>
      </w:tr>
    </w:tbl>
    <w:bookmarkEnd w:id="369"/>
    <w:bookmarkStart w:id="374"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73" w:name="fig-cs-dyn"/>
          <w:p>
            <w:pPr>
              <w:pStyle w:val="Compact"/>
              <w:jc w:val="center"/>
            </w:pPr>
            <w:r>
              <w:drawing>
                <wp:inline>
                  <wp:extent cx="5334000" cy="2963333"/>
                  <wp:effectExtent b="0" l="0" r="0" t="0"/>
                  <wp:docPr descr="" title="" id="371" name="Picture"/>
                  <a:graphic>
                    <a:graphicData uri="http://schemas.openxmlformats.org/drawingml/2006/picture">
                      <pic:pic>
                        <pic:nvPicPr>
                          <pic:cNvPr descr="A3_robustness_files/figure-docx/fig-cs-dyn-1.png" id="372" name="Picture"/>
                          <pic:cNvPicPr>
                            <a:picLocks noChangeArrowheads="1" noChangeAspect="1"/>
                          </pic:cNvPicPr>
                        </pic:nvPicPr>
                        <pic:blipFill>
                          <a:blip r:embed="rId3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73"/>
        </w:tc>
      </w:tr>
    </w:tbl>
    <w:bookmarkEnd w:id="374"/>
    <w:bookmarkStart w:id="378"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75"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75"/>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C:\Program Files\Quarto\share\formats\docx\note.png" id="3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78"/>
    <w:bookmarkEnd w:id="379"/>
    <w:bookmarkStart w:id="381"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80"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80"/>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81"/>
    <w:bookmarkStart w:id="382"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82"/>
    <w:bookmarkStart w:id="388" w:name="sec-d-gsynth"/>
    <w:p>
      <w:pPr>
        <w:pStyle w:val="Heading1"/>
      </w:pPr>
      <w:r>
        <w:t xml:space="preserve">Appendix D — Generalised synthetic control</w:t>
      </w:r>
    </w:p>
    <w:bookmarkStart w:id="383"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83"/>
    <w:bookmarkStart w:id="384"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84"/>
    <w:bookmarkStart w:id="385"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85"/>
    <w:bookmarkStart w:id="386"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86"/>
    <w:bookmarkStart w:id="387"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87"/>
    <w:bookmarkEnd w:id="388"/>
    <w:bookmarkStart w:id="393" w:name="sec-d-csdid"/>
    <w:p>
      <w:pPr>
        <w:pStyle w:val="Heading1"/>
      </w:pPr>
      <w:r>
        <w:t xml:space="preserve">Appendix D — Callaway–Sant’Anna staggered DiD</w:t>
      </w:r>
    </w:p>
    <w:bookmarkStart w:id="389"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89"/>
    <w:bookmarkStart w:id="390"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90"/>
    <w:bookmarkStart w:id="391"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91"/>
    <w:bookmarkStart w:id="392"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92"/>
    <w:bookmarkEnd w:id="393"/>
    <w:bookmarkStart w:id="397" w:name="sec-d-sdid"/>
    <w:p>
      <w:pPr>
        <w:pStyle w:val="Heading1"/>
      </w:pPr>
      <w:r>
        <w:t xml:space="preserve">Appendix D — Synthetic Difference-in-Differences</w:t>
      </w:r>
    </w:p>
    <w:bookmarkStart w:id="394"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94"/>
    <w:bookmarkStart w:id="395"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95"/>
    <w:bookmarkStart w:id="396"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96"/>
    <w:bookmarkEnd w:id="397"/>
    <w:bookmarkStart w:id="400" w:name="sec-d-inference"/>
    <w:p>
      <w:pPr>
        <w:pStyle w:val="Heading1"/>
      </w:pPr>
      <w:r>
        <w:t xml:space="preserve">Appendix D — Inference with few clusters</w:t>
      </w:r>
    </w:p>
    <w:bookmarkStart w:id="398"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98"/>
    <w:bookmarkStart w:id="399"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99"/>
    <w:bookmarkEnd w:id="400"/>
    <w:bookmarkStart w:id="401" w:name="references-2"/>
    <w:p>
      <w:pPr>
        <w:pStyle w:val="Heading1"/>
      </w:pPr>
      <w:r>
        <w:t xml:space="preserve">References</w:t>
      </w:r>
    </w:p>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71" Target="media/rId271.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29" Target="media/rId329.png" /><Relationship Type="http://schemas.openxmlformats.org/officeDocument/2006/relationships/image" Id="rId322" Target="media/rId322.png" /><Relationship Type="http://schemas.openxmlformats.org/officeDocument/2006/relationships/image" Id="rId317" Target="media/rId317.png" /><Relationship Type="http://schemas.openxmlformats.org/officeDocument/2006/relationships/image" Id="rId308" Target="media/rId308.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2026-04-28T06:37:06Z</dcterms:created>
  <dcterms:modified xsi:type="dcterms:W3CDTF">2026-04-28T06:37:06Z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en">
    <vt:lpwstr>true</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of contents</vt:lpwstr>
  </property>
</Properties>
</file>