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strategy"/>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(95% CI: [-0.303, +0.333],</w:t>
      </w:r>
      <w:r>
        <w:t xml:space="preserve"> </w:t>
      </w:r>
      <w:r>
        <w:rPr>
          <w:i/>
          <w:iCs/>
        </w:rPr>
        <w:t xml:space="preserve">p</w:t>
      </w:r>
      <w:r>
        <w:t xml:space="preserve"> </w:t>
      </w:r>
      <w:r>
        <w:t xml:space="preserve">= 0.928) — close to zero and not statistically significant.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ala-longrun"/>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2026-04-28T06:35:00Z</dcterms:created>
  <dcterms:modified xsi:type="dcterms:W3CDTF">2026-04-28T06:35:00Z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Long-Run Analysis of Rural Observatory Surveys (1995–2025)</vt:lpwstr>
  </property>
  <property fmtid="{D5CDD505-2E9C-101B-9397-08002B2CF9AE}" pid="19" name="template-partials">
    <vt:lpwstr/>
  </property>
  <property fmtid="{D5CDD505-2E9C-101B-9397-08002B2CF9AE}" pid="20" name="toc-title">
    <vt:lpwstr>Table of contents</vt:lpwstr>
  </property>
</Properties>
</file>