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F4B6CF" w14:textId="7696AE19" w:rsidR="0022758E" w:rsidRPr="009836B3" w:rsidRDefault="0022758E" w:rsidP="009836B3">
      <w:pPr>
        <w:jc w:val="center"/>
        <w:rPr>
          <w:b/>
          <w:bCs/>
          <w:lang w:val="en-US"/>
        </w:rPr>
      </w:pPr>
      <w:r w:rsidRPr="009836B3">
        <w:rPr>
          <w:b/>
          <w:bCs/>
          <w:lang w:val="en-US"/>
        </w:rPr>
        <w:t>Protected Areas and Rural Livelihoods: Long-Run Causal Evidence from Madagascar's Rural Observatories</w:t>
      </w:r>
    </w:p>
    <w:p w14:paraId="0DA1DEE2" w14:textId="77777777" w:rsidR="0022758E" w:rsidRPr="0022758E" w:rsidRDefault="0022758E" w:rsidP="0022758E">
      <w:pPr>
        <w:rPr>
          <w:lang w:val="en-US"/>
        </w:rPr>
      </w:pPr>
    </w:p>
    <w:p w14:paraId="29160A27" w14:textId="012B3A0F" w:rsidR="0022758E" w:rsidRPr="0022758E" w:rsidRDefault="0022758E" w:rsidP="0022758E">
      <w:pPr>
        <w:rPr>
          <w:lang w:val="en-US"/>
        </w:rPr>
      </w:pPr>
      <w:r w:rsidRPr="009836B3">
        <w:rPr>
          <w:b/>
          <w:bCs/>
          <w:lang w:val="en-US"/>
        </w:rPr>
        <w:t>Research question</w:t>
      </w:r>
      <w:r w:rsidRPr="0022758E">
        <w:rPr>
          <w:lang w:val="en-US"/>
        </w:rPr>
        <w:t xml:space="preserve">. What is the long-run causal effect of stringent nature conservation on the incomes of surrounding rural households? We study the impact of the extension of </w:t>
      </w:r>
      <w:proofErr w:type="spellStart"/>
      <w:r w:rsidRPr="0022758E">
        <w:rPr>
          <w:lang w:val="en-US"/>
        </w:rPr>
        <w:t>Ankarafantsika</w:t>
      </w:r>
      <w:proofErr w:type="spellEnd"/>
      <w:r w:rsidRPr="0022758E">
        <w:rPr>
          <w:lang w:val="en-US"/>
        </w:rPr>
        <w:t xml:space="preserve"> </w:t>
      </w:r>
      <w:r w:rsidR="009836B3">
        <w:rPr>
          <w:lang w:val="en-US"/>
        </w:rPr>
        <w:t>–</w:t>
      </w:r>
      <w:r w:rsidRPr="0022758E">
        <w:rPr>
          <w:lang w:val="en-US"/>
        </w:rPr>
        <w:t xml:space="preserve"> a 600 km² natural reserve expanded into a 1,300 km² national park</w:t>
      </w:r>
      <w:r w:rsidR="0056041E">
        <w:rPr>
          <w:lang w:val="en-US"/>
        </w:rPr>
        <w:t xml:space="preserve"> in 2002</w:t>
      </w:r>
      <w:r w:rsidRPr="0022758E">
        <w:rPr>
          <w:lang w:val="en-US"/>
        </w:rPr>
        <w:t xml:space="preserve"> </w:t>
      </w:r>
      <w:r w:rsidR="009836B3">
        <w:rPr>
          <w:lang w:val="en-US"/>
        </w:rPr>
        <w:t>–</w:t>
      </w:r>
      <w:r w:rsidRPr="0022758E">
        <w:rPr>
          <w:lang w:val="en-US"/>
        </w:rPr>
        <w:t xml:space="preserve"> on villages that thereby became immediate </w:t>
      </w:r>
      <w:proofErr w:type="spellStart"/>
      <w:r w:rsidRPr="0022758E">
        <w:rPr>
          <w:lang w:val="en-US"/>
        </w:rPr>
        <w:t>neighbours</w:t>
      </w:r>
      <w:proofErr w:type="spellEnd"/>
      <w:r w:rsidRPr="0022758E">
        <w:rPr>
          <w:lang w:val="en-US"/>
        </w:rPr>
        <w:t xml:space="preserve"> of a strictly enforced protected area, facing binding restrictions on agriculture, grazing, and forest product extraction. Although a large literature estimates short-run welfare impacts of protected areas using matching or cross-sectional methods, quasi-experimental evidence over horizons exceeding a decade remains scarce </w:t>
      </w:r>
      <w:r w:rsidR="009836B3">
        <w:rPr>
          <w:lang w:val="en-US"/>
        </w:rPr>
        <w:t xml:space="preserve">– </w:t>
      </w:r>
      <w:proofErr w:type="spellStart"/>
      <w:r w:rsidRPr="0022758E">
        <w:rPr>
          <w:lang w:val="en-US"/>
        </w:rPr>
        <w:t>a</w:t>
      </w:r>
      <w:proofErr w:type="spellEnd"/>
      <w:r w:rsidRPr="0022758E">
        <w:rPr>
          <w:lang w:val="en-US"/>
        </w:rPr>
        <w:t xml:space="preserve"> gap that echoes Elisabeth </w:t>
      </w:r>
      <w:proofErr w:type="spellStart"/>
      <w:r w:rsidRPr="0022758E">
        <w:rPr>
          <w:lang w:val="en-US"/>
        </w:rPr>
        <w:t>Sadoulet's</w:t>
      </w:r>
      <w:proofErr w:type="spellEnd"/>
      <w:r w:rsidRPr="0022758E">
        <w:rPr>
          <w:lang w:val="en-US"/>
        </w:rPr>
        <w:t xml:space="preserve"> emphasis on grounding analysis in long-run rural dynamics.</w:t>
      </w:r>
    </w:p>
    <w:p w14:paraId="3280FE98" w14:textId="77777777" w:rsidR="0022758E" w:rsidRPr="0022758E" w:rsidRDefault="0022758E" w:rsidP="0022758E">
      <w:pPr>
        <w:rPr>
          <w:lang w:val="en-US"/>
        </w:rPr>
      </w:pPr>
      <w:r w:rsidRPr="009836B3">
        <w:rPr>
          <w:b/>
          <w:bCs/>
          <w:lang w:val="en-US"/>
        </w:rPr>
        <w:t>Hypotheses.</w:t>
      </w:r>
      <w:r w:rsidRPr="0022758E">
        <w:rPr>
          <w:lang w:val="en-US"/>
        </w:rPr>
        <w:t xml:space="preserve"> We test whether the park reduced household income in adjacent communities and whether the effect persists or attenuates over two decades. Specifically, we examine (</w:t>
      </w:r>
      <w:proofErr w:type="spellStart"/>
      <w:r w:rsidRPr="0022758E">
        <w:rPr>
          <w:lang w:val="en-US"/>
        </w:rPr>
        <w:t>i</w:t>
      </w:r>
      <w:proofErr w:type="spellEnd"/>
      <w:r w:rsidRPr="0022758E">
        <w:rPr>
          <w:lang w:val="en-US"/>
        </w:rPr>
        <w:t>) total income, (ii) agricultural versus non-agricultural income channels, and (iii) heterogeneity between communities directly bordering the park and those slightly further away.</w:t>
      </w:r>
    </w:p>
    <w:p w14:paraId="224A2370" w14:textId="388DE21B" w:rsidR="0022758E" w:rsidRPr="0022758E" w:rsidRDefault="0022758E" w:rsidP="0022758E">
      <w:pPr>
        <w:rPr>
          <w:lang w:val="en-US"/>
        </w:rPr>
      </w:pPr>
      <w:r w:rsidRPr="009836B3">
        <w:rPr>
          <w:b/>
          <w:bCs/>
          <w:lang w:val="en-US"/>
        </w:rPr>
        <w:t>Data.</w:t>
      </w:r>
      <w:r w:rsidRPr="0022758E">
        <w:rPr>
          <w:lang w:val="en-US"/>
        </w:rPr>
        <w:t xml:space="preserve"> Our identification relies on a unique data infrastructure: the </w:t>
      </w:r>
      <w:proofErr w:type="spellStart"/>
      <w:r w:rsidRPr="0022758E">
        <w:rPr>
          <w:lang w:val="en-US"/>
        </w:rPr>
        <w:t>Réseau</w:t>
      </w:r>
      <w:proofErr w:type="spellEnd"/>
      <w:r w:rsidRPr="0022758E">
        <w:rPr>
          <w:lang w:val="en-US"/>
        </w:rPr>
        <w:t xml:space="preserve"> des </w:t>
      </w:r>
      <w:proofErr w:type="spellStart"/>
      <w:r w:rsidRPr="0022758E">
        <w:rPr>
          <w:lang w:val="en-US"/>
        </w:rPr>
        <w:t>Observatoires</w:t>
      </w:r>
      <w:proofErr w:type="spellEnd"/>
      <w:r w:rsidRPr="0022758E">
        <w:rPr>
          <w:lang w:val="en-US"/>
        </w:rPr>
        <w:t xml:space="preserve"> </w:t>
      </w:r>
      <w:proofErr w:type="spellStart"/>
      <w:r w:rsidRPr="0022758E">
        <w:rPr>
          <w:lang w:val="en-US"/>
        </w:rPr>
        <w:t>Ruraux</w:t>
      </w:r>
      <w:proofErr w:type="spellEnd"/>
      <w:r w:rsidRPr="0022758E">
        <w:rPr>
          <w:lang w:val="en-US"/>
        </w:rPr>
        <w:t xml:space="preserve"> (ROR), a network of rural household panel surveys operated across Madagascar from 1995 to 2014. The ROR tracked roughly 500 households per year in each of up to 26 observatories spanning diverse </w:t>
      </w:r>
      <w:proofErr w:type="spellStart"/>
      <w:r w:rsidRPr="0022758E">
        <w:rPr>
          <w:lang w:val="en-US"/>
        </w:rPr>
        <w:t>agro</w:t>
      </w:r>
      <w:proofErr w:type="spellEnd"/>
      <w:r w:rsidRPr="0022758E">
        <w:rPr>
          <w:lang w:val="en-US"/>
        </w:rPr>
        <w:t xml:space="preserve">-ecological zones, using a standardized questionnaire covering demographics, agriculture, income, and assets </w:t>
      </w:r>
      <w:r w:rsidR="009836B3">
        <w:rPr>
          <w:lang w:val="en-US"/>
        </w:rPr>
        <w:t>–</w:t>
      </w:r>
      <w:r w:rsidRPr="0022758E">
        <w:rPr>
          <w:lang w:val="en-US"/>
        </w:rPr>
        <w:t xml:space="preserve"> though </w:t>
      </w:r>
      <w:r>
        <w:rPr>
          <w:lang w:val="en-US"/>
        </w:rPr>
        <w:t>some of these</w:t>
      </w:r>
      <w:r w:rsidRPr="0022758E">
        <w:rPr>
          <w:lang w:val="en-US"/>
        </w:rPr>
        <w:t xml:space="preserve"> observatories were not surveyed consistently enough for</w:t>
      </w:r>
      <w:r>
        <w:rPr>
          <w:lang w:val="en-US"/>
        </w:rPr>
        <w:t xml:space="preserve"> our</w:t>
      </w:r>
      <w:r w:rsidRPr="0022758E">
        <w:rPr>
          <w:lang w:val="en-US"/>
        </w:rPr>
        <w:t xml:space="preserve"> panel analysis. For the </w:t>
      </w:r>
      <w:proofErr w:type="spellStart"/>
      <w:r w:rsidRPr="0022758E">
        <w:rPr>
          <w:lang w:val="en-US"/>
        </w:rPr>
        <w:t>Marovoay</w:t>
      </w:r>
      <w:proofErr w:type="spellEnd"/>
      <w:r w:rsidRPr="0022758E">
        <w:rPr>
          <w:lang w:val="en-US"/>
        </w:rPr>
        <w:t xml:space="preserve"> observatory adjacent to </w:t>
      </w:r>
      <w:proofErr w:type="spellStart"/>
      <w:r w:rsidRPr="0022758E">
        <w:rPr>
          <w:lang w:val="en-US"/>
        </w:rPr>
        <w:t>Ankarafantsika</w:t>
      </w:r>
      <w:proofErr w:type="spellEnd"/>
      <w:r w:rsidRPr="0022758E">
        <w:rPr>
          <w:lang w:val="en-US"/>
        </w:rPr>
        <w:t>, two survey sites directly border the park</w:t>
      </w:r>
      <w:r>
        <w:rPr>
          <w:lang w:val="en-US"/>
        </w:rPr>
        <w:t xml:space="preserve"> after its extension</w:t>
      </w:r>
      <w:r w:rsidRPr="0022758E">
        <w:rPr>
          <w:lang w:val="en-US"/>
        </w:rPr>
        <w:t xml:space="preserve"> while two nearby sites </w:t>
      </w:r>
      <w:r>
        <w:rPr>
          <w:lang w:val="en-US"/>
        </w:rPr>
        <w:t>stand across a large river, inducing an important accessibility discontinuity</w:t>
      </w:r>
      <w:r w:rsidRPr="0022758E">
        <w:rPr>
          <w:lang w:val="en-US"/>
        </w:rPr>
        <w:t xml:space="preserve">. Crucially, ten additional observatories </w:t>
      </w:r>
      <w:r w:rsidR="009836B3">
        <w:rPr>
          <w:lang w:val="en-US"/>
        </w:rPr>
        <w:t>–</w:t>
      </w:r>
      <w:r w:rsidRPr="0022758E">
        <w:rPr>
          <w:lang w:val="en-US"/>
        </w:rPr>
        <w:t xml:space="preserve"> representing 74 </w:t>
      </w:r>
      <w:r>
        <w:rPr>
          <w:lang w:val="en-US"/>
        </w:rPr>
        <w:t>villages</w:t>
      </w:r>
      <w:r w:rsidRPr="0022758E">
        <w:rPr>
          <w:lang w:val="en-US"/>
        </w:rPr>
        <w:t xml:space="preserve"> sites with no exposure to </w:t>
      </w:r>
      <w:r w:rsidR="0056041E">
        <w:rPr>
          <w:lang w:val="en-US"/>
        </w:rPr>
        <w:t>nature conservation</w:t>
      </w:r>
      <w:r w:rsidRPr="0022758E">
        <w:rPr>
          <w:lang w:val="en-US"/>
        </w:rPr>
        <w:t xml:space="preserve"> </w:t>
      </w:r>
      <w:r w:rsidR="009836B3">
        <w:rPr>
          <w:lang w:val="en-US"/>
        </w:rPr>
        <w:t>–</w:t>
      </w:r>
      <w:r w:rsidRPr="0022758E">
        <w:rPr>
          <w:lang w:val="en-US"/>
        </w:rPr>
        <w:t xml:space="preserve"> provide a large donor pool for synthetic control methods. In 2025, we conducted resurveys in the </w:t>
      </w:r>
      <w:proofErr w:type="spellStart"/>
      <w:r w:rsidRPr="0022758E">
        <w:rPr>
          <w:lang w:val="en-US"/>
        </w:rPr>
        <w:t>Marovoay</w:t>
      </w:r>
      <w:proofErr w:type="spellEnd"/>
      <w:r w:rsidRPr="0022758E">
        <w:rPr>
          <w:lang w:val="en-US"/>
        </w:rPr>
        <w:t xml:space="preserve"> and Lac </w:t>
      </w:r>
      <w:proofErr w:type="spellStart"/>
      <w:r w:rsidRPr="0022758E">
        <w:rPr>
          <w:lang w:val="en-US"/>
        </w:rPr>
        <w:t>Alaotra</w:t>
      </w:r>
      <w:proofErr w:type="spellEnd"/>
      <w:r w:rsidRPr="0022758E">
        <w:rPr>
          <w:lang w:val="en-US"/>
        </w:rPr>
        <w:t xml:space="preserve"> observatories, enabling comparisons over a 22-year horizon. Furthermore, we have identified at least two intermediate survey rounds conducted after the ROR's main operational period (2017 in </w:t>
      </w:r>
      <w:proofErr w:type="spellStart"/>
      <w:r w:rsidRPr="0022758E">
        <w:rPr>
          <w:lang w:val="en-US"/>
        </w:rPr>
        <w:t>Marovoay</w:t>
      </w:r>
      <w:proofErr w:type="spellEnd"/>
      <w:r w:rsidRPr="0022758E">
        <w:rPr>
          <w:lang w:val="en-US"/>
        </w:rPr>
        <w:t xml:space="preserve"> and </w:t>
      </w:r>
      <w:proofErr w:type="spellStart"/>
      <w:r w:rsidRPr="0022758E">
        <w:rPr>
          <w:lang w:val="en-US"/>
        </w:rPr>
        <w:t>Antsirabe</w:t>
      </w:r>
      <w:proofErr w:type="spellEnd"/>
      <w:r w:rsidRPr="0022758E">
        <w:rPr>
          <w:lang w:val="en-US"/>
        </w:rPr>
        <w:t xml:space="preserve">; 2019 in </w:t>
      </w:r>
      <w:proofErr w:type="spellStart"/>
      <w:r w:rsidRPr="0022758E">
        <w:rPr>
          <w:lang w:val="en-US"/>
        </w:rPr>
        <w:t>Marovoay</w:t>
      </w:r>
      <w:proofErr w:type="spellEnd"/>
      <w:r w:rsidRPr="0022758E">
        <w:rPr>
          <w:lang w:val="en-US"/>
        </w:rPr>
        <w:t xml:space="preserve">, </w:t>
      </w:r>
      <w:proofErr w:type="spellStart"/>
      <w:r w:rsidRPr="0022758E">
        <w:rPr>
          <w:lang w:val="en-US"/>
        </w:rPr>
        <w:t>Alaotra</w:t>
      </w:r>
      <w:proofErr w:type="spellEnd"/>
      <w:r w:rsidRPr="0022758E">
        <w:rPr>
          <w:lang w:val="en-US"/>
        </w:rPr>
        <w:t xml:space="preserve">, and </w:t>
      </w:r>
      <w:proofErr w:type="spellStart"/>
      <w:r w:rsidRPr="0022758E">
        <w:rPr>
          <w:lang w:val="en-US"/>
        </w:rPr>
        <w:t>Androy</w:t>
      </w:r>
      <w:proofErr w:type="spellEnd"/>
      <w:r w:rsidRPr="0022758E">
        <w:rPr>
          <w:lang w:val="en-US"/>
        </w:rPr>
        <w:t xml:space="preserve">), whose data we are in the process of obtaining to strengthen the time-series dimension. A second wave is planned for </w:t>
      </w:r>
      <w:r>
        <w:rPr>
          <w:lang w:val="en-US"/>
        </w:rPr>
        <w:t>October</w:t>
      </w:r>
      <w:r w:rsidRPr="0022758E">
        <w:rPr>
          <w:lang w:val="en-US"/>
        </w:rPr>
        <w:t xml:space="preserve"> 2026 in </w:t>
      </w:r>
      <w:proofErr w:type="spellStart"/>
      <w:r w:rsidRPr="0022758E">
        <w:rPr>
          <w:lang w:val="en-US"/>
        </w:rPr>
        <w:t>Marovoay</w:t>
      </w:r>
      <w:proofErr w:type="spellEnd"/>
      <w:r w:rsidRPr="0022758E">
        <w:rPr>
          <w:lang w:val="en-US"/>
        </w:rPr>
        <w:t xml:space="preserve"> and </w:t>
      </w:r>
      <w:proofErr w:type="spellStart"/>
      <w:r w:rsidRPr="0022758E">
        <w:rPr>
          <w:lang w:val="en-US"/>
        </w:rPr>
        <w:t>Alaotra</w:t>
      </w:r>
      <w:proofErr w:type="spellEnd"/>
      <w:r w:rsidRPr="0022758E">
        <w:rPr>
          <w:lang w:val="en-US"/>
        </w:rPr>
        <w:t>, together with the reactivation of a third observatory dormant since 2014, selected to maximize the number of control clusters and thus the power of permutation-based inference.</w:t>
      </w:r>
    </w:p>
    <w:p w14:paraId="708B3AC4" w14:textId="75562AF0" w:rsidR="0022758E" w:rsidRPr="0022758E" w:rsidRDefault="0022758E" w:rsidP="0022758E">
      <w:pPr>
        <w:rPr>
          <w:lang w:val="en-US"/>
        </w:rPr>
      </w:pPr>
      <w:r w:rsidRPr="009836B3">
        <w:rPr>
          <w:b/>
          <w:bCs/>
          <w:lang w:val="en-US"/>
        </w:rPr>
        <w:t>Empirical strategy.</w:t>
      </w:r>
      <w:r w:rsidRPr="0022758E">
        <w:rPr>
          <w:lang w:val="en-US"/>
        </w:rPr>
        <w:t xml:space="preserve"> We combine two complementary identification approaches. First, for the medium run (1999</w:t>
      </w:r>
      <w:r>
        <w:rPr>
          <w:lang w:val="en-US"/>
        </w:rPr>
        <w:t>-</w:t>
      </w:r>
      <w:r w:rsidRPr="0022758E">
        <w:rPr>
          <w:lang w:val="en-US"/>
        </w:rPr>
        <w:t xml:space="preserve">2014), we employ the generalized synthetic control method </w:t>
      </w:r>
      <w:r>
        <w:rPr>
          <w:lang w:val="en-US"/>
        </w:rPr>
        <w:t xml:space="preserve">(Xu </w:t>
      </w:r>
      <w:r w:rsidRPr="0022758E">
        <w:rPr>
          <w:lang w:val="en-US"/>
        </w:rPr>
        <w:t>2017</w:t>
      </w:r>
      <w:r>
        <w:rPr>
          <w:lang w:val="en-US"/>
        </w:rPr>
        <w:t>,</w:t>
      </w:r>
      <w:r w:rsidR="009836B3">
        <w:rPr>
          <w:lang w:val="en-US"/>
        </w:rPr>
        <w:t xml:space="preserve"> </w:t>
      </w:r>
      <w:r w:rsidR="009836B3">
        <w:rPr>
          <w:lang w:val="en-US"/>
        </w:rPr>
        <w:t>Athey et al. 2021</w:t>
      </w:r>
      <w:r w:rsidR="009836B3">
        <w:rPr>
          <w:lang w:val="en-US"/>
        </w:rPr>
        <w:t>,</w:t>
      </w:r>
      <w:r>
        <w:rPr>
          <w:lang w:val="en-US"/>
        </w:rPr>
        <w:t xml:space="preserve"> </w:t>
      </w:r>
      <w:proofErr w:type="spellStart"/>
      <w:r>
        <w:rPr>
          <w:lang w:val="en-US"/>
        </w:rPr>
        <w:t>Chernozukov</w:t>
      </w:r>
      <w:proofErr w:type="spellEnd"/>
      <w:r w:rsidR="009836B3">
        <w:rPr>
          <w:lang w:val="en-US"/>
        </w:rPr>
        <w:t xml:space="preserve"> et al.</w:t>
      </w:r>
      <w:r>
        <w:rPr>
          <w:lang w:val="en-US"/>
        </w:rPr>
        <w:t xml:space="preserve"> 2021</w:t>
      </w:r>
      <w:r w:rsidRPr="0022758E">
        <w:rPr>
          <w:lang w:val="en-US"/>
        </w:rPr>
        <w:t>), which estimates an interactive fixed-effects model using the 74 untreated sites as donors to construct counterfactual income paths for the treated sites. Cross-validation selects the number of latent factors, and inference is based on parametric bootstrap. A systematic leave-one-out exercise excluding each donor site confirms that no individual site drives the result. Second, for the long run (pre-treatment 1999</w:t>
      </w:r>
      <w:r>
        <w:rPr>
          <w:lang w:val="en-US"/>
        </w:rPr>
        <w:t>-</w:t>
      </w:r>
      <w:r w:rsidRPr="0022758E">
        <w:rPr>
          <w:lang w:val="en-US"/>
        </w:rPr>
        <w:t xml:space="preserve">2002 versus 2025 and eventually 2026), we estimate a repeated cross-section difference-in-differences with site and period fixed effects. Given the small number of treated clusters </w:t>
      </w:r>
      <w:r w:rsidR="009836B3">
        <w:rPr>
          <w:lang w:val="en-US"/>
        </w:rPr>
        <w:t>–</w:t>
      </w:r>
      <w:r w:rsidRPr="0022758E">
        <w:rPr>
          <w:lang w:val="en-US"/>
        </w:rPr>
        <w:t xml:space="preserve"> </w:t>
      </w:r>
      <w:r w:rsidR="0056041E">
        <w:rPr>
          <w:lang w:val="en-US"/>
        </w:rPr>
        <w:t>our</w:t>
      </w:r>
      <w:r w:rsidRPr="0022758E">
        <w:rPr>
          <w:lang w:val="en-US"/>
        </w:rPr>
        <w:t xml:space="preserve"> central inference challenge </w:t>
      </w:r>
      <w:r w:rsidR="009836B3">
        <w:rPr>
          <w:lang w:val="en-US"/>
        </w:rPr>
        <w:t>–</w:t>
      </w:r>
      <w:r w:rsidRPr="0022758E">
        <w:rPr>
          <w:lang w:val="en-US"/>
        </w:rPr>
        <w:t xml:space="preserve"> we pursue three complementary strategies: exact permutation inference over all possible treatment assignments (Conley and Taber, 2011); wild cluster bootstrap (Cameron</w:t>
      </w:r>
      <w:r w:rsidR="0056041E">
        <w:rPr>
          <w:lang w:val="en-US"/>
        </w:rPr>
        <w:t xml:space="preserve"> et al.</w:t>
      </w:r>
      <w:r w:rsidRPr="0022758E">
        <w:rPr>
          <w:lang w:val="en-US"/>
        </w:rPr>
        <w:t xml:space="preserve"> 2008); and the expansion of the control group through the additional observatory resurveys. With the current configuration of 7 sites (4 </w:t>
      </w:r>
      <w:proofErr w:type="spellStart"/>
      <w:r w:rsidRPr="0022758E">
        <w:rPr>
          <w:lang w:val="en-US"/>
        </w:rPr>
        <w:t>Marovoay</w:t>
      </w:r>
      <w:proofErr w:type="spellEnd"/>
      <w:r w:rsidRPr="0022758E">
        <w:rPr>
          <w:lang w:val="en-US"/>
        </w:rPr>
        <w:t xml:space="preserve"> + 3 </w:t>
      </w:r>
      <w:proofErr w:type="spellStart"/>
      <w:r w:rsidRPr="0022758E">
        <w:rPr>
          <w:lang w:val="en-US"/>
        </w:rPr>
        <w:t>Alaotra</w:t>
      </w:r>
      <w:proofErr w:type="spellEnd"/>
      <w:r w:rsidRPr="0022758E">
        <w:rPr>
          <w:lang w:val="en-US"/>
        </w:rPr>
        <w:t>), the finest achievable permutation p-value is 1/21 ≈ 0.048. The reactivation of a third observatory with up to 10 sites would bring the total to 17 clusters and 136 permutations, decisively improving power.</w:t>
      </w:r>
    </w:p>
    <w:p w14:paraId="304799E8" w14:textId="634574EA" w:rsidR="0022758E" w:rsidRPr="0022758E" w:rsidRDefault="0022758E" w:rsidP="0022758E">
      <w:pPr>
        <w:rPr>
          <w:lang w:val="en-US"/>
        </w:rPr>
      </w:pPr>
      <w:r w:rsidRPr="009836B3">
        <w:rPr>
          <w:b/>
          <w:bCs/>
          <w:lang w:val="en-US"/>
        </w:rPr>
        <w:lastRenderedPageBreak/>
        <w:t>Preliminary assessment.</w:t>
      </w:r>
      <w:r w:rsidRPr="0022758E">
        <w:rPr>
          <w:lang w:val="en-US"/>
        </w:rPr>
        <w:t xml:space="preserve"> While we do not report point estimates at this stage, preliminary analysis of the 2025 resurvey round combined with the historical ROR panel indicates consistent negative effects of the park on household income across both identification strategies, with point estimates that are economically meaningful. The g</w:t>
      </w:r>
      <w:r>
        <w:rPr>
          <w:lang w:val="en-US"/>
        </w:rPr>
        <w:t>eneralized synthetic control</w:t>
      </w:r>
      <w:r w:rsidRPr="0022758E">
        <w:rPr>
          <w:lang w:val="en-US"/>
        </w:rPr>
        <w:t xml:space="preserve"> counterfactual passes standard pre-treatment placebo checks, and the leave-one-out analysis across 74 donor exclusions yields a remarkably narrow distribution of ATT estimates. The long-run </w:t>
      </w:r>
      <w:proofErr w:type="spellStart"/>
      <w:r w:rsidRPr="0022758E">
        <w:rPr>
          <w:lang w:val="en-US"/>
        </w:rPr>
        <w:t>DiD</w:t>
      </w:r>
      <w:proofErr w:type="spellEnd"/>
      <w:r w:rsidRPr="0022758E">
        <w:rPr>
          <w:lang w:val="en-US"/>
        </w:rPr>
        <w:t xml:space="preserve"> signs are consistent with the medium-run synthetic control findings, and the magnitude suggests that effects may deepen rather than attenuate over time.</w:t>
      </w:r>
    </w:p>
    <w:p w14:paraId="78C3CA65" w14:textId="05BA38F2" w:rsidR="0022758E" w:rsidRPr="0022758E" w:rsidRDefault="0022758E" w:rsidP="0022758E">
      <w:pPr>
        <w:rPr>
          <w:lang w:val="en-US"/>
        </w:rPr>
      </w:pPr>
      <w:r w:rsidRPr="009836B3">
        <w:rPr>
          <w:b/>
          <w:bCs/>
          <w:lang w:val="en-US"/>
        </w:rPr>
        <w:t>Contribution to</w:t>
      </w:r>
      <w:r w:rsidRPr="009836B3">
        <w:rPr>
          <w:b/>
          <w:bCs/>
          <w:lang w:val="en-US"/>
        </w:rPr>
        <w:t xml:space="preserve"> literature and</w:t>
      </w:r>
      <w:r w:rsidRPr="009836B3">
        <w:rPr>
          <w:b/>
          <w:bCs/>
          <w:lang w:val="en-US"/>
        </w:rPr>
        <w:t xml:space="preserve"> policy.</w:t>
      </w:r>
      <w:r w:rsidRPr="0022758E">
        <w:rPr>
          <w:lang w:val="en-US"/>
        </w:rPr>
        <w:t xml:space="preserve"> </w:t>
      </w:r>
      <w:r w:rsidR="009836B3">
        <w:rPr>
          <w:lang w:val="en-US"/>
        </w:rPr>
        <w:t>With the current extent of protected areas, population</w:t>
      </w:r>
      <w:r w:rsidR="00610E02">
        <w:rPr>
          <w:lang w:val="en-US"/>
        </w:rPr>
        <w:t xml:space="preserve"> living at less than 10km of a PA</w:t>
      </w:r>
      <w:r w:rsidR="009836B3">
        <w:rPr>
          <w:lang w:val="en-US"/>
        </w:rPr>
        <w:t xml:space="preserve"> already represent about 36% of the developing countries population</w:t>
      </w:r>
      <w:r w:rsidR="00610E02">
        <w:rPr>
          <w:lang w:val="en-US"/>
        </w:rPr>
        <w:t xml:space="preserve"> (</w:t>
      </w:r>
      <w:proofErr w:type="spellStart"/>
      <w:r w:rsidR="00610E02">
        <w:rPr>
          <w:lang w:val="en-US"/>
        </w:rPr>
        <w:t>Bédécarrats</w:t>
      </w:r>
      <w:proofErr w:type="spellEnd"/>
      <w:r w:rsidR="00610E02">
        <w:rPr>
          <w:lang w:val="en-US"/>
        </w:rPr>
        <w:t xml:space="preserve"> 2026)</w:t>
      </w:r>
      <w:r w:rsidR="009836B3">
        <w:rPr>
          <w:lang w:val="en-US"/>
        </w:rPr>
        <w:t>, and this share is poised to become a majority, as</w:t>
      </w:r>
      <w:r w:rsidRPr="0022758E">
        <w:rPr>
          <w:lang w:val="en-US"/>
        </w:rPr>
        <w:t xml:space="preserve"> countries commit</w:t>
      </w:r>
      <w:r w:rsidR="009836B3">
        <w:rPr>
          <w:lang w:val="en-US"/>
        </w:rPr>
        <w:t>ted</w:t>
      </w:r>
      <w:r w:rsidRPr="0022758E">
        <w:rPr>
          <w:lang w:val="en-US"/>
        </w:rPr>
        <w:t xml:space="preserve"> to protecting 30% of land and sea areas by 2030 under the Kunming-Montreal Global Biodiversity Framework</w:t>
      </w:r>
      <w:r w:rsidR="009836B3">
        <w:rPr>
          <w:lang w:val="en-US"/>
        </w:rPr>
        <w:t xml:space="preserve">. </w:t>
      </w:r>
      <w:r w:rsidR="00610E02">
        <w:rPr>
          <w:lang w:val="en-US"/>
        </w:rPr>
        <w:t xml:space="preserve">As </w:t>
      </w:r>
      <w:r>
        <w:rPr>
          <w:lang w:val="en-US"/>
        </w:rPr>
        <w:t xml:space="preserve">protected areas become </w:t>
      </w:r>
      <w:r w:rsidR="00610E02">
        <w:rPr>
          <w:lang w:val="en-US"/>
        </w:rPr>
        <w:t xml:space="preserve">a dominant regime to organize rural areas, </w:t>
      </w:r>
      <w:r w:rsidRPr="0022758E">
        <w:rPr>
          <w:lang w:val="en-US"/>
        </w:rPr>
        <w:t xml:space="preserve">rigorous evidence on the costs borne by adjacent communities is essential for designing adequate compensation mechanisms </w:t>
      </w:r>
      <w:r w:rsidR="009836B3">
        <w:rPr>
          <w:lang w:val="en-US"/>
        </w:rPr>
        <w:t>–</w:t>
      </w:r>
      <w:r w:rsidRPr="0022758E">
        <w:rPr>
          <w:lang w:val="en-US"/>
        </w:rPr>
        <w:t xml:space="preserve"> direct payments, alternative livelihood programs, or benefit-sharing from ecotourism. The study also advances the methodological frontier of causal inference with few treated clusters, demonstrating how synthetic control methods and permutation-based inference can be combined with strategic data collection (resurveys, panel reactivation) to achieve adequate power in settings where randomization is inadequate and treated units are inherently few.</w:t>
      </w:r>
    </w:p>
    <w:sectPr w:rsidR="0022758E" w:rsidRPr="0022758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08276F"/>
    <w:multiLevelType w:val="multilevel"/>
    <w:tmpl w:val="0B480FFE"/>
    <w:lvl w:ilvl="0">
      <w:start w:val="5"/>
      <w:numFmt w:val="decimal"/>
      <w:pStyle w:val="Titre1"/>
      <w:lvlText w:val="%1."/>
      <w:lvlJc w:val="left"/>
      <w:pPr>
        <w:ind w:left="720" w:hanging="360"/>
      </w:pPr>
      <w:rPr>
        <w:rFonts w:hint="default"/>
      </w:rPr>
    </w:lvl>
    <w:lvl w:ilvl="1">
      <w:start w:val="1"/>
      <w:numFmt w:val="decimal"/>
      <w:pStyle w:val="Titre2"/>
      <w:isLgl/>
      <w:lvlText w:val="%1.%2."/>
      <w:lvlJc w:val="left"/>
      <w:pPr>
        <w:ind w:left="1080" w:hanging="360"/>
      </w:pPr>
      <w:rPr>
        <w:rFonts w:hint="default"/>
        <w:color w:val="000091"/>
      </w:rPr>
    </w:lvl>
    <w:lvl w:ilvl="2">
      <w:start w:val="1"/>
      <w:numFmt w:val="decimal"/>
      <w:pStyle w:val="Titre3"/>
      <w:isLgl/>
      <w:lvlText w:val="%1.%2.%3."/>
      <w:lvlJc w:val="left"/>
      <w:pPr>
        <w:ind w:left="1080" w:hanging="720"/>
      </w:pPr>
      <w:rPr>
        <w:rFonts w:hint="default"/>
      </w:rPr>
    </w:lvl>
    <w:lvl w:ilvl="3">
      <w:start w:val="1"/>
      <w:numFmt w:val="decimal"/>
      <w:pStyle w:val="Titre4"/>
      <w:isLgl/>
      <w:lvlText w:val="%1.%2.%3.%4."/>
      <w:lvlJc w:val="left"/>
      <w:pPr>
        <w:ind w:left="1080" w:hanging="720"/>
      </w:pPr>
      <w:rPr>
        <w:rFonts w:hint="default"/>
      </w:rPr>
    </w:lvl>
    <w:lvl w:ilvl="4">
      <w:start w:val="1"/>
      <w:numFmt w:val="decimal"/>
      <w:pStyle w:val="Titre5"/>
      <w:isLgl/>
      <w:lvlText w:val="%1.%2.%3.%4.%5."/>
      <w:lvlJc w:val="left"/>
      <w:pPr>
        <w:ind w:left="1440" w:hanging="1080"/>
      </w:pPr>
      <w:rPr>
        <w:rFonts w:hint="default"/>
      </w:rPr>
    </w:lvl>
    <w:lvl w:ilvl="5">
      <w:start w:val="1"/>
      <w:numFmt w:val="decimal"/>
      <w:pStyle w:val="Titre6"/>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16cid:durableId="2073965341">
    <w:abstractNumId w:val="0"/>
  </w:num>
  <w:num w:numId="2" w16cid:durableId="191118569">
    <w:abstractNumId w:val="0"/>
  </w:num>
  <w:num w:numId="3" w16cid:durableId="1081176338">
    <w:abstractNumId w:val="0"/>
  </w:num>
  <w:num w:numId="4" w16cid:durableId="1045787603">
    <w:abstractNumId w:val="0"/>
  </w:num>
  <w:num w:numId="5" w16cid:durableId="2039113089">
    <w:abstractNumId w:val="0"/>
  </w:num>
  <w:num w:numId="6" w16cid:durableId="14492774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758E"/>
    <w:rsid w:val="000D150B"/>
    <w:rsid w:val="0022758E"/>
    <w:rsid w:val="0056041E"/>
    <w:rsid w:val="00610E02"/>
    <w:rsid w:val="009836B3"/>
    <w:rsid w:val="00B20769"/>
    <w:rsid w:val="00BB4D39"/>
    <w:rsid w:val="00C034FB"/>
    <w:rsid w:val="00CB6B9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5EB0CE"/>
  <w15:chartTrackingRefBased/>
  <w15:docId w15:val="{29A2FD9C-065A-4B1B-841E-3AD612F334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150B"/>
    <w:pPr>
      <w:spacing w:before="120" w:after="0"/>
      <w:jc w:val="both"/>
    </w:pPr>
  </w:style>
  <w:style w:type="paragraph" w:styleId="Titre1">
    <w:name w:val="heading 1"/>
    <w:basedOn w:val="Normal"/>
    <w:next w:val="Normal"/>
    <w:link w:val="Titre1Car"/>
    <w:uiPriority w:val="9"/>
    <w:qFormat/>
    <w:rsid w:val="000D150B"/>
    <w:pPr>
      <w:keepNext/>
      <w:keepLines/>
      <w:numPr>
        <w:numId w:val="6"/>
      </w:numPr>
      <w:spacing w:before="360"/>
      <w:outlineLvl w:val="0"/>
    </w:pPr>
    <w:rPr>
      <w:rFonts w:asciiTheme="majorHAnsi" w:eastAsiaTheme="majorEastAsia" w:hAnsiTheme="majorHAnsi" w:cstheme="majorBidi"/>
      <w:color w:val="2F5496" w:themeColor="accent1" w:themeShade="BF"/>
      <w:sz w:val="32"/>
      <w:szCs w:val="32"/>
    </w:rPr>
  </w:style>
  <w:style w:type="paragraph" w:styleId="Titre2">
    <w:name w:val="heading 2"/>
    <w:basedOn w:val="Normal"/>
    <w:next w:val="Normal"/>
    <w:link w:val="Titre2Car"/>
    <w:uiPriority w:val="9"/>
    <w:unhideWhenUsed/>
    <w:qFormat/>
    <w:rsid w:val="000D150B"/>
    <w:pPr>
      <w:keepNext/>
      <w:keepLines/>
      <w:numPr>
        <w:ilvl w:val="1"/>
        <w:numId w:val="6"/>
      </w:numPr>
      <w:spacing w:before="480"/>
      <w:outlineLvl w:val="1"/>
    </w:pPr>
    <w:rPr>
      <w:rFonts w:asciiTheme="majorHAnsi" w:eastAsiaTheme="majorEastAsia" w:hAnsiTheme="majorHAnsi" w:cstheme="majorBidi"/>
      <w:color w:val="2F5496" w:themeColor="accent1" w:themeShade="BF"/>
      <w:sz w:val="26"/>
      <w:szCs w:val="26"/>
    </w:rPr>
  </w:style>
  <w:style w:type="paragraph" w:styleId="Titre3">
    <w:name w:val="heading 3"/>
    <w:basedOn w:val="Normal"/>
    <w:next w:val="Normal"/>
    <w:link w:val="Titre3Car"/>
    <w:uiPriority w:val="9"/>
    <w:unhideWhenUsed/>
    <w:qFormat/>
    <w:rsid w:val="000D150B"/>
    <w:pPr>
      <w:keepNext/>
      <w:keepLines/>
      <w:numPr>
        <w:ilvl w:val="2"/>
        <w:numId w:val="6"/>
      </w:numPr>
      <w:spacing w:before="360"/>
      <w:outlineLvl w:val="2"/>
    </w:pPr>
    <w:rPr>
      <w:rFonts w:asciiTheme="majorHAnsi" w:eastAsiaTheme="majorEastAsia" w:hAnsiTheme="majorHAnsi" w:cstheme="majorBidi"/>
      <w:color w:val="1F3763" w:themeColor="accent1" w:themeShade="7F"/>
      <w:sz w:val="24"/>
      <w:szCs w:val="24"/>
    </w:rPr>
  </w:style>
  <w:style w:type="paragraph" w:styleId="Titre4">
    <w:name w:val="heading 4"/>
    <w:basedOn w:val="Normal"/>
    <w:next w:val="Normal"/>
    <w:link w:val="Titre4Car"/>
    <w:uiPriority w:val="9"/>
    <w:unhideWhenUsed/>
    <w:qFormat/>
    <w:rsid w:val="000D150B"/>
    <w:pPr>
      <w:keepNext/>
      <w:keepLines/>
      <w:numPr>
        <w:ilvl w:val="3"/>
        <w:numId w:val="6"/>
      </w:numPr>
      <w:spacing w:before="40"/>
      <w:outlineLvl w:val="3"/>
    </w:pPr>
    <w:rPr>
      <w:rFonts w:asciiTheme="majorHAnsi" w:eastAsiaTheme="majorEastAsia" w:hAnsiTheme="majorHAnsi" w:cstheme="majorBidi"/>
      <w:i/>
      <w:iCs/>
      <w:color w:val="2F5496" w:themeColor="accent1" w:themeShade="BF"/>
    </w:rPr>
  </w:style>
  <w:style w:type="paragraph" w:styleId="Titre5">
    <w:name w:val="heading 5"/>
    <w:basedOn w:val="Normal"/>
    <w:next w:val="Normal"/>
    <w:link w:val="Titre5Car"/>
    <w:uiPriority w:val="9"/>
    <w:unhideWhenUsed/>
    <w:qFormat/>
    <w:rsid w:val="000D150B"/>
    <w:pPr>
      <w:keepNext/>
      <w:keepLines/>
      <w:numPr>
        <w:ilvl w:val="4"/>
        <w:numId w:val="6"/>
      </w:numPr>
      <w:spacing w:before="40"/>
      <w:outlineLvl w:val="4"/>
    </w:pPr>
    <w:rPr>
      <w:rFonts w:asciiTheme="majorHAnsi" w:eastAsiaTheme="majorEastAsia" w:hAnsiTheme="majorHAnsi" w:cstheme="majorBidi"/>
      <w:color w:val="2F5496" w:themeColor="accent1" w:themeShade="BF"/>
    </w:rPr>
  </w:style>
  <w:style w:type="paragraph" w:styleId="Titre6">
    <w:name w:val="heading 6"/>
    <w:basedOn w:val="Normal"/>
    <w:next w:val="Normal"/>
    <w:link w:val="Titre6Car"/>
    <w:uiPriority w:val="9"/>
    <w:unhideWhenUsed/>
    <w:qFormat/>
    <w:rsid w:val="000D150B"/>
    <w:pPr>
      <w:keepNext/>
      <w:keepLines/>
      <w:numPr>
        <w:ilvl w:val="5"/>
        <w:numId w:val="6"/>
      </w:numPr>
      <w:spacing w:before="40"/>
      <w:outlineLvl w:val="5"/>
    </w:pPr>
    <w:rPr>
      <w:rFonts w:asciiTheme="majorHAnsi" w:eastAsiaTheme="majorEastAsia" w:hAnsiTheme="majorHAnsi" w:cstheme="majorBidi"/>
      <w:color w:val="1F3763" w:themeColor="accent1" w:themeShade="7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Appelnotedebasdep">
    <w:name w:val="footnote reference"/>
    <w:basedOn w:val="Policepardfaut"/>
    <w:uiPriority w:val="99"/>
    <w:semiHidden/>
    <w:unhideWhenUsed/>
    <w:rsid w:val="000D150B"/>
    <w:rPr>
      <w:vertAlign w:val="superscript"/>
    </w:rPr>
  </w:style>
  <w:style w:type="paragraph" w:styleId="En-tte">
    <w:name w:val="header"/>
    <w:basedOn w:val="Normal"/>
    <w:link w:val="En-tteCar"/>
    <w:uiPriority w:val="99"/>
    <w:unhideWhenUsed/>
    <w:rsid w:val="000D150B"/>
    <w:pPr>
      <w:tabs>
        <w:tab w:val="center" w:pos="4536"/>
        <w:tab w:val="right" w:pos="9072"/>
      </w:tabs>
      <w:spacing w:before="0" w:line="240" w:lineRule="auto"/>
    </w:pPr>
  </w:style>
  <w:style w:type="character" w:customStyle="1" w:styleId="En-tteCar">
    <w:name w:val="En-tête Car"/>
    <w:basedOn w:val="Policepardfaut"/>
    <w:link w:val="En-tte"/>
    <w:uiPriority w:val="99"/>
    <w:rsid w:val="000D150B"/>
  </w:style>
  <w:style w:type="table" w:styleId="Grilledutableau">
    <w:name w:val="Table Grid"/>
    <w:basedOn w:val="TableauNormal"/>
    <w:uiPriority w:val="39"/>
    <w:rsid w:val="000D150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enhypertexte">
    <w:name w:val="Hyperlink"/>
    <w:basedOn w:val="Policepardfaut"/>
    <w:uiPriority w:val="99"/>
    <w:unhideWhenUsed/>
    <w:rsid w:val="000D150B"/>
    <w:rPr>
      <w:color w:val="0563C1" w:themeColor="hyperlink"/>
      <w:u w:val="single"/>
    </w:rPr>
  </w:style>
  <w:style w:type="character" w:styleId="Lienhypertextesuivivisit">
    <w:name w:val="FollowedHyperlink"/>
    <w:basedOn w:val="Policepardfaut"/>
    <w:uiPriority w:val="99"/>
    <w:semiHidden/>
    <w:unhideWhenUsed/>
    <w:rsid w:val="000D150B"/>
    <w:rPr>
      <w:color w:val="954F72" w:themeColor="followedHyperlink"/>
      <w:u w:val="single"/>
    </w:rPr>
  </w:style>
  <w:style w:type="character" w:styleId="Mentionnonrsolue">
    <w:name w:val="Unresolved Mention"/>
    <w:basedOn w:val="Policepardfaut"/>
    <w:uiPriority w:val="99"/>
    <w:semiHidden/>
    <w:unhideWhenUsed/>
    <w:rsid w:val="000D150B"/>
    <w:rPr>
      <w:color w:val="605E5C"/>
      <w:shd w:val="clear" w:color="auto" w:fill="E1DFDD"/>
    </w:rPr>
  </w:style>
  <w:style w:type="paragraph" w:styleId="Notedebasdepage">
    <w:name w:val="footnote text"/>
    <w:basedOn w:val="Normal"/>
    <w:link w:val="NotedebasdepageCar"/>
    <w:uiPriority w:val="99"/>
    <w:semiHidden/>
    <w:unhideWhenUsed/>
    <w:rsid w:val="000D150B"/>
    <w:pPr>
      <w:spacing w:before="0" w:line="240" w:lineRule="auto"/>
    </w:pPr>
    <w:rPr>
      <w:sz w:val="20"/>
      <w:szCs w:val="20"/>
    </w:rPr>
  </w:style>
  <w:style w:type="character" w:customStyle="1" w:styleId="NotedebasdepageCar">
    <w:name w:val="Note de bas de page Car"/>
    <w:basedOn w:val="Policepardfaut"/>
    <w:link w:val="Notedebasdepage"/>
    <w:uiPriority w:val="99"/>
    <w:semiHidden/>
    <w:rsid w:val="000D150B"/>
    <w:rPr>
      <w:sz w:val="20"/>
      <w:szCs w:val="20"/>
    </w:rPr>
  </w:style>
  <w:style w:type="paragraph" w:styleId="Paragraphedeliste">
    <w:name w:val="List Paragraph"/>
    <w:basedOn w:val="Normal"/>
    <w:uiPriority w:val="34"/>
    <w:qFormat/>
    <w:rsid w:val="000D150B"/>
    <w:pPr>
      <w:ind w:left="720"/>
      <w:contextualSpacing/>
    </w:pPr>
  </w:style>
  <w:style w:type="paragraph" w:styleId="Pieddepage">
    <w:name w:val="footer"/>
    <w:basedOn w:val="Normal"/>
    <w:link w:val="PieddepageCar"/>
    <w:uiPriority w:val="99"/>
    <w:unhideWhenUsed/>
    <w:rsid w:val="000D150B"/>
    <w:pPr>
      <w:tabs>
        <w:tab w:val="center" w:pos="4536"/>
        <w:tab w:val="right" w:pos="9072"/>
      </w:tabs>
      <w:spacing w:before="0" w:line="240" w:lineRule="auto"/>
    </w:pPr>
  </w:style>
  <w:style w:type="character" w:customStyle="1" w:styleId="PieddepageCar">
    <w:name w:val="Pied de page Car"/>
    <w:basedOn w:val="Policepardfaut"/>
    <w:link w:val="Pieddepage"/>
    <w:uiPriority w:val="99"/>
    <w:rsid w:val="000D150B"/>
  </w:style>
  <w:style w:type="character" w:customStyle="1" w:styleId="Titre1Car">
    <w:name w:val="Titre 1 Car"/>
    <w:basedOn w:val="Policepardfaut"/>
    <w:link w:val="Titre1"/>
    <w:uiPriority w:val="9"/>
    <w:rsid w:val="000D150B"/>
    <w:rPr>
      <w:rFonts w:asciiTheme="majorHAnsi" w:eastAsiaTheme="majorEastAsia" w:hAnsiTheme="majorHAnsi" w:cstheme="majorBidi"/>
      <w:color w:val="2F5496" w:themeColor="accent1" w:themeShade="BF"/>
      <w:sz w:val="32"/>
      <w:szCs w:val="32"/>
    </w:rPr>
  </w:style>
  <w:style w:type="character" w:customStyle="1" w:styleId="Titre2Car">
    <w:name w:val="Titre 2 Car"/>
    <w:basedOn w:val="Policepardfaut"/>
    <w:link w:val="Titre2"/>
    <w:uiPriority w:val="9"/>
    <w:rsid w:val="000D150B"/>
    <w:rPr>
      <w:rFonts w:asciiTheme="majorHAnsi" w:eastAsiaTheme="majorEastAsia" w:hAnsiTheme="majorHAnsi" w:cstheme="majorBidi"/>
      <w:color w:val="2F5496" w:themeColor="accent1" w:themeShade="BF"/>
      <w:sz w:val="26"/>
      <w:szCs w:val="26"/>
    </w:rPr>
  </w:style>
  <w:style w:type="character" w:customStyle="1" w:styleId="Titre3Car">
    <w:name w:val="Titre 3 Car"/>
    <w:basedOn w:val="Policepardfaut"/>
    <w:link w:val="Titre3"/>
    <w:uiPriority w:val="9"/>
    <w:rsid w:val="000D150B"/>
    <w:rPr>
      <w:rFonts w:asciiTheme="majorHAnsi" w:eastAsiaTheme="majorEastAsia" w:hAnsiTheme="majorHAnsi" w:cstheme="majorBidi"/>
      <w:color w:val="1F3763" w:themeColor="accent1" w:themeShade="7F"/>
      <w:sz w:val="24"/>
      <w:szCs w:val="24"/>
    </w:rPr>
  </w:style>
  <w:style w:type="character" w:customStyle="1" w:styleId="Titre4Car">
    <w:name w:val="Titre 4 Car"/>
    <w:basedOn w:val="Policepardfaut"/>
    <w:link w:val="Titre4"/>
    <w:uiPriority w:val="9"/>
    <w:rsid w:val="000D150B"/>
    <w:rPr>
      <w:rFonts w:asciiTheme="majorHAnsi" w:eastAsiaTheme="majorEastAsia" w:hAnsiTheme="majorHAnsi" w:cstheme="majorBidi"/>
      <w:i/>
      <w:iCs/>
      <w:color w:val="2F5496" w:themeColor="accent1" w:themeShade="BF"/>
    </w:rPr>
  </w:style>
  <w:style w:type="character" w:customStyle="1" w:styleId="Titre5Car">
    <w:name w:val="Titre 5 Car"/>
    <w:basedOn w:val="Policepardfaut"/>
    <w:link w:val="Titre5"/>
    <w:uiPriority w:val="9"/>
    <w:rsid w:val="000D150B"/>
    <w:rPr>
      <w:rFonts w:asciiTheme="majorHAnsi" w:eastAsiaTheme="majorEastAsia" w:hAnsiTheme="majorHAnsi" w:cstheme="majorBidi"/>
      <w:color w:val="2F5496" w:themeColor="accent1" w:themeShade="BF"/>
    </w:rPr>
  </w:style>
  <w:style w:type="character" w:customStyle="1" w:styleId="Titre6Car">
    <w:name w:val="Titre 6 Car"/>
    <w:basedOn w:val="Policepardfaut"/>
    <w:link w:val="Titre6"/>
    <w:uiPriority w:val="9"/>
    <w:rsid w:val="000D150B"/>
    <w:rPr>
      <w:rFonts w:asciiTheme="majorHAnsi" w:eastAsiaTheme="majorEastAsia" w:hAnsiTheme="majorHAnsi" w:cstheme="majorBidi"/>
      <w:color w:val="1F3763"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TotalTime>
  <Pages>2</Pages>
  <Words>906</Words>
  <Characters>4989</Characters>
  <Application>Microsoft Office Word</Application>
  <DocSecurity>0</DocSecurity>
  <Lines>41</Lines>
  <Paragraphs>11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Florent BEDECARRATS</dc:creator>
  <cp:keywords/>
  <dc:description/>
  <cp:lastModifiedBy>Florent BEDECARRATS</cp:lastModifiedBy>
  <cp:revision>2</cp:revision>
  <dcterms:created xsi:type="dcterms:W3CDTF">2026-03-12T20:41:00Z</dcterms:created>
  <dcterms:modified xsi:type="dcterms:W3CDTF">2026-03-12T21:19:00Z</dcterms:modified>
</cp:coreProperties>
</file>