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strategy"/>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(95% CI: [-0.303, +0.333],</w:t>
      </w:r>
      <w:r>
        <w:t xml:space="preserve"> </w:t>
      </w:r>
      <w:r>
        <w:rPr>
          <w:i/>
          <w:iCs/>
        </w:rPr>
        <w:t xml:space="preserve">p</w:t>
      </w:r>
      <w:r>
        <w:t xml:space="preserve"> </w:t>
      </w:r>
      <w:r>
        <w:t xml:space="preserve">= 0.928) — close to zero and not statistically significant.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ala-longrun"/>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Veromanitra Ramizason; Bezaka Rivolala; Thierry Razanakoto; Holimalala Randriamanampisoa; Florent Bédécarrats</dc:creator>
  <cp:keywords/>
  <dcterms:created xsi:type="dcterms:W3CDTF">2026-04-28T07:10:11Z</dcterms:created>
  <dcterms:modified xsi:type="dcterms:W3CDTF">2026-04-28T07:10:11Z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abelquarto">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uthor">
    <vt:lpwstr/>
  </property>
  <property fmtid="{D5CDD505-2E9C-101B-9397-08002B2CF9AE}" pid="9" name="crossref">
    <vt:lpwstr/>
  </property>
  <property fmtid="{D5CDD505-2E9C-101B-9397-08002B2CF9AE}" pid="10" name="date">
    <vt:lpwstr>2026-04-28</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ng-en">
    <vt:lpwstr>true</vt:lpwstr>
  </property>
  <property fmtid="{D5CDD505-2E9C-101B-9397-08002B2CF9AE}" pid="17" name="subtitle">
    <vt:lpwstr>Long-Run Analysis of Rural Observatory Surveys (1995–2025)</vt:lpwstr>
  </property>
  <property fmtid="{D5CDD505-2E9C-101B-9397-08002B2CF9AE}" pid="18" name="template-partials">
    <vt:lpwstr/>
  </property>
  <property fmtid="{D5CDD505-2E9C-101B-9397-08002B2CF9AE}" pid="19" name="toc-title">
    <vt:lpwstr>Table of contents</vt:lpwstr>
  </property>
</Properties>
</file>