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60.png" ContentType="image/png"/>
  <Override PartName="/word/media/rId43.png" ContentType="image/png"/>
  <Override PartName="/word/media/rId55.png" ContentType="image/png"/>
  <Override PartName="/word/media/rId47.png" ContentType="image/png"/>
  <Override PartName="/word/media/rId80.png" ContentType="image/png"/>
  <Override PartName="/word/media/rId70.png" ContentType="image/png"/>
  <Override PartName="/word/media/rId88.png" ContentType="image/png"/>
  <Override PartName="/word/media/rId130.png" ContentType="image/png"/>
  <Override PartName="/word/media/rId139.png" ContentType="image/png"/>
  <Override PartName="/word/media/rId145.png" ContentType="image/png"/>
  <Override PartName="/word/media/rId149.png" ContentType="image/png"/>
  <Override PartName="/word/media/rId116.png" ContentType="image/png"/>
  <Override PartName="/word/media/rId123.png" ContentType="image/png"/>
  <Override PartName="/word/media/rId181.png" ContentType="image/png"/>
  <Override PartName="/word/media/rId206.png" ContentType="image/png"/>
  <Override PartName="/word/media/rId189.png" ContentType="image/png"/>
  <Override PartName="/word/media/rId199.png" ContentType="image/png"/>
  <Override PartName="/word/media/rId176.png" ContentType="image/png"/>
  <Override PartName="/word/media/rId194.png" ContentType="image/png"/>
  <Override PartName="/word/media/rId210.png" ContentType="image/png"/>
  <Override PartName="/word/media/rId158.png" ContentType="image/png"/>
  <Override PartName="/word/media/rId168.png" ContentType="image/png"/>
  <Override PartName="/word/media/rId163.png" ContentType="image/png"/>
  <Override PartName="/word/media/rId271.png" ContentType="image/png"/>
  <Override PartName="/word/media/rId278.png" ContentType="image/png"/>
  <Override PartName="/word/media/rId288.png" ContentType="image/png"/>
  <Override PartName="/word/media/rId329.png" ContentType="image/png"/>
  <Override PartName="/word/media/rId322.png" ContentType="image/png"/>
  <Override PartName="/word/media/rId317.png" ContentType="image/png"/>
  <Override PartName="/word/media/rId308.png" ContentType="image/png"/>
  <Override PartName="/word/media/rId365.png" ContentType="image/png"/>
  <Override PartName="/word/media/rId370.png" ContentType="image/png"/>
  <Override PartName="/word/media/rId342.png" ContentType="image/png"/>
  <Override PartName="/word/media/rId346.png" ContentType="image/png"/>
  <Override PartName="/word/media/rId352.png" ContentType="image/png"/>
  <Override PartName="/word/media/rId336.png" ContentType="image/png"/>
  <Override PartName="/word/media/rId9.png" ContentType="image/png"/>
  <Override PartName="/word/media/rId186.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1"/>
      </w:pPr>
      <w:r>
        <w:t xml:space="preserve">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12">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14" name="Picture"/>
            <a:graphic>
              <a:graphicData uri="http://schemas.openxmlformats.org/drawingml/2006/picture">
                <pic:pic>
                  <pic:nvPicPr>
                    <pic:cNvPr descr="media/Photo_Marovoay_Veromanitra_Ramizason_01.jpe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16" w:name="abstract"/>
    <w:p>
      <w:pPr>
        <w:pStyle w:val="Heading2"/>
      </w:pPr>
      <w:r>
        <w:t xml:space="preserve">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a technique that constructs data-driven counterfactuals for each exposed</w:t>
      </w:r>
      <w:r>
        <w:t xml:space="preserve"> </w:t>
      </w:r>
      <w:r>
        <w:t xml:space="preserve">unit by modelling unobserved common factors, we compare two governance</w:t>
      </w:r>
      <w:r>
        <w:t xml:space="preserve"> </w:t>
      </w:r>
      <w:r>
        <w:t xml:space="preserve">archetypes: strict conservation (IUCN category II) through the 2002 extension</w:t>
      </w:r>
      <w:r>
        <w:t xml:space="preserve"> </w:t>
      </w:r>
      <w:r>
        <w:t xml:space="preserve">of Ankarafantsika National Park monitored via the Marovoay observatory, and</w:t>
      </w:r>
      <w:r>
        <w:t xml:space="preserve"> </w:t>
      </w:r>
      <w:r>
        <w:t xml:space="preserve">multipurpose conservation (IUCN category VI) through the 2008 creation of the</w:t>
      </w:r>
      <w:r>
        <w:t xml:space="preserve"> </w:t>
      </w:r>
      <w:r>
        <w:t xml:space="preserve">Lac Alaotra new protected area monitored via the Alaotra observatory.</w:t>
      </w:r>
    </w:p>
    <w:p>
      <w:pPr>
        <w:pStyle w:val="BodyText"/>
      </w:pPr>
      <w:r>
        <w:t xml:space="preserve">The generalized synthetic control finds a persistent negative gap in</w:t>
      </w:r>
      <w:r>
        <w:t xml:space="preserve"> </w:t>
      </w:r>
      <w:r>
        <w:t xml:space="preserve">equivalised household income at the Ankarafantsika east-bank sites</w:t>
      </w:r>
      <w:r>
        <w:t xml:space="preserve"> </w:t>
      </w:r>
      <w:r>
        <w:t xml:space="preserve">(ATT ≈ -0.312 log points), while multipurpose conservation at</w:t>
      </w:r>
      <w:r>
        <w:t xml:space="preserve"> </w:t>
      </w:r>
      <w:r>
        <w:t xml:space="preserve">Alaotra shows no detectable effect (ATT ≈ +0.014 log points).</w:t>
      </w:r>
      <w:r>
        <w:t xml:space="preserve"> </w:t>
      </w:r>
      <w:r>
        <w:t xml:space="preserve">However, an internal comparison between east-bank and west-bank villages within</w:t>
      </w:r>
      <w:r>
        <w:t xml:space="preserve"> </w:t>
      </w:r>
      <w:r>
        <w:t xml:space="preserve">the Marovoay observatory finds no equivalent income difference, which suggests</w:t>
      </w:r>
      <w:r>
        <w:t xml:space="preserve"> </w:t>
      </w:r>
      <w:r>
        <w:t xml:space="preserve">that the externally estimated gap may partly reflect the long-run regional</w:t>
      </w:r>
      <w:r>
        <w:t xml:space="preserve"> </w:t>
      </w:r>
      <w:r>
        <w:t xml:space="preserve">decline of the Marovoay rice plain — historically Madagascar’s primary</w:t>
      </w:r>
      <w:r>
        <w:t xml:space="preserve"> </w:t>
      </w:r>
      <w:r>
        <w:t xml:space="preserve">irrigated rice zone — rather than a park-specific effect. These results</w:t>
      </w:r>
      <w:r>
        <w:t xml:space="preserve"> </w:t>
      </w:r>
      <w:r>
        <w:t xml:space="preserve">extend to three additional observatory–PA pairs. A 2025 resurvey confirms</w:t>
      </w:r>
      <w:r>
        <w:t xml:space="preserve"> </w:t>
      </w:r>
      <w:r>
        <w:t xml:space="preserve">that the east-west income gap at Marovoay persists over the long run, but</w:t>
      </w:r>
      <w:r>
        <w:t xml:space="preserve"> </w:t>
      </w:r>
      <w:r>
        <w:t xml:space="preserve">its attribution to conservation specifically warrants caution.</w:t>
      </w:r>
    </w:p>
    <w:bookmarkEnd w:id="16"/>
    <w:bookmarkStart w:id="27" w:name="structure"/>
    <w:p>
      <w:pPr>
        <w:pStyle w:val="Heading2"/>
      </w:pPr>
      <w:r>
        <w:t xml:space="preserve">Structure</w:t>
      </w:r>
    </w:p>
    <w:p>
      <w:pPr>
        <w:pStyle w:val="FirstParagraph"/>
      </w:pPr>
      <w:r>
        <w:t xml:space="preserve">The analysis chapters present the core argument:</w:t>
      </w:r>
    </w:p>
    <w:p>
      <w:pPr>
        <w:pStyle w:val="Compact"/>
        <w:numPr>
          <w:ilvl w:val="0"/>
          <w:numId w:val="1001"/>
        </w:numPr>
      </w:pPr>
      <w:hyperlink r:id="rId17">
        <w:r>
          <w:rPr>
            <w:rStyle w:val="Hyperlink"/>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1"/>
        </w:numPr>
      </w:pPr>
      <w:hyperlink r:id="rId18">
        <w:r>
          <w:rPr>
            <w:rStyle w:val="Hyperlink"/>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1"/>
        </w:numPr>
      </w:pPr>
      <w:hyperlink r:id="rId19">
        <w:r>
          <w:rPr>
            <w:rStyle w:val="Hyperlink"/>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1"/>
        </w:numPr>
      </w:pPr>
      <w:hyperlink r:id="rId20">
        <w:r>
          <w:rPr>
            <w:rStyle w:val="Hyperlink"/>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1"/>
        </w:numPr>
      </w:pPr>
      <w:hyperlink r:id="rId21">
        <w:r>
          <w:rPr>
            <w:rStyle w:val="Hyperlink"/>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1"/>
        </w:numPr>
      </w:pPr>
      <w:hyperlink r:id="rId22">
        <w:r>
          <w:rPr>
            <w:rStyle w:val="Hyperlink"/>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2"/>
        </w:numPr>
      </w:pPr>
      <w:hyperlink r:id="rId23">
        <w:r>
          <w:rPr>
            <w:rStyle w:val="Hyperlink"/>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2"/>
        </w:numPr>
      </w:pPr>
      <w:hyperlink r:id="rId24">
        <w:r>
          <w:rPr>
            <w:rStyle w:val="Hyperlink"/>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2"/>
        </w:numPr>
      </w:pPr>
      <w:hyperlink r:id="rId25">
        <w:r>
          <w:rPr>
            <w:rStyle w:val="Hyperlink"/>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2"/>
        </w:numPr>
      </w:pPr>
      <w:hyperlink r:id="rId26">
        <w:r>
          <w:rPr>
            <w:rStyle w:val="Hyperlink"/>
          </w:rPr>
          <w:t xml:space="preserve">D. Methodology</w:t>
        </w:r>
      </w:hyperlink>
      <w:r>
        <w:t xml:space="preserve"> </w:t>
      </w:r>
      <w:r>
        <w:t xml:space="preserve">— Technical details on gsynth,</w:t>
      </w:r>
      <w:r>
        <w:t xml:space="preserve"> </w:t>
      </w:r>
      <w:r>
        <w:t xml:space="preserve">Callaway–Sant’Anna DiD, and interactive fixed effects.</w:t>
      </w:r>
    </w:p>
    <w:bookmarkEnd w:id="27"/>
    <w:bookmarkEnd w:id="28"/>
    <w:bookmarkStart w:id="29" w:name="conservation-in-madagascar"/>
    <w:p>
      <w:pPr>
        <w:pStyle w:val="Heading1"/>
      </w:pPr>
      <w:r>
        <w:t xml:space="preserve">1. Conservation in Madagascar</w:t>
      </w:r>
    </w:p>
    <w:p>
      <w:pPr>
        <w:pStyle w:val="FirstParagraph"/>
      </w:pPr>
      <w:r>
        <w:t xml:space="preserve">Protected areas, governance models, and rural livelihoods</w:t>
      </w:r>
    </w:p>
    <w:p>
      <w:pPr>
        <w:pStyle w:val="BodyText"/>
      </w:pPr>
      <w:r>
        <w:br/>
      </w:r>
    </w:p>
    <w:bookmarkEnd w:id="29"/>
    <w:bookmarkStart w:id="34" w:name="sec-pa-system"/>
    <w:p>
      <w:pPr>
        <w:pStyle w:val="Heading1"/>
      </w:pPr>
      <w:r>
        <w:t xml:space="preserve">2.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et al.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et al.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33" w:name="fig-pa-cumarea"/>
          <w:p>
            <w:pPr>
              <w:pStyle w:val="Compact"/>
              <w:jc w:val="center"/>
            </w:pPr>
            <w:r>
              <w:drawing>
                <wp:inline>
                  <wp:extent cx="5334000" cy="3333750"/>
                  <wp:effectExtent b="0" l="0" r="0" t="0"/>
                  <wp:docPr descr="" title="" id="31" name="Picture"/>
                  <a:graphic>
                    <a:graphicData uri="http://schemas.openxmlformats.org/drawingml/2006/picture">
                      <pic:pic>
                        <pic:nvPicPr>
                          <pic:cNvPr descr="01_context_files/figure-docx/fig-pa-cumarea-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Cumulative protected area coverage in Madagascar by IUCN category. Data from the dynamic WDPA layer; each PA enters at its earliest legal creation date. The post-Durban surge (after 2003) is dominated by Categories V and VI (multipurpose).</w:t>
            </w:r>
          </w:p>
          <w:bookmarkEnd w:id="33"/>
        </w:tc>
      </w:tr>
    </w:tbl>
    <w:bookmarkEnd w:id="34"/>
    <w:bookmarkStart w:id="39" w:name="sec-ros"/>
    <w:p>
      <w:pPr>
        <w:pStyle w:val="Heading1"/>
      </w:pPr>
      <w:r>
        <w:t xml:space="preserve">3.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hist-ros"/>
          <w:p>
            <w:pPr>
              <w:pStyle w:val="Compact"/>
              <w:jc w:val="center"/>
            </w:pPr>
            <w:r>
              <w:drawing>
                <wp:inline>
                  <wp:extent cx="5334000" cy="4000500"/>
                  <wp:effectExtent b="0" l="0" r="0" t="0"/>
                  <wp:docPr descr="" title="" id="36" name="Picture"/>
                  <a:graphic>
                    <a:graphicData uri="http://schemas.openxmlformats.org/drawingml/2006/picture">
                      <pic:pic>
                        <pic:nvPicPr>
                          <pic:cNvPr descr="01_context_files/figure-docx/fig-hist-ros-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Coarse location of rural observatory and survey years</w:t>
            </w:r>
          </w:p>
          <w:bookmarkEnd w:id="38"/>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39"/>
    <w:bookmarkStart w:id="40" w:name="sec-research-question"/>
    <w:p>
      <w:pPr>
        <w:pStyle w:val="Heading1"/>
      </w:pPr>
      <w:r>
        <w:t xml:space="preserve">4. Research question</w:t>
      </w:r>
    </w:p>
    <w:p>
      <w:pPr>
        <w:pStyle w:val="FirstParagraph"/>
      </w:pPr>
      <w:r>
        <w:t xml:space="preserve">We ask: does the governance model of a protected area affect household income in surrounding communities?</w:t>
      </w:r>
    </w:p>
    <w:p>
      <w:pPr>
        <w:pStyle w:val="BodyText"/>
      </w:pPr>
      <w:r>
        <w:t xml:space="preserve">We compare two natural experiments embedded in the ROS data:</w:t>
      </w:r>
    </w:p>
    <w:p>
      <w:pPr>
        <w:numPr>
          <w:ilvl w:val="0"/>
          <w:numId w:val="1003"/>
        </w:numPr>
      </w:pPr>
      <w:r>
        <w:t xml:space="preserve">Strict conservation: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3"/>
        </w:numPr>
      </w:pPr>
      <w:r>
        <w:t xml:space="preserve">Multipurpose conservation: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18">
        <w:r>
          <w:rPr>
            <w:rStyle w:val="Hyperlink"/>
          </w:rPr>
          <w:t xml:space="preserve">Chapter 2</w:t>
        </w:r>
      </w:hyperlink>
      <w:r>
        <w:t xml:space="preserve"> </w:t>
      </w:r>
      <w:r>
        <w:t xml:space="preserve">describes the data sources and variable construction.</w:t>
      </w:r>
      <w:r>
        <w:t xml:space="preserve"> </w:t>
      </w:r>
      <w:hyperlink r:id="rId19">
        <w:r>
          <w:rPr>
            <w:rStyle w:val="Hyperlink"/>
          </w:rPr>
          <w:t xml:space="preserve">Chapter 3</w:t>
        </w:r>
      </w:hyperlink>
      <w:r>
        <w:t xml:space="preserve"> </w:t>
      </w:r>
      <w:r>
        <w:t xml:space="preserve">details the identification strategy and estimation methods.</w:t>
      </w:r>
      <w:r>
        <w:t xml:space="preserve"> </w:t>
      </w:r>
      <w:hyperlink r:id="rId20">
        <w:r>
          <w:rPr>
            <w:rStyle w:val="Hyperlink"/>
          </w:rPr>
          <w:t xml:space="preserve">Chapter 4</w:t>
        </w:r>
      </w:hyperlink>
      <w:r>
        <w:t xml:space="preserve"> </w:t>
      </w:r>
      <w:r>
        <w:t xml:space="preserve">presents the main results for Ankarafantsika and Alaotra.</w:t>
      </w:r>
      <w:r>
        <w:t xml:space="preserve"> </w:t>
      </w:r>
      <w:hyperlink r:id="rId21">
        <w:r>
          <w:rPr>
            <w:rStyle w:val="Hyperlink"/>
          </w:rPr>
          <w:t xml:space="preserve">Chapter 5</w:t>
        </w:r>
      </w:hyperlink>
      <w:r>
        <w:t xml:space="preserve"> </w:t>
      </w:r>
      <w:r>
        <w:t xml:space="preserve">extends the analysis to three additional sites.</w:t>
      </w:r>
      <w:r>
        <w:t xml:space="preserve"> </w:t>
      </w:r>
      <w:hyperlink r:id="rId22">
        <w:r>
          <w:rPr>
            <w:rStyle w:val="Hyperlink"/>
          </w:rPr>
          <w:t xml:space="preserve">Chapter 6</w:t>
        </w:r>
      </w:hyperlink>
      <w:r>
        <w:t xml:space="preserve"> </w:t>
      </w:r>
      <w:r>
        <w:t xml:space="preserve">discusses policy implications and outlines plans for the 2026 survey wave.</w:t>
      </w:r>
    </w:p>
    <w:bookmarkEnd w:id="40"/>
    <w:bookmarkStart w:id="42" w:name="data"/>
    <w:p>
      <w:pPr>
        <w:pStyle w:val="Heading1"/>
      </w:pPr>
      <w:r>
        <w:t xml:space="preserve">5.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23">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41">
        <w:r>
          <w:rPr>
            <w:rStyle w:val="Hyperlink"/>
          </w:rPr>
          <w:t xml:space="preserve">associated repository</w:t>
        </w:r>
      </w:hyperlink>
      <w:r>
        <w:t xml:space="preserve">.</w:t>
      </w:r>
    </w:p>
    <w:bookmarkEnd w:id="42"/>
    <w:bookmarkStart w:id="51" w:name="sec-survey-data"/>
    <w:p>
      <w:pPr>
        <w:pStyle w:val="Heading1"/>
      </w:pPr>
      <w:r>
        <w:t xml:space="preserve">6.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46" w:name="fig-obs-map"/>
          <w:p>
            <w:pPr>
              <w:pStyle w:val="Compact"/>
              <w:jc w:val="center"/>
            </w:pPr>
            <w:r>
              <w:drawing>
                <wp:inline>
                  <wp:extent cx="5334000" cy="6223000"/>
                  <wp:effectExtent b="0" l="0" r="0" t="0"/>
                  <wp:docPr descr="" title="" id="44" name="Picture"/>
                  <a:graphic>
                    <a:graphicData uri="http://schemas.openxmlformats.org/drawingml/2006/picture">
                      <pic:pic>
                        <pic:nvPicPr>
                          <pic:cNvPr descr="02_data_files/figure-docx/fig-obs-map-1.png" id="45" name="Picture"/>
                          <pic:cNvPicPr>
                            <a:picLocks noChangeArrowheads="1" noChangeAspect="1"/>
                          </pic:cNvPicPr>
                        </pic:nvPicPr>
                        <pic:blipFill>
                          <a:blip r:embed="rId43"/>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Location of the 11 rural observatories used in this study.</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time-grid"/>
          <w:p>
            <w:pPr>
              <w:pStyle w:val="Compact"/>
              <w:jc w:val="center"/>
            </w:pPr>
            <w:r>
              <w:drawing>
                <wp:inline>
                  <wp:extent cx="5334000" cy="3733800"/>
                  <wp:effectExtent b="0" l="0" r="0" t="0"/>
                  <wp:docPr descr="" title="" id="48" name="Picture"/>
                  <a:graphic>
                    <a:graphicData uri="http://schemas.openxmlformats.org/drawingml/2006/picture">
                      <pic:pic>
                        <pic:nvPicPr>
                          <pic:cNvPr descr="02_data_files/figure-docx/fig-time-grid-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Year-by-year data coverage across observatories and survey sites.</w:t>
            </w:r>
          </w:p>
          <w:bookmarkEnd w:id="50"/>
        </w:tc>
      </w:tr>
    </w:tbl>
    <w:bookmarkEnd w:id="51"/>
    <w:bookmarkStart w:id="53" w:name="sec-georef"/>
    <w:p>
      <w:pPr>
        <w:pStyle w:val="Heading1"/>
      </w:pPr>
      <w:r>
        <w:t xml:space="preserve">7.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52">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4"/>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4"/>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4"/>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53"/>
    <w:bookmarkStart w:id="59" w:name="sec-pa-overlaps"/>
    <w:p>
      <w:pPr>
        <w:pStyle w:val="Heading1"/>
      </w:pPr>
      <w:r>
        <w:t xml:space="preserve">8.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24">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54" w:name="tbl-pa-timing"/>
          <w:p>
            <w:pPr>
              <w:jc w:val="center"/>
            </w:pPr>
            <w:pPr>
              <w:jc w:val="left"/>
              <w:spacing w:before="200"/>
              <w:pStyle w:val="ImageCaption"/>
            </w:pPr>
            <w:r>
              <w:t xml:space="preserve">Table 8.1: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21">
                    <w:r>
                      <w:rPr>
                        <w:rStyle w:val="Hyperlink"/>
                      </w:rPr>
                      <w:t xml:space="preserve">Ch. 5</w:t>
                    </w:r>
                  </w:hyperlink>
                  <w:r>
                    <w:t xml:space="preserve">)</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overlaps"/>
          <w:p>
            <w:pPr>
              <w:pStyle w:val="Compact"/>
              <w:jc w:val="center"/>
            </w:pPr>
            <w:r>
              <w:drawing>
                <wp:inline>
                  <wp:extent cx="5334000" cy="3394363"/>
                  <wp:effectExtent b="0" l="0" r="0" t="0"/>
                  <wp:docPr descr="" title="" id="56" name="Picture"/>
                  <a:graphic>
                    <a:graphicData uri="http://schemas.openxmlformats.org/drawingml/2006/picture">
                      <pic:pic>
                        <pic:nvPicPr>
                          <pic:cNvPr descr="02_data_files/figure-docx/fig-pa-overlaps-1.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58"/>
        </w:tc>
      </w:tr>
    </w:tbl>
    <w:p>
      <w:pPr>
        <w:pStyle w:val="BodyText"/>
      </w:pPr>
      <w:hyperlink w:anchor="fig-pa-overlaps">
        <w:r>
          <w:rPr>
            <w:rStyle w:val="Hyperlink"/>
          </w:rPr>
          <w:t xml:space="preserve">Figure 8.1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21">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24">
        <w:r>
          <w:rPr>
            <w:rStyle w:val="Hyperlink"/>
          </w:rPr>
          <w:t xml:space="preserve">Appendix B</w:t>
        </w:r>
      </w:hyperlink>
      <w:r>
        <w:t xml:space="preserve">.</w:t>
      </w:r>
    </w:p>
    <w:bookmarkEnd w:id="59"/>
    <w:bookmarkStart w:id="64" w:name="sec-outcome"/>
    <w:p>
      <w:pPr>
        <w:pStyle w:val="Heading1"/>
      </w:pPr>
      <w:r>
        <w:t xml:space="preserve">9. Outcome variable</w:t>
      </w:r>
    </w:p>
    <w:p>
      <w:pPr>
        <w:pStyle w:val="FirstParagraph"/>
      </w:pPr>
      <w:r>
        <w:t xml:space="preserve">The primary outcome is log equivalised household income. Construction proceeds as follows:</w:t>
      </w:r>
    </w:p>
    <w:p>
      <w:pPr>
        <w:numPr>
          <w:ilvl w:val="0"/>
          <w:numId w:val="1005"/>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5"/>
        </w:numPr>
      </w:pPr>
      <w:r>
        <w:rPr>
          <w:b/>
          <w:bCs/>
        </w:rPr>
        <w:t xml:space="preserve">Equivalisation</w:t>
      </w:r>
      <w:r>
        <w:t xml:space="preserve">: using the OECD-modified scale:</w:t>
      </w:r>
      <w:r>
        <w:t xml:space="preserve"> </w:t>
      </w:r>
      <m:oMath>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w:r>
        <w:t xml:space="preserve">, computed from individual-level demographic records</w:t>
      </w:r>
      <w:r>
        <w:t xml:space="preserve"> </w:t>
      </w:r>
      <w:r>
        <w:t xml:space="preserve">(Karvonen et al. 2021)</w:t>
      </w:r>
      <w:r>
        <w:t xml:space="preserve">.</w:t>
      </w:r>
    </w:p>
    <w:p>
      <w:pPr>
        <w:numPr>
          <w:ilvl w:val="0"/>
          <w:numId w:val="1005"/>
        </w:numPr>
      </w:pPr>
      <w:r>
        <w:rPr>
          <w:b/>
          <w:bCs/>
        </w:rPr>
        <w:t xml:space="preserve">Winsorisation</w:t>
      </w:r>
      <w:r>
        <w:t xml:space="preserve">: at the 1st and 99th percentiles within each year to limit the influence of extreme values.</w:t>
      </w:r>
    </w:p>
    <w:p>
      <w:pPr>
        <w:numPr>
          <w:ilvl w:val="0"/>
          <w:numId w:val="1005"/>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23">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income-trends"/>
          <w:p>
            <w:pPr>
              <w:pStyle w:val="Compact"/>
              <w:jc w:val="center"/>
            </w:pPr>
            <w:r>
              <w:drawing>
                <wp:inline>
                  <wp:extent cx="5334000" cy="2222500"/>
                  <wp:effectExtent b="0" l="0" r="0" t="0"/>
                  <wp:docPr descr="" title="" id="61" name="Picture"/>
                  <a:graphic>
                    <a:graphicData uri="http://schemas.openxmlformats.org/drawingml/2006/picture">
                      <pic:pic>
                        <pic:nvPicPr>
                          <pic:cNvPr descr="02_data_files/figure-docx/fig-income-trends-1.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Mean log equivalised household income over time, by observatory.</w:t>
            </w:r>
          </w:p>
          <w:bookmarkEnd w:id="63"/>
        </w:tc>
      </w:tr>
    </w:tbl>
    <w:bookmarkEnd w:id="64"/>
    <w:bookmarkStart w:id="66" w:name="sec-descriptives"/>
    <w:p>
      <w:pPr>
        <w:pStyle w:val="Heading1"/>
      </w:pPr>
      <w:r>
        <w:t xml:space="preserve">10. Descriptive statistics</w:t>
      </w:r>
    </w:p>
    <w:tbl>
      <w:tblPr>
        <w:tblStyle w:val="Table"/>
        <w:tblW w:type="pct" w:w="5000"/>
        <w:tblLayout w:type="fixed"/>
        <w:tblLook w:firstRow="0" w:lastRow="0" w:firstColumn="0" w:lastColumn="0" w:noHBand="0" w:noVBand="0" w:val="0000"/>
      </w:tblPr>
      <w:tblGrid>
        <w:gridCol w:w="7920"/>
      </w:tblGrid>
      <w:tr>
        <w:tc>
          <w:tcPr/>
          <w:bookmarkStart w:id="65" w:name="tbl-descriptives"/>
          <w:p>
            <w:pPr>
              <w:jc w:val="center"/>
            </w:pPr>
            <w:pPr>
              <w:jc w:val="left"/>
              <w:spacing w:before="200"/>
              <w:pStyle w:val="ImageCaption"/>
            </w:pPr>
            <w:r>
              <w:t xml:space="preserve">Table 10.1: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65"/>
        </w:tc>
      </w:tr>
    </w:tbl>
    <w:bookmarkEnd w:id="66"/>
    <w:bookmarkStart w:id="67" w:name="identification-strategy"/>
    <w:p>
      <w:pPr>
        <w:pStyle w:val="Heading1"/>
      </w:pPr>
      <w:r>
        <w:t xml:space="preserve">11.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12</w:t>
        </w:r>
      </w:hyperlink>
      <w:r>
        <w:t xml:space="preserve">). Second, we explain how the survey design constrains the unit of analysis (</w:t>
      </w:r>
      <w:hyperlink w:anchor="sec-panel">
        <w:r>
          <w:rPr>
            <w:rStyle w:val="Hyperlink"/>
          </w:rPr>
          <w:t xml:space="preserve">Chapter 13</w:t>
        </w:r>
      </w:hyperlink>
      <w:r>
        <w:t xml:space="preserve">). Third, we describe the statistical method used to construct counterfactual income trajectories (</w:t>
      </w:r>
      <w:hyperlink w:anchor="sec-estimation">
        <w:r>
          <w:rPr>
            <w:rStyle w:val="Hyperlink"/>
          </w:rPr>
          <w:t xml:space="preserve">Chapter 14</w:t>
        </w:r>
      </w:hyperlink>
      <w:r>
        <w:t xml:space="preserve">). Fourth, we briefly introduce three additional cases that extend the analysis (</w:t>
      </w:r>
      <w:hyperlink w:anchor="sec-extensions">
        <w:r>
          <w:rPr>
            <w:rStyle w:val="Hyperlink"/>
          </w:rPr>
          <w:t xml:space="preserve">Chapter 15</w:t>
        </w:r>
      </w:hyperlink>
      <w:r>
        <w:t xml:space="preserve">).</w:t>
      </w:r>
    </w:p>
    <w:bookmarkEnd w:id="67"/>
    <w:bookmarkStart w:id="94" w:name="sec-treatment"/>
    <w:p>
      <w:pPr>
        <w:pStyle w:val="Heading1"/>
      </w:pPr>
      <w:r>
        <w:t xml:space="preserve">12.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77" w:name="sec-treat-maro"/>
    <w:p>
      <w:pPr>
        <w:pStyle w:val="Heading2"/>
      </w:pPr>
      <w:r>
        <w:t xml:space="preserve">12.1 Marovoay and Ankarafantsika National Park (2003)</w:t>
      </w:r>
    </w:p>
    <w:bookmarkStart w:id="68" w:name="sec-maro-history"/>
    <w:p>
      <w:pPr>
        <w:pStyle w:val="Heading3"/>
      </w:pPr>
      <w:r>
        <w:t xml:space="preserve">12.1.1 The 2002 park extension</w:t>
      </w:r>
    </w:p>
    <w:p>
      <w:pPr>
        <w:pStyle w:val="FirstParagraph"/>
      </w:pPr>
      <w:r>
        <w:t xml:space="preserve">As illustrated in</w:t>
      </w:r>
      <w:r>
        <w:t xml:space="preserve"> </w:t>
      </w:r>
      <w:hyperlink w:anchor="fig-map-maro">
        <w:r>
          <w:rPr>
            <w:rStyle w:val="Hyperlink"/>
          </w:rPr>
          <w:t xml:space="preserve">Figure 12.1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6"/>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6"/>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12.1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68"/>
    <w:bookmarkStart w:id="74" w:name="sec-maro-barrier"/>
    <w:p>
      <w:pPr>
        <w:pStyle w:val="Heading3"/>
      </w:pPr>
      <w:r>
        <w:t xml:space="preserve">12.1.2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69" w:name="tbl-maro-sites"/>
          <w:p>
            <w:pPr>
              <w:jc w:val="center"/>
            </w:pPr>
            <w:pPr>
              <w:jc w:val="left"/>
              <w:spacing w:before="200"/>
              <w:pStyle w:val="ImageCaption"/>
            </w:pPr>
            <w:r>
              <w:t xml:space="preserve">Table 12.1: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69"/>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73" w:name="fig-map-maro"/>
          <w:p>
            <w:pPr>
              <w:pStyle w:val="Compact"/>
              <w:jc w:val="center"/>
            </w:pPr>
            <w:r>
              <w:drawing>
                <wp:inline>
                  <wp:extent cx="5334000" cy="4741333"/>
                  <wp:effectExtent b="0" l="0" r="0" t="0"/>
                  <wp:docPr descr="" title="" id="71" name="Picture"/>
                  <a:graphic>
                    <a:graphicData uri="http://schemas.openxmlformats.org/drawingml/2006/picture">
                      <pic:pic>
                        <pic:nvPicPr>
                          <pic:cNvPr descr="03_strategy_files/figure-docx/fig-map-maro-1.png" id="72" name="Picture"/>
                          <pic:cNvPicPr>
                            <a:picLocks noChangeArrowheads="1" noChangeAspect="1"/>
                          </pic:cNvPicPr>
                        </pic:nvPicPr>
                        <pic:blipFill>
                          <a:blip r:embed="rId70"/>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73"/>
        </w:tc>
      </w:tr>
    </w:tbl>
    <w:bookmarkEnd w:id="74"/>
    <w:bookmarkStart w:id="76" w:name="sec-maro-usage"/>
    <w:p>
      <w:pPr>
        <w:pStyle w:val="Heading3"/>
      </w:pPr>
      <w:r>
        <w:t xml:space="preserve">12.1.3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75" w:name="tbl-maro-usage"/>
          <w:p>
            <w:pPr>
              <w:jc w:val="center"/>
            </w:pPr>
            <w:pPr>
              <w:jc w:val="left"/>
              <w:spacing w:before="200"/>
              <w:pStyle w:val="ImageCaption"/>
            </w:pPr>
            <w:r>
              <w:t xml:space="preserve">Table 12.2: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75"/>
        </w:tc>
      </w:tr>
    </w:tbl>
    <w:p>
      <w:pPr>
        <w:pStyle w:val="BodyText"/>
      </w:pPr>
      <w:r>
        <w:t xml:space="preserve">Three findings support the exposure assignment:</w:t>
      </w:r>
    </w:p>
    <w:p>
      <w:pPr>
        <w:numPr>
          <w:ilvl w:val="0"/>
          <w:numId w:val="1007"/>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7"/>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7"/>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76"/>
    <w:bookmarkEnd w:id="77"/>
    <w:bookmarkStart w:id="87" w:name="sec-treat-ala"/>
    <w:p>
      <w:pPr>
        <w:pStyle w:val="Heading2"/>
      </w:pPr>
      <w:r>
        <w:t xml:space="preserve">12.2 Lac Alaotra and the Protected Landscape (2008)</w:t>
      </w:r>
    </w:p>
    <w:bookmarkStart w:id="79" w:name="sec-ala-history"/>
    <w:p>
      <w:pPr>
        <w:pStyle w:val="Heading3"/>
      </w:pPr>
      <w:r>
        <w:t xml:space="preserve">12.2.1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78"/>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79"/>
    <w:bookmarkStart w:id="84" w:name="sec-ala-all-treated"/>
    <w:p>
      <w:pPr>
        <w:pStyle w:val="Heading3"/>
      </w:pPr>
      <w:r>
        <w:t xml:space="preserve">12.2.2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83" w:name="fig-map-ala"/>
          <w:p>
            <w:pPr>
              <w:pStyle w:val="Compact"/>
              <w:jc w:val="center"/>
            </w:pPr>
            <w:r>
              <w:drawing>
                <wp:inline>
                  <wp:extent cx="5334000" cy="5334000"/>
                  <wp:effectExtent b="0" l="0" r="0" t="0"/>
                  <wp:docPr descr="" title="" id="81" name="Picture"/>
                  <a:graphic>
                    <a:graphicData uri="http://schemas.openxmlformats.org/drawingml/2006/picture">
                      <pic:pic>
                        <pic:nvPicPr>
                          <pic:cNvPr descr="03_strategy_files/figure-docx/fig-map-ala-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Alaotra observatory and surrounding protected areas. Lac Alaotra PHP (green), Corridor Ankeniheny-Zahamena (CAZ, orange), Zahamena National Park (light orange). Fokontany centroids from 2025 GPS survey; distances to nearest PA boundary.</w:t>
            </w:r>
          </w:p>
          <w:bookmarkEnd w:id="83"/>
        </w:tc>
      </w:tr>
    </w:tbl>
    <w:bookmarkEnd w:id="84"/>
    <w:bookmarkStart w:id="86" w:name="sec-ala-usage"/>
    <w:p>
      <w:pPr>
        <w:pStyle w:val="Heading3"/>
      </w:pPr>
      <w:r>
        <w:t xml:space="preserve">12.2.3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85" w:name="tbl-ala-usage"/>
          <w:p>
            <w:pPr>
              <w:jc w:val="center"/>
            </w:pPr>
            <w:pPr>
              <w:jc w:val="left"/>
              <w:spacing w:before="200"/>
              <w:pStyle w:val="ImageCaption"/>
            </w:pPr>
            <w:r>
              <w:t xml:space="preserve">Table 12.3: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85"/>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8"/>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8"/>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8"/>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86"/>
    <w:bookmarkEnd w:id="87"/>
    <w:bookmarkStart w:id="92" w:name="sec-visit-freq"/>
    <w:p>
      <w:pPr>
        <w:pStyle w:val="Heading2"/>
      </w:pPr>
      <w:r>
        <w:t xml:space="preserve">12.3 PA zone usage intensity across both sites</w:t>
      </w:r>
    </w:p>
    <w:p>
      <w:pPr>
        <w:pStyle w:val="FirstParagraph"/>
      </w:pPr>
      <w:hyperlink w:anchor="fig-visit-freq">
        <w:r>
          <w:rPr>
            <w:rStyle w:val="Hyperlink"/>
          </w:rPr>
          <w:t xml:space="preserve">Figure 12.3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91" w:name="fig-visit-freq"/>
          <w:p>
            <w:pPr>
              <w:pStyle w:val="Compact"/>
              <w:jc w:val="center"/>
            </w:pPr>
            <w:r>
              <w:drawing>
                <wp:inline>
                  <wp:extent cx="5334000" cy="4148666"/>
                  <wp:effectExtent b="0" l="0" r="0" t="0"/>
                  <wp:docPr descr="" title="" id="89" name="Picture"/>
                  <a:graphic>
                    <a:graphicData uri="http://schemas.openxmlformats.org/drawingml/2006/picture">
                      <pic:pic>
                        <pic:nvPicPr>
                          <pic:cNvPr descr="03_strategy_files/figure-docx/fig-visit-freq-1.png" id="90" name="Picture"/>
                          <pic:cNvPicPr>
                            <a:picLocks noChangeArrowheads="1" noChangeAspect="1"/>
                          </pic:cNvPicPr>
                        </pic:nvPicPr>
                        <pic:blipFill>
                          <a:blip r:embed="rId88"/>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PA zone visit frequency by site (2025 resurvey). Each bar represents 100% of households in a site. White = does not visit; grey = few times per year; warm colours = monthly or more. Sites ordered by total share of visitors.</w:t>
            </w:r>
          </w:p>
          <w:bookmarkEnd w:id="91"/>
        </w:tc>
      </w:tr>
    </w:tbl>
    <w:bookmarkEnd w:id="92"/>
    <w:bookmarkStart w:id="93" w:name="sec-treat-ext"/>
    <w:p>
      <w:pPr>
        <w:pStyle w:val="Heading2"/>
      </w:pPr>
      <w:r>
        <w:t xml:space="preserve">12.4 Extensions: three additional cases (2006–2007)</w:t>
      </w:r>
    </w:p>
    <w:p>
      <w:pPr>
        <w:pStyle w:val="FirstParagraph"/>
      </w:pPr>
      <w:r>
        <w:t xml:space="preserve">The donor-pool audit (</w:t>
      </w:r>
      <w:hyperlink w:anchor="sec-donor-pool">
        <w:r>
          <w:rPr>
            <w:rStyle w:val="Hyperlink"/>
          </w:rPr>
          <w:t xml:space="preserve">Section 14.1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15</w:t>
        </w:r>
      </w:hyperlink>
      <w:r>
        <w:t xml:space="preserve"> </w:t>
      </w:r>
      <w:r>
        <w:t xml:space="preserve">and</w:t>
      </w:r>
      <w:r>
        <w:t xml:space="preserve"> </w:t>
      </w:r>
      <w:hyperlink r:id="rId21">
        <w:r>
          <w:rPr>
            <w:rStyle w:val="Hyperlink"/>
          </w:rPr>
          <w:t xml:space="preserve">Chapter 5</w:t>
        </w:r>
      </w:hyperlink>
      <w:r>
        <w:t xml:space="preserve">.</w:t>
      </w:r>
    </w:p>
    <w:bookmarkEnd w:id="93"/>
    <w:bookmarkEnd w:id="94"/>
    <w:bookmarkStart w:id="100" w:name="sec-panel"/>
    <w:p>
      <w:pPr>
        <w:pStyle w:val="Heading1"/>
      </w:pPr>
      <w:r>
        <w:t xml:space="preserve">13. From households to villages</w:t>
      </w:r>
    </w:p>
    <w:bookmarkStart w:id="97" w:name="sec-rotating-panel"/>
    <w:p>
      <w:pPr>
        <w:pStyle w:val="Heading2"/>
      </w:pPr>
      <w:r>
        <w:t xml:space="preserve">13.1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et al.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97"/>
    <w:bookmarkStart w:id="98" w:name="sec-aggregation"/>
    <w:p>
      <w:pPr>
        <w:pStyle w:val="Heading2"/>
      </w:pPr>
      <w:r>
        <w:t xml:space="preserve">13.2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09"/>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09"/>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09"/>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98"/>
    <w:bookmarkStart w:id="99" w:name="sec-outcome-strategy"/>
    <w:p>
      <w:pPr>
        <w:pStyle w:val="Heading2"/>
      </w:pPr>
      <w:r>
        <w:t xml:space="preserve">13.3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0"/>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0"/>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0"/>
        </w:numPr>
      </w:pPr>
      <w:r>
        <w:rPr>
          <w:b/>
          <w:bCs/>
        </w:rPr>
        <w:t xml:space="preserve">Winsorisation</w:t>
      </w:r>
      <w:r>
        <w:t xml:space="preserve">: at the 1st and 99th percentiles within each year to limit the influence of extreme values.</w:t>
      </w:r>
    </w:p>
    <w:p>
      <w:pPr>
        <w:numPr>
          <w:ilvl w:val="0"/>
          <w:numId w:val="1010"/>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23">
        <w:r>
          <w:rPr>
            <w:rStyle w:val="Hyperlink"/>
          </w:rPr>
          <w:t xml:space="preserve">Appendix A</w:t>
        </w:r>
      </w:hyperlink>
      <w:r>
        <w:t xml:space="preserve">.</w:t>
      </w:r>
    </w:p>
    <w:bookmarkEnd w:id="99"/>
    <w:bookmarkEnd w:id="100"/>
    <w:bookmarkStart w:id="110" w:name="sec-estimation"/>
    <w:p>
      <w:pPr>
        <w:pStyle w:val="Heading1"/>
      </w:pPr>
      <w:r>
        <w:t xml:space="preserve">14.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02" w:name="sec-donor-pool"/>
    <w:p>
      <w:pPr>
        <w:pStyle w:val="Heading2"/>
      </w:pPr>
      <w:r>
        <w:t xml:space="preserve">14.1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24">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01" w:name="tbl-donor-status"/>
          <w:p>
            <w:pPr>
              <w:jc w:val="center"/>
            </w:pPr>
            <w:pPr>
              <w:jc w:val="left"/>
              <w:spacing w:before="200"/>
              <w:pStyle w:val="ImageCaption"/>
            </w:pPr>
            <w:r>
              <w:t xml:space="preserve">Table 14.1: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01"/>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21">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21">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02"/>
    <w:bookmarkStart w:id="106" w:name="sec-gsynth"/>
    <w:p>
      <w:pPr>
        <w:pStyle w:val="Heading2"/>
      </w:pPr>
      <w:r>
        <w:t xml:space="preserve">14.2 Generalized synthetic control</w:t>
      </w:r>
    </w:p>
    <w:bookmarkStart w:id="103" w:name="sec-gsynth-intuition"/>
    <w:p>
      <w:pPr>
        <w:pStyle w:val="Heading3"/>
      </w:pPr>
      <w:r>
        <w:t xml:space="preserve">14.2.1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03"/>
    <w:bookmarkStart w:id="104" w:name="sec-gsynth-formal"/>
    <w:p>
      <w:pPr>
        <w:pStyle w:val="Heading3"/>
      </w:pPr>
      <w:r>
        <w:t xml:space="preserve">14.2.2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1"/>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1"/>
        </w:numPr>
      </w:pPr>
      <w:r>
        <w:rPr>
          <w:b/>
          <w:bCs/>
        </w:rPr>
        <w:t xml:space="preserve">Inference</w:t>
      </w:r>
      <w:r>
        <w:t xml:space="preserve">: parametric bootstrap with 200 replications.</w:t>
      </w:r>
    </w:p>
    <w:p>
      <w:pPr>
        <w:pStyle w:val="Compact"/>
        <w:numPr>
          <w:ilvl w:val="0"/>
          <w:numId w:val="1011"/>
        </w:numPr>
      </w:pPr>
      <w:r>
        <w:rPr>
          <w:b/>
          <w:bCs/>
        </w:rPr>
        <w:t xml:space="preserve">Minimum pre-treatment periods</w:t>
      </w:r>
      <w:r>
        <w:t xml:space="preserve">:</w:t>
      </w:r>
      <w:r>
        <w:t xml:space="preserve"> </w:t>
      </w:r>
      <m:oMath>
        <m:r>
          <m:rPr>
            <m:sty m:val="p"/>
          </m:rPr>
          <m:t>min</m:t>
        </m:r>
        <m:r>
          <m:rPr>
            <m:sty m:val="p"/>
          </m:rPr>
          <m:t>(</m:t>
        </m:r>
        <m:sSub>
          <m:e>
            <m:r>
              <m:t>T</m:t>
            </m:r>
          </m:e>
          <m:sub>
            <m:r>
              <m:t>0</m:t>
            </m:r>
          </m:sub>
        </m:sSub>
        <m:r>
          <m:rPr>
            <m:sty m:val="p"/>
          </m:rPr>
          <m:t>)</m:t>
        </m:r>
        <m:r>
          <m:rPr>
            <m:sty m:val="p"/>
          </m:rPr>
          <m:t>=</m:t>
        </m:r>
        <m:r>
          <m:t>3</m:t>
        </m:r>
      </m:oMath>
      <w:r>
        <w:t xml:space="preserve"> </w:t>
      </w:r>
      <w:r>
        <w:t xml:space="preserve">to ensure adequate pre-treatment fit.</w:t>
      </w:r>
    </w:p>
    <w:bookmarkEnd w:id="104"/>
    <w:bookmarkStart w:id="105" w:name="sec-two-models"/>
    <w:p>
      <w:pPr>
        <w:pStyle w:val="Heading3"/>
      </w:pPr>
      <w:r>
        <w:t xml:space="preserve">14.2.3 Two separate models</w:t>
      </w:r>
    </w:p>
    <w:p>
      <w:pPr>
        <w:pStyle w:val="FirstParagraph"/>
      </w:pPr>
      <w:r>
        <w:t xml:space="preserve">We estimate two separate models, reflecting the distinct nature of each case:</w:t>
      </w:r>
    </w:p>
    <w:p>
      <w:pPr>
        <w:numPr>
          <w:ilvl w:val="0"/>
          <w:numId w:val="1012"/>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2"/>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05"/>
    <w:bookmarkEnd w:id="106"/>
    <w:bookmarkStart w:id="107" w:name="sec-inference"/>
    <w:p>
      <w:pPr>
        <w:pStyle w:val="Heading2"/>
      </w:pPr>
      <w:r>
        <w:t xml:space="preserve">14.3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25">
        <w:r>
          <w:rPr>
            <w:rStyle w:val="Hyperlink"/>
          </w:rPr>
          <w:t xml:space="preserve">Appendix C</w:t>
        </w:r>
      </w:hyperlink>
      <w:r>
        <w:t xml:space="preserve">) provide complementary evidence on the uniqueness of estimated effects.</w:t>
      </w:r>
    </w:p>
    <w:bookmarkEnd w:id="107"/>
    <w:bookmarkStart w:id="109" w:name="sec-complementary"/>
    <w:p>
      <w:pPr>
        <w:pStyle w:val="Heading2"/>
      </w:pPr>
      <w:r>
        <w:t xml:space="preserve">14.4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3"/>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12.1</w:t>
        </w:r>
      </w:hyperlink>
      <w:r>
        <w:t xml:space="preserve"> </w:t>
      </w:r>
      <w:r>
        <w:t xml:space="preserve">by the Betsiboka river barrier.</w:t>
      </w:r>
    </w:p>
    <w:p>
      <w:pPr>
        <w:pStyle w:val="Compact"/>
        <w:numPr>
          <w:ilvl w:val="0"/>
          <w:numId w:val="1013"/>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12.1.3</w:t>
        </w:r>
      </w:hyperlink>
      <w:r>
        <w:t xml:space="preserve">,</w:t>
      </w:r>
      <w:r>
        <w:t xml:space="preserve"> </w:t>
      </w:r>
      <w:hyperlink w:anchor="sec-ala-usage">
        <w:r>
          <w:rPr>
            <w:rStyle w:val="Hyperlink"/>
          </w:rPr>
          <w:t xml:space="preserve">Section 12.2.3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12.1.3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08" w:name="tbl-secondary-design"/>
          <w:p>
            <w:pPr>
              <w:jc w:val="center"/>
            </w:pPr>
            <w:pPr>
              <w:jc w:val="left"/>
              <w:spacing w:before="200"/>
              <w:pStyle w:val="ImageCaption"/>
            </w:pPr>
            <w:r>
              <w:t xml:space="preserve">Table 14.2: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12.1.3</w:t>
              </w:r>
            </w:hyperlink>
            <w:r>
              <w:t xml:space="preserve"> </w:t>
            </w:r>
            <w:r>
              <w:t xml:space="preserve">and</w:t>
            </w:r>
            <w:r>
              <w:t xml:space="preserve"> </w:t>
            </w:r>
            <w:hyperlink w:anchor="sec-ala-usage">
              <w:r>
                <w:rPr>
                  <w:rStyle w:val="Hyperlink"/>
                </w:rPr>
                <w:t xml:space="preserve">Section 12.2.3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08"/>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4"/>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4"/>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4"/>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4"/>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25">
        <w:r>
          <w:rPr>
            <w:rStyle w:val="Hyperlink"/>
          </w:rPr>
          <w:t xml:space="preserve">Appendix C</w:t>
        </w:r>
      </w:hyperlink>
      <w:r>
        <w:t xml:space="preserve"> </w:t>
      </w:r>
      <w:r>
        <w:t xml:space="preserve">as additional sensitivity checks against the gsynth specification choice.</w:t>
      </w:r>
    </w:p>
    <w:bookmarkEnd w:id="109"/>
    <w:bookmarkEnd w:id="110"/>
    <w:bookmarkStart w:id="112" w:name="sec-extensions"/>
    <w:p>
      <w:pPr>
        <w:pStyle w:val="Heading1"/>
      </w:pPr>
      <w:r>
        <w:t xml:space="preserve">15.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14.1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11" w:name="tbl-ext-cases"/>
          <w:p>
            <w:pPr>
              <w:jc w:val="center"/>
            </w:pPr>
            <w:pPr>
              <w:jc w:val="left"/>
              <w:spacing w:before="200"/>
              <w:pStyle w:val="ImageCaption"/>
            </w:pPr>
            <w:r>
              <w:t xml:space="preserve">Table 15.1: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11"/>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21">
        <w:r>
          <w:rPr>
            <w:rStyle w:val="Hyperlink"/>
          </w:rPr>
          <w:t xml:space="preserve">Chapter 5</w:t>
        </w:r>
      </w:hyperlink>
      <w:r>
        <w:t xml:space="preserve">.</w:t>
      </w:r>
    </w:p>
    <w:bookmarkEnd w:id="112"/>
    <w:bookmarkStart w:id="113" w:name="sec-did-roadmap"/>
    <w:p>
      <w:pPr>
        <w:pStyle w:val="Heading1"/>
      </w:pPr>
      <w:r>
        <w:t xml:space="preserve">16.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14.4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31</w:t>
        </w:r>
      </w:hyperlink>
      <w:r>
        <w:t xml:space="preserve">.</w:t>
      </w:r>
    </w:p>
    <w:bookmarkEnd w:id="113"/>
    <w:bookmarkStart w:id="114" w:name="results"/>
    <w:p>
      <w:pPr>
        <w:pStyle w:val="Heading1"/>
      </w:pPr>
      <w:r>
        <w:t xml:space="preserve">17. Results</w:t>
      </w:r>
    </w:p>
    <w:p>
      <w:pPr>
        <w:pStyle w:val="FirstParagraph"/>
      </w:pPr>
      <w:r>
        <w:t xml:space="preserve">Strict vs. multipurpose conservation impacts on household income</w:t>
      </w:r>
    </w:p>
    <w:p>
      <w:pPr>
        <w:pStyle w:val="BodyText"/>
      </w:pPr>
      <w:r>
        <w:br/>
      </w:r>
    </w:p>
    <w:bookmarkEnd w:id="114"/>
    <w:bookmarkStart w:id="128" w:name="sec-maro"/>
    <w:p>
      <w:pPr>
        <w:pStyle w:val="Heading1"/>
      </w:pPr>
      <w:r>
        <w:t xml:space="preserve">18. Ankarafantsika: strict conservation (IUCN II)</w:t>
      </w:r>
    </w:p>
    <w:bookmarkStart w:id="115" w:name="panel-construction"/>
    <w:p>
      <w:pPr>
        <w:pStyle w:val="Heading2"/>
      </w:pPr>
      <w:r>
        <w:t xml:space="preserve">18.1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24">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15"/>
    <w:bookmarkStart w:id="122" w:name="sec-maro-att"/>
    <w:p>
      <w:pPr>
        <w:pStyle w:val="Heading2"/>
      </w:pPr>
      <w:r>
        <w:t xml:space="preserve">18.2 gsynth ATT path</w:t>
      </w:r>
    </w:p>
    <w:tbl>
      <w:tblPr>
        <w:tblStyle w:val="Table"/>
        <w:tblW w:type="pct" w:w="5000"/>
        <w:tblLayout w:type="fixed"/>
        <w:tblLook w:firstRow="0" w:lastRow="0" w:firstColumn="0" w:lastColumn="0" w:noHBand="0" w:noVBand="0" w:val="0000"/>
      </w:tblPr>
      <w:tblGrid>
        <w:gridCol w:w="7920"/>
      </w:tblGrid>
      <w:tr>
        <w:tc>
          <w:tcPr/>
          <w:bookmarkStart w:id="119" w:name="fig-maro-att"/>
          <w:p>
            <w:pPr>
              <w:pStyle w:val="Compact"/>
              <w:jc w:val="center"/>
            </w:pPr>
            <w:r>
              <w:drawing>
                <wp:inline>
                  <wp:extent cx="5334000" cy="3333750"/>
                  <wp:effectExtent b="0" l="0" r="0" t="0"/>
                  <wp:docPr descr="" title="" id="117" name="Picture"/>
                  <a:graphic>
                    <a:graphicData uri="http://schemas.openxmlformats.org/drawingml/2006/picture">
                      <pic:pic>
                        <pic:nvPicPr>
                          <pic:cNvPr descr="04_results_files/figure-docx/fig-maro-att-1.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gsynth ATT path for east-bank sites relative to exposure onset (2003). Outcome: log OECD-equivalised income. Shaded band: 95% parametric bootstrap CI.</w:t>
            </w:r>
          </w:p>
          <w:bookmarkEnd w:id="119"/>
        </w:tc>
      </w:tr>
    </w:tbl>
    <w:p>
      <w:pPr>
        <w:pStyle w:val="BodyText"/>
      </w:pPr>
      <w:r>
        <w:t xml:space="preserve">The generalized synthetic control model finds a persistent negative gap between the east-bank Marovoay sites and their synthetic counterfactual. The average post-exposure average treatment effect (ATT) is approximately -0.312 log points (95% CI: [-0.550, -0.073],</w:t>
      </w:r>
      <w:r>
        <w:t xml:space="preserve"> </w:t>
      </w:r>
      <w:r>
        <w:rPr>
          <w:i/>
          <w:iCs/>
        </w:rPr>
        <w:t xml:space="preserve">p</w:t>
      </w:r>
      <w:r>
        <w:t xml:space="preserve"> </w:t>
      </w:r>
      <w:r>
        <w:t xml:space="preserve">= 0.010), corresponding to a roughly 27% difference relative to the projected counterfactual. The gap opens shortly after the 2002 park extension and does not close over the observation period.</w:t>
      </w:r>
    </w:p>
    <w:p>
      <w:pPr>
        <w:pStyle w:val="BodyText"/>
      </w:pPr>
      <w:r>
        <w:t xml:space="preserve">How much of this gap is attributable to the park itself — rather than to the broader economic trajectory of the Marovoay region — is a question that the data alone cannot fully resolve. Marovoay was historically Madagascar’s most productive irrigated rice zone, often called the</w:t>
      </w:r>
      <w:r>
        <w:t xml:space="preserve"> </w:t>
      </w:r>
      <w:r>
        <w:rPr>
          <w:i/>
          <w:iCs/>
        </w:rPr>
        <w:t xml:space="preserve">grenier à blé</w:t>
      </w:r>
      <w:r>
        <w:t xml:space="preserve"> </w:t>
      </w:r>
      <w:r>
        <w:t xml:space="preserve">of the country. From the 1980s onward, the region experienced a well-documented decline driven by the silting of the Betsiboka River, the degradation of colonial-era irrigation infrastructure, and the collapse of state agricultural support. This regional trajectory predates the 2002 park extension and could plausibly account for part of the divergence that gsynth attributes to conservation exposure, if the donor observatories on the highland plateau or in the southern drylands were not similarly affected by the deterioration of irrigated lowland agriculture.</w:t>
      </w:r>
    </w:p>
    <w:bookmarkStart w:id="121" w:name="sec-maro-rcs"/>
    <w:p>
      <w:pPr>
        <w:pStyle w:val="Heading3"/>
      </w:pPr>
      <w:r>
        <w:t xml:space="preserve">18.2.1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20" w:name="tbl-maro-rcs"/>
          <w:p>
            <w:pPr>
              <w:jc w:val="center"/>
            </w:pPr>
            <w:pPr>
              <w:jc w:val="left"/>
              <w:spacing w:before="200"/>
              <w:pStyle w:val="ImageCaption"/>
            </w:pPr>
            <w:r>
              <w:t xml:space="preserve">Table 18.1: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20"/>
        </w:tc>
      </w:tr>
    </w:tbl>
    <w:p>
      <w:pPr>
        <w:pStyle w:val="BodyText"/>
      </w:pPr>
      <w:r>
        <w:t xml:space="preserve">The within-Marovoay point estimate is close to zero with a tight cluster-robust standard error — strikingly different in magnitude from the gsynth gap of -0.312 log points reported above. This contrast is a key diagnostic, and it cannot simply be dismissed as the two methods answering different questions.</w:t>
      </w:r>
    </w:p>
    <w:p>
      <w:pPr>
        <w:pStyle w:val="BodyText"/>
      </w:pPr>
      <w:r>
        <w:t xml:space="preserve">The gsynth compares the east-bank villages against donor observatories located in the highland plateau or the southern drylands — places with different agronomic systems, different exposure to Betsiboka siltation, and different relationships with irrigated rice. If the Marovoay region as a whole has declined relative to those places for reasons unconnected to the park — the collapse of irrigation infrastructure, the retreat of the state from the rice economy, cycles of flooding and soil erosion — then gsynth will attribute that regional divergence to the PA, because the exposure timing coincides with the beginning of the observable panel. The within-Marovoay design controls for this regional shock: because east-bank and west-bank villages share the same river, the same downstream rice economy, and the same local market, a regional shock hits both sides simultaneously and cancels out of the east-west comparison.</w:t>
      </w:r>
    </w:p>
    <w:p>
      <w:pPr>
        <w:pStyle w:val="BodyText"/>
      </w:pPr>
      <w:r>
        <w:t xml:space="preserve">The fact that east-bank and west-bank incomes tracked each other so closely throughout the study period is therefore a genuine warning. It suggests that the bulk of the divergence that gsynth identifies is a regional phenomenon — the decline of a once-prosperous agricultural region — rather than an effect that can be confidently attributed to the park boundary. A real park effect may still exist: east-bank communities face the park fence directly, while west-bank communities do not. But the within-observatory evidence places a much tighter bound on the plausible conservation-specific component than the gsynth estimate alone would suggest. The two results should be read together, with neither overruling the other.</w:t>
      </w:r>
    </w:p>
    <w:bookmarkEnd w:id="121"/>
    <w:bookmarkEnd w:id="122"/>
    <w:bookmarkStart w:id="127" w:name="unit-specific-effects"/>
    <w:p>
      <w:pPr>
        <w:pStyle w:val="Heading2"/>
      </w:pPr>
      <w:r>
        <w:t xml:space="preserve">18.3 Unit-specific effects</w:t>
      </w:r>
    </w:p>
    <w:tbl>
      <w:tblPr>
        <w:tblStyle w:val="Table"/>
        <w:tblW w:type="pct" w:w="5000"/>
        <w:tblLayout w:type="fixed"/>
        <w:tblLook w:firstRow="0" w:lastRow="0" w:firstColumn="0" w:lastColumn="0" w:noHBand="0" w:noVBand="0" w:val="0000"/>
      </w:tblPr>
      <w:tblGrid>
        <w:gridCol w:w="7920"/>
      </w:tblGrid>
      <w:tr>
        <w:tc>
          <w:tcPr/>
          <w:bookmarkStart w:id="126" w:name="fig-maro-units"/>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_files/figure-docx/fig-maro-units-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Unit-specific exposure effects for the two east-bank fokontany.</w:t>
            </w:r>
          </w:p>
          <w:bookmarkEnd w:id="126"/>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27"/>
    <w:bookmarkEnd w:id="128"/>
    <w:bookmarkStart w:id="137" w:name="sec-ala"/>
    <w:p>
      <w:pPr>
        <w:pStyle w:val="Heading1"/>
      </w:pPr>
      <w:r>
        <w:t xml:space="preserve">19. Lac Alaotra: multipurpose conservation (IUCN VI)</w:t>
      </w:r>
    </w:p>
    <w:bookmarkStart w:id="129" w:name="panel-construction-1"/>
    <w:p>
      <w:pPr>
        <w:pStyle w:val="Heading2"/>
      </w:pPr>
      <w:r>
        <w:t xml:space="preserve">19.1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29"/>
    <w:bookmarkStart w:id="136" w:name="sec-ala-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33" w:name="fig-ala-att"/>
          <w:p>
            <w:pPr>
              <w:pStyle w:val="Compact"/>
              <w:jc w:val="center"/>
            </w:pPr>
            <w:r>
              <w:drawing>
                <wp:inline>
                  <wp:extent cx="5334000" cy="3333750"/>
                  <wp:effectExtent b="0" l="0" r="0" t="0"/>
                  <wp:docPr descr="" title="" id="131" name="Picture"/>
                  <a:graphic>
                    <a:graphicData uri="http://schemas.openxmlformats.org/drawingml/2006/picture">
                      <pic:pic>
                        <pic:nvPicPr>
                          <pic:cNvPr descr="04_results_files/figure-docx/fig-ala-att-1.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gsynth ATT path for the aggregated observatory relative to exposure onset (2008). Outcome: log OECD-equivalised income. Shaded band: 95% parametric bootstrap CI.</w:t>
            </w:r>
          </w:p>
          <w:bookmarkEnd w:id="133"/>
        </w:tc>
      </w:tr>
    </w:tbl>
    <w:p>
      <w:pPr>
        <w:pStyle w:val="BodyText"/>
      </w:pPr>
      <w:r>
        <w:t xml:space="preserve">The Alaotra gsynth estimates an average post-exposure ATT of approximately +0.014 log points (95% CI: [-0.303, +0.333],</w:t>
      </w:r>
      <w:r>
        <w:t xml:space="preserve"> </w:t>
      </w:r>
      <w:r>
        <w:rPr>
          <w:i/>
          <w:iCs/>
        </w:rPr>
        <w:t xml:space="preserve">p</w:t>
      </w:r>
      <w:r>
        <w:t xml:space="preserve"> </w:t>
      </w:r>
      <w:r>
        <w:t xml:space="preserve">= 0.928) — close to zero and not statistically significant.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35" w:name="sec-ala-rcs"/>
    <w:p>
      <w:pPr>
        <w:pStyle w:val="Heading3"/>
      </w:pPr>
      <w:r>
        <w:t xml:space="preserve">19.2.1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34" w:name="tbl-ala-rcs"/>
          <w:p>
            <w:pPr>
              <w:jc w:val="center"/>
            </w:pPr>
            <w:pPr>
              <w:jc w:val="left"/>
              <w:spacing w:before="200"/>
              <w:pStyle w:val="ImageCaption"/>
            </w:pPr>
            <w:r>
              <w:t xml:space="preserve">Table 19.1: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34"/>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35"/>
    <w:bookmarkEnd w:id="136"/>
    <w:bookmarkEnd w:id="137"/>
    <w:bookmarkStart w:id="143" w:name="sec-comparison"/>
    <w:p>
      <w:pPr>
        <w:pStyle w:val="Heading1"/>
      </w:pPr>
      <w:r>
        <w:t xml:space="preserve">20. Comparison</w:t>
      </w:r>
    </w:p>
    <w:tbl>
      <w:tblPr>
        <w:tblStyle w:val="Table"/>
        <w:tblW w:type="pct" w:w="5000"/>
        <w:tblLayout w:type="fixed"/>
        <w:tblLook w:firstRow="0" w:lastRow="0" w:firstColumn="0" w:lastColumn="0" w:noHBand="0" w:noVBand="0" w:val="0000"/>
      </w:tblPr>
      <w:tblGrid>
        <w:gridCol w:w="7920"/>
      </w:tblGrid>
      <w:tr>
        <w:tc>
          <w:tcPr/>
          <w:bookmarkStart w:id="138" w:name="tbl-comparison"/>
          <w:p>
            <w:pPr>
              <w:jc w:val="center"/>
            </w:pPr>
            <w:pPr>
              <w:jc w:val="left"/>
              <w:spacing w:before="200"/>
              <w:pStyle w:val="ImageCaption"/>
            </w:pPr>
            <w:r>
              <w:t xml:space="preserve">Table 20.1: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comparison"/>
          <w:p>
            <w:pPr>
              <w:pStyle w:val="Compact"/>
              <w:jc w:val="center"/>
            </w:pPr>
            <w:r>
              <w:drawing>
                <wp:inline>
                  <wp:extent cx="5334000" cy="2222500"/>
                  <wp:effectExtent b="0" l="0" r="0" t="0"/>
                  <wp:docPr descr="" title="" id="140" name="Picture"/>
                  <a:graphic>
                    <a:graphicData uri="http://schemas.openxmlformats.org/drawingml/2006/picture">
                      <pic:pic>
                        <pic:nvPicPr>
                          <pic:cNvPr descr="04_results_files/figure-docx/fig-comparison-1.png" id="141" name="Picture"/>
                          <pic:cNvPicPr>
                            <a:picLocks noChangeArrowheads="1" noChangeAspect="1"/>
                          </pic:cNvPicPr>
                        </pic:nvPicPr>
                        <pic:blipFill>
                          <a:blip r:embed="rId13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Side-by-side ATT paths. Left: Ankarafantsika (strict, from 2003) shows a persistent negative effect. Right: Lac Alaotra (multipurpose, from 2008) shows no significant effect.</w:t>
            </w:r>
          </w:p>
          <w:bookmarkEnd w:id="142"/>
        </w:tc>
      </w:tr>
    </w:tbl>
    <w:p>
      <w:pPr>
        <w:pStyle w:val="BodyText"/>
      </w:pPr>
      <w:r>
        <w:t xml:space="preserve">The contrast between the two estimated ATT paths is sharp on paper: a large persistent negative gap at Ankarafantsika, and a near-zero gap at Alaotra. Before drawing governance conclusions, however, some caution is warranted. At Marovoay, the within-observatory comparison between east and west bank finds no detectable difference, raising the possibility that the gsynth estimate is capturing regional economic decline rather than conservation effects. At Alaotra, the null result may reflect genuinely benign governance or insufficient statistical power. These two caveats temper but do not dissolve the contrast: the evidence is suggestive that strict exclusionary management carries higher livelihood costs than participatory co-management, but the data cannot definitively establish the causal mechanism.</w:t>
      </w:r>
    </w:p>
    <w:bookmarkEnd w:id="143"/>
    <w:bookmarkStart w:id="156" w:name="sec-longrun"/>
    <w:p>
      <w:pPr>
        <w:pStyle w:val="Heading1"/>
      </w:pPr>
      <w:r>
        <w:t xml:space="preserve">21.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44" w:name="panel-construction-extended-model"/>
    <w:p>
      <w:pPr>
        <w:pStyle w:val="Heading2"/>
      </w:pPr>
      <w:r>
        <w:t xml:space="preserve">21.1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18</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5"/>
        </w:numPr>
      </w:pPr>
      <w:r>
        <w:t xml:space="preserve">the 5 clean donors used in</w:t>
      </w:r>
      <w:r>
        <w:t xml:space="preserve"> </w:t>
      </w:r>
      <w:hyperlink w:anchor="sec-maro">
        <w:r>
          <w:rPr>
            <w:rStyle w:val="Hyperlink"/>
          </w:rPr>
          <w:t xml:space="preserve">Chapter 18</w:t>
        </w:r>
      </w:hyperlink>
      <w:r>
        <w:t xml:space="preserve"> </w:t>
      </w:r>
      <w:r>
        <w:t xml:space="preserve">(observatories 02, 13, 16, 25, 41);</w:t>
      </w:r>
    </w:p>
    <w:p>
      <w:pPr>
        <w:pStyle w:val="Compact"/>
        <w:numPr>
          <w:ilvl w:val="0"/>
          <w:numId w:val="1015"/>
        </w:numPr>
      </w:pPr>
      <w:r>
        <w:t xml:space="preserve">the 5</w:t>
      </w:r>
      <w:r>
        <w:t xml:space="preserve"> </w:t>
      </w:r>
      <w:r>
        <w:t xml:space="preserve">“also-exposed”</w:t>
      </w:r>
      <w:r>
        <w:t xml:space="preserve"> </w:t>
      </w:r>
      <w:r>
        <w:t xml:space="preserve">observatories flagged in</w:t>
      </w:r>
      <w:r>
        <w:t xml:space="preserve"> </w:t>
      </w:r>
      <w:hyperlink r:id="rId24">
        <w:r>
          <w:rPr>
            <w:rStyle w:val="Hyperlink"/>
          </w:rPr>
          <w:t xml:space="preserve">Appendix B</w:t>
        </w:r>
      </w:hyperlink>
      <w:r>
        <w:t xml:space="preserve"> </w:t>
      </w:r>
      <w:r>
        <w:t xml:space="preserve">(12, 15, 21, 23, 24);</w:t>
      </w:r>
    </w:p>
    <w:p>
      <w:pPr>
        <w:pStyle w:val="Compact"/>
        <w:numPr>
          <w:ilvl w:val="0"/>
          <w:numId w:val="1015"/>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18.2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44"/>
    <w:bookmarkStart w:id="153" w:name="sec-ext-gsynth"/>
    <w:p>
      <w:pPr>
        <w:pStyle w:val="Heading2"/>
      </w:pPr>
      <w:r>
        <w:t xml:space="preserve">21.2 Extended gsynth</w:t>
      </w:r>
    </w:p>
    <w:tbl>
      <w:tblPr>
        <w:tblStyle w:val="Table"/>
        <w:tblW w:type="pct" w:w="5000"/>
        <w:tblLayout w:type="fixed"/>
        <w:tblLook w:firstRow="0" w:lastRow="0" w:firstColumn="0" w:lastColumn="0" w:noHBand="0" w:noVBand="0" w:val="0000"/>
      </w:tblPr>
      <w:tblGrid>
        <w:gridCol w:w="7920"/>
      </w:tblGrid>
      <w:tr>
        <w:tc>
          <w:tcPr/>
          <w:bookmarkStart w:id="148" w:name="fig-ext-att"/>
          <w:p>
            <w:pPr>
              <w:pStyle w:val="Compact"/>
              <w:jc w:val="center"/>
            </w:pPr>
            <w:r>
              <w:drawing>
                <wp:inline>
                  <wp:extent cx="5334000" cy="2933700"/>
                  <wp:effectExtent b="0" l="0" r="0" t="0"/>
                  <wp:docPr descr="" title="" id="146" name="Picture"/>
                  <a:graphic>
                    <a:graphicData uri="http://schemas.openxmlformats.org/drawingml/2006/picture">
                      <pic:pic>
                        <pic:nvPicPr>
                          <pic:cNvPr descr="04_results_files/figure-docx/fig-ext-att-1.png" id="147" name="Picture"/>
                          <pic:cNvPicPr>
                            <a:picLocks noChangeArrowheads="1" noChangeAspect="1"/>
                          </pic:cNvPicPr>
                        </pic:nvPicPr>
                        <pic:blipFill>
                          <a:blip r:embed="rId14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Extended ATT path for Ankarafantsika east-bank sites (1999–2025). The 2025 point, 22 years after the park extension, shows the largest single-period effect.</w:t>
            </w:r>
          </w:p>
          <w:bookmarkEnd w:id="148"/>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52" w:name="fig-ext-traj"/>
          <w:p>
            <w:pPr>
              <w:pStyle w:val="Compact"/>
              <w:jc w:val="center"/>
            </w:pPr>
            <w:r>
              <w:drawing>
                <wp:inline>
                  <wp:extent cx="5334000" cy="3259666"/>
                  <wp:effectExtent b="0" l="0" r="0" t="0"/>
                  <wp:docPr descr="" title="" id="150" name="Picture"/>
                  <a:graphic>
                    <a:graphicData uri="http://schemas.openxmlformats.org/drawingml/2006/picture">
                      <pic:pic>
                        <pic:nvPicPr>
                          <pic:cNvPr descr="04_results_files/figure-docx/fig-ext-traj-1.png" id="151" name="Picture"/>
                          <pic:cNvPicPr>
                            <a:picLocks noChangeArrowheads="1" noChangeAspect="1"/>
                          </pic:cNvPicPr>
                        </pic:nvPicPr>
                        <pic:blipFill>
                          <a:blip r:embed="rId14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52"/>
        </w:tc>
      </w:tr>
    </w:tbl>
    <w:bookmarkEnd w:id="153"/>
    <w:bookmarkStart w:id="154" w:name="sec-ext-robust"/>
    <w:p>
      <w:pPr>
        <w:pStyle w:val="Heading2"/>
      </w:pPr>
      <w:r>
        <w:t xml:space="preserve">21.3 Robustness of the 2025 gap</w:t>
      </w:r>
    </w:p>
    <w:p>
      <w:pPr>
        <w:pStyle w:val="FirstParagraph"/>
      </w:pPr>
      <w:r>
        <w:t xml:space="preserve">The east-west income gap in 2025 is not driven by outliers: it is visible at every percentile of the income distribution, IQR-based outlier removal widens rather than narrows the gap, and the west-bank advantage appears across five of seven major income components. In statistical terms, the gap is large enough to pass standard tests (Wilcoxon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p>
      <w:pPr>
        <w:pStyle w:val="BodyText"/>
      </w:pPr>
      <w:r>
        <w:t xml:space="preserve">What remains unresolved is whether this gap reflects cumulative park exposure or the long-term effects of the same regional decline discussed in</w:t>
      </w:r>
      <w:r>
        <w:t xml:space="preserve"> </w:t>
      </w:r>
      <w:hyperlink w:anchor="sec-maro-rcs">
        <w:r>
          <w:rPr>
            <w:rStyle w:val="Hyperlink"/>
          </w:rPr>
          <w:t xml:space="preserve">Section 18.2.1</w:t>
        </w:r>
      </w:hyperlink>
      <w:r>
        <w:t xml:space="preserve">. By 2025, the Marovoay irrigation system has deteriorated further, rural-to-urban migration has reshaped communities, and the region’s rice economy has never recovered its former position. The 2025 gap is real and robust; its attribution to conservation policy specifically requires caution.</w:t>
      </w:r>
    </w:p>
    <w:bookmarkEnd w:id="154"/>
    <w:bookmarkStart w:id="155" w:name="sec-ala-longrun"/>
    <w:p>
      <w:pPr>
        <w:pStyle w:val="Heading2"/>
      </w:pPr>
      <w:r>
        <w:t xml:space="preserve">21.4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55"/>
    <w:bookmarkEnd w:id="156"/>
    <w:bookmarkStart w:id="157" w:name="extensions"/>
    <w:p>
      <w:pPr>
        <w:pStyle w:val="Heading1"/>
      </w:pPr>
      <w:r>
        <w:t xml:space="preserve">22.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24">
        <w:r>
          <w:rPr>
            <w:rStyle w:val="Hyperlink"/>
          </w:rPr>
          <w:t xml:space="preserve">Appendix B</w:t>
        </w:r>
      </w:hyperlink>
      <w:r>
        <w:t xml:space="preserve">) flagged as themselves adjacent to protected areas created during the study period:</w:t>
      </w:r>
    </w:p>
    <w:p>
      <w:pPr>
        <w:pStyle w:val="Compact"/>
        <w:numPr>
          <w:ilvl w:val="0"/>
          <w:numId w:val="1016"/>
        </w:numPr>
      </w:pPr>
      <w:r>
        <w:t xml:space="preserve">Farafangana (obs. 15): adjacent to the Corridor Forestier Ambositra-Vondrozo (IUCN V, September 2006), a large highland corridor under light-touch regulation. Survey window: 1999–2008 (3 post-treatment years only).</w:t>
      </w:r>
    </w:p>
    <w:p>
      <w:pPr>
        <w:pStyle w:val="Compact"/>
        <w:numPr>
          <w:ilvl w:val="0"/>
          <w:numId w:val="1016"/>
        </w:numPr>
      </w:pPr>
      <w:r>
        <w:t xml:space="preserve">Toliara North (obs. 23): adjacent to Amoron’i Onilahy (IUCN V, January 2007), Mikea National Park (IUCN II, April 2007), and Ranobe PK 32 (IUCN V, December 2008) — a rapid cascade of coastal and dry-forest protections. Survey window: 1999–2014.</w:t>
      </w:r>
    </w:p>
    <w:p>
      <w:pPr>
        <w:pStyle w:val="Compact"/>
        <w:numPr>
          <w:ilvl w:val="0"/>
          <w:numId w:val="1016"/>
        </w:numPr>
      </w:pPr>
      <w:r>
        <w:t xml:space="preserve">Fénérive East (obs.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methodological note: the donor pool in this chapter is restricted to five clean observatories (Antsirabe, Tsiroanomandidy, Ambovombe, Mahanoro, Itasy) as identified in</w:t>
      </w:r>
      <w:r>
        <w:t xml:space="preserve"> </w:t>
      </w:r>
      <w:hyperlink r:id="rId24">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treated as exposed units here. Marovoay and Alaotra ATT estimates will therefore differ slightly from their Chapter 4 counterparts.</w:t>
      </w:r>
    </w:p>
    <w:bookmarkEnd w:id="157"/>
    <w:bookmarkStart w:id="175" w:name="sec-additional-sites"/>
    <w:p>
      <w:pPr>
        <w:pStyle w:val="Heading1"/>
      </w:pPr>
      <w:r>
        <w:t xml:space="preserve">23. Study sites</w:t>
      </w:r>
    </w:p>
    <w:bookmarkStart w:id="162" w:name="sec-fara-site"/>
    <w:p>
      <w:pPr>
        <w:pStyle w:val="Heading2"/>
      </w:pPr>
      <w:r>
        <w:t xml:space="preserve">23.1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 additional income effect of the 2006 CFAV decree.</w:t>
      </w:r>
    </w:p>
    <w:p>
      <w:pPr>
        <w:pStyle w:val="BodyText"/>
      </w:pPr>
      <w:r>
        <w:t xml:space="preserve">All survey sites are exposed at observatory level from 2006; no within-observatory split is possible.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61" w:name="fig-map-fara"/>
          <w:p>
            <w:pPr>
              <w:pStyle w:val="Compact"/>
              <w:jc w:val="center"/>
            </w:pPr>
            <w:r>
              <w:drawing>
                <wp:inline>
                  <wp:extent cx="5334000" cy="5334000"/>
                  <wp:effectExtent b="0" l="0" r="0" t="0"/>
                  <wp:docPr descr="" title="" id="159" name="Picture"/>
                  <a:graphic>
                    <a:graphicData uri="http://schemas.openxmlformats.org/drawingml/2006/picture">
                      <pic:pic>
                        <pic:nvPicPr>
                          <pic:cNvPr descr="05_extensions_files/figure-docx/fig-map-fara-1.pn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Farafangana observatory and nearby protected areas. The CFAV (exposure PA, red) and Manombo SR (pre-existing, yellow) are shown over surveyed fokontany.</w:t>
            </w:r>
          </w:p>
          <w:bookmarkEnd w:id="161"/>
        </w:tc>
      </w:tr>
    </w:tbl>
    <w:bookmarkEnd w:id="162"/>
    <w:bookmarkStart w:id="167" w:name="sec-tol-site"/>
    <w:p>
      <w:pPr>
        <w:pStyle w:val="Heading2"/>
      </w:pPr>
      <w:r>
        <w:t xml:space="preserve">23.2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7"/>
        </w:numPr>
      </w:pPr>
      <w:r>
        <w:t xml:space="preserve">Amoron’i Onilahy (IUCN V, 17 January 2007, ~12 km): riparian and coastal landscape PA covering the Onilahy estuary.</w:t>
      </w:r>
    </w:p>
    <w:p>
      <w:pPr>
        <w:pStyle w:val="Compact"/>
        <w:numPr>
          <w:ilvl w:val="0"/>
          <w:numId w:val="1017"/>
        </w:numPr>
      </w:pPr>
      <w:r>
        <w:t xml:space="preserve">Mikea National Park (IUCN II, 13 April 2007, ~16 km): strict reserve protecting Mikea dry spiny-thicket forest.</w:t>
      </w:r>
    </w:p>
    <w:p>
      <w:pPr>
        <w:pStyle w:val="Compact"/>
        <w:numPr>
          <w:ilvl w:val="0"/>
          <w:numId w:val="1017"/>
        </w:numPr>
      </w:pPr>
      <w:r>
        <w:t xml:space="preserve">Ranobe PK 32 (IUCN V, 2 December 2008, ~1.4 km): large terrestrial PA (1,685 km²) bordering the observatory at extremely close range.</w:t>
      </w:r>
    </w:p>
    <w:p>
      <w:pPr>
        <w:pStyle w:val="FirstParagraph"/>
      </w:pPr>
      <w:r>
        <w:t xml:space="preserve">Exposure year is 2007 —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66" w:name="fig-map-tol"/>
          <w:p>
            <w:pPr>
              <w:pStyle w:val="Compact"/>
              <w:jc w:val="center"/>
            </w:pPr>
            <w:r>
              <w:drawing>
                <wp:inline>
                  <wp:extent cx="5334000" cy="5334000"/>
                  <wp:effectExtent b="0" l="0" r="0" t="0"/>
                  <wp:docPr descr="" title="" id="164" name="Picture"/>
                  <a:graphic>
                    <a:graphicData uri="http://schemas.openxmlformats.org/drawingml/2006/picture">
                      <pic:pic>
                        <pic:nvPicPr>
                          <pic:cNvPr descr="05_extensions_files/figure-docx/fig-map-tol-1.pn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Toliara North observatory and nearby protected areas. Three PAs became operative during 2007–2008.</w:t>
            </w:r>
          </w:p>
          <w:bookmarkEnd w:id="166"/>
        </w:tc>
      </w:tr>
    </w:tbl>
    <w:bookmarkEnd w:id="167"/>
    <w:bookmarkStart w:id="172" w:name="sec-fen-site"/>
    <w:p>
      <w:pPr>
        <w:pStyle w:val="Heading2"/>
      </w:pPr>
      <w:r>
        <w:t xml:space="preserve">23.3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 2007.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71" w:name="fig-map-fen"/>
          <w:p>
            <w:pPr>
              <w:pStyle w:val="Compact"/>
              <w:jc w:val="center"/>
            </w:pPr>
            <w:r>
              <w:drawing>
                <wp:inline>
                  <wp:extent cx="5334000" cy="5334000"/>
                  <wp:effectExtent b="0" l="0" r="0" t="0"/>
                  <wp:docPr descr="" title="" id="169" name="Picture"/>
                  <a:graphic>
                    <a:graphicData uri="http://schemas.openxmlformats.org/drawingml/2006/picture">
                      <pic:pic>
                        <pic:nvPicPr>
                          <pic:cNvPr descr="05_extensions_files/figure-docx/fig-map-fen-1.pn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Fénérive East observatory and the Réserve de Tampolo (IUCN IV, 2007). The reserve is small (~7.3 km²) on the northeastern littoral coast.</w:t>
            </w:r>
          </w:p>
          <w:bookmarkEnd w:id="171"/>
        </w:tc>
      </w:tr>
    </w:tbl>
    <w:bookmarkEnd w:id="172"/>
    <w:bookmarkStart w:id="174" w:name="sec-ext-design"/>
    <w:p>
      <w:pPr>
        <w:pStyle w:val="Heading2"/>
      </w:pPr>
      <w:r>
        <w:t xml:space="preserve">23.4 Design summary</w:t>
      </w:r>
    </w:p>
    <w:tbl>
      <w:tblPr>
        <w:tblStyle w:val="Table"/>
        <w:tblW w:type="pct" w:w="5000"/>
        <w:tblLayout w:type="fixed"/>
        <w:tblLook w:firstRow="0" w:lastRow="0" w:firstColumn="0" w:lastColumn="0" w:noHBand="0" w:noVBand="0" w:val="0000"/>
      </w:tblPr>
      <w:tblGrid>
        <w:gridCol w:w="7920"/>
      </w:tblGrid>
      <w:tr>
        <w:tc>
          <w:tcPr/>
          <w:bookmarkStart w:id="173" w:name="tbl-ext-design"/>
          <w:p>
            <w:pPr>
              <w:jc w:val="center"/>
            </w:pPr>
            <w:pPr>
              <w:jc w:val="left"/>
              <w:spacing w:before="200"/>
              <w:pStyle w:val="ImageCaption"/>
            </w:pPr>
            <w:r>
              <w:t xml:space="preserve">Table 23.1: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3"/>
        </w:tc>
      </w:tr>
    </w:tbl>
    <w:bookmarkEnd w:id="174"/>
    <w:bookmarkEnd w:id="175"/>
    <w:bookmarkStart w:id="204" w:name="sec-ext-results"/>
    <w:p>
      <w:pPr>
        <w:pStyle w:val="Heading1"/>
      </w:pPr>
      <w:r>
        <w:t xml:space="preserve">24.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80" w:name="sec-ext-maro"/>
    <w:p>
      <w:pPr>
        <w:pStyle w:val="Heading2"/>
      </w:pPr>
      <w:r>
        <w:t xml:space="preserve">24.1 Ankarafantsika (clean donors)</w:t>
      </w:r>
    </w:p>
    <w:p>
      <w:pPr>
        <w:pStyle w:val="FirstParagraph"/>
      </w:pPr>
      <w:r>
        <w:t xml:space="preserve">Re-estimating the Marovoay east-bank model with the restricted donor pool yields an average post-treatment ATT of -0.312 log points (</w:t>
      </w:r>
      <m:oMath>
        <m:r>
          <m:rPr>
            <m:sty m:val="p"/>
          </m:rPr>
          <m:t>≈</m:t>
        </m:r>
      </m:oMath>
      <w:r>
        <w:t xml:space="preserve"> </w:t>
      </w:r>
      <w:r>
        <w:t xml:space="preserve">27%,</w:t>
      </w:r>
      <w:r>
        <w:t xml:space="preserve"> </w:t>
      </w:r>
      <m:oMath>
        <m:r>
          <m:t>p</m:t>
        </m:r>
      </m:oMath>
      <w:r>
        <w:t xml:space="preserve"> </w:t>
      </w:r>
      <w:r>
        <w:t xml:space="preserve">= 0.010), consistent with the full-donor estimate in</w:t>
      </w:r>
      <w:r>
        <w:t xml:space="preserve"> </w:t>
      </w:r>
      <w:hyperlink w:anchor="results">
        <w:r>
          <w:rPr>
            <w:rStyle w:val="Hyperlink"/>
          </w:rPr>
          <w:t xml:space="preserve">Chapter 4</w:t>
        </w:r>
      </w:hyperlink>
      <w:r>
        <w:t xml:space="preserve">. The point estimate is slightly attenuated because the smaller donor pool supports fewer latent factors, but the qualitative conclusion is unchanged: strict enforcement is associated with a persistent, statistically significant income decline.</w:t>
      </w:r>
    </w:p>
    <w:tbl>
      <w:tblPr>
        <w:tblStyle w:val="Table"/>
        <w:tblW w:type="pct" w:w="5000"/>
        <w:tblLayout w:type="fixed"/>
        <w:tblLook w:firstRow="0" w:lastRow="0" w:firstColumn="0" w:lastColumn="0" w:noHBand="0" w:noVBand="0" w:val="0000"/>
      </w:tblPr>
      <w:tblGrid>
        <w:gridCol w:w="7920"/>
      </w:tblGrid>
      <w:tr>
        <w:tc>
          <w:tcPr/>
          <w:bookmarkStart w:id="179" w:name="fig-att-maro-clean"/>
          <w:p>
            <w:pPr>
              <w:pStyle w:val="Compact"/>
              <w:jc w:val="center"/>
            </w:pPr>
            <w:r>
              <w:drawing>
                <wp:inline>
                  <wp:extent cx="5334000" cy="3000375"/>
                  <wp:effectExtent b="0" l="0" r="0" t="0"/>
                  <wp:docPr descr="" title="" id="177" name="Picture"/>
                  <a:graphic>
                    <a:graphicData uri="http://schemas.openxmlformats.org/drawingml/2006/picture">
                      <pic:pic>
                        <pic:nvPicPr>
                          <pic:cNvPr descr="05_extensions_files/figure-docx/fig-att-maro-clean-1.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Ankarafantsika gsynth ATT path (clean donor pool). Exposure onset 2003.</w:t>
            </w:r>
          </w:p>
          <w:bookmarkEnd w:id="179"/>
        </w:tc>
      </w:tr>
    </w:tbl>
    <w:bookmarkEnd w:id="180"/>
    <w:bookmarkStart w:id="185" w:name="sec-ext-ala"/>
    <w:p>
      <w:pPr>
        <w:pStyle w:val="Heading2"/>
      </w:pPr>
      <w:r>
        <w:t xml:space="preserve">24.2 Lac Alaotra (clean donors)</w:t>
      </w:r>
    </w:p>
    <w:p>
      <w:pPr>
        <w:pStyle w:val="FirstParagraph"/>
      </w:pPr>
      <w:r>
        <w:t xml:space="preserve">The Alaotra observatory-level ATT with clean donors remains near zero and statistically insignificant: +0.014 log points (</w:t>
      </w:r>
      <m:oMath>
        <m:r>
          <m:t>p</m:t>
        </m:r>
      </m:oMath>
      <w:r>
        <w:t xml:space="preserve"> </w:t>
      </w:r>
      <w:r>
        <w:t xml:space="preserve">= 0.928). The null result is robust to the donor-pool change, reinforcing the interpretation that participatory conservation under CBNRM did not impose detectable aggregate income costs.</w:t>
      </w:r>
    </w:p>
    <w:tbl>
      <w:tblPr>
        <w:tblStyle w:val="Table"/>
        <w:tblW w:type="pct" w:w="5000"/>
        <w:tblLayout w:type="fixed"/>
        <w:tblLook w:firstRow="0" w:lastRow="0" w:firstColumn="0" w:lastColumn="0" w:noHBand="0" w:noVBand="0" w:val="0000"/>
      </w:tblPr>
      <w:tblGrid>
        <w:gridCol w:w="7920"/>
      </w:tblGrid>
      <w:tr>
        <w:tc>
          <w:tcPr/>
          <w:bookmarkStart w:id="184" w:name="fig-att-ala-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_files/figure-docx/fig-att-ala-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Lac Alaotra gsynth ATT path (clean donor pool). Exposure onset 2008.</w:t>
            </w:r>
          </w:p>
          <w:bookmarkEnd w:id="184"/>
        </w:tc>
      </w:tr>
    </w:tbl>
    <w:bookmarkEnd w:id="185"/>
    <w:bookmarkStart w:id="193" w:name="sec-ext-fara"/>
    <w:p>
      <w:pPr>
        <w:pStyle w:val="Heading2"/>
      </w:pPr>
      <w:r>
        <w:t xml:space="preserve">24.3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Program Files\Quarto\share\formats\docx\warning.png" id="18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192" w:name="fig-att-fara"/>
          <w:p>
            <w:pPr>
              <w:pStyle w:val="Compact"/>
              <w:jc w:val="center"/>
            </w:pPr>
            <w:r>
              <w:drawing>
                <wp:inline>
                  <wp:extent cx="5334000" cy="3000375"/>
                  <wp:effectExtent b="0" l="0" r="0" t="0"/>
                  <wp:docPr descr="" title="" id="190" name="Picture"/>
                  <a:graphic>
                    <a:graphicData uri="http://schemas.openxmlformats.org/drawingml/2006/picture">
                      <pic:pic>
                        <pic:nvPicPr>
                          <pic:cNvPr descr="05_extensions_files/figure-docx/fig-att-fara-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Farafangana gsynth ATT path (1999–2008). Exposure onset 2006. Wide CIs reflect only 3 post-treatment years.</w:t>
            </w:r>
          </w:p>
          <w:bookmarkEnd w:id="192"/>
        </w:tc>
      </w:tr>
    </w:tbl>
    <w:bookmarkEnd w:id="193"/>
    <w:bookmarkStart w:id="198" w:name="sec-ext-tol"/>
    <w:p>
      <w:pPr>
        <w:pStyle w:val="Heading2"/>
      </w:pPr>
      <w:r>
        <w:t xml:space="preserve">24.4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197" w:name="fig-att-tol"/>
          <w:p>
            <w:pPr>
              <w:pStyle w:val="Compact"/>
              <w:jc w:val="center"/>
            </w:pPr>
            <w:r>
              <w:drawing>
                <wp:inline>
                  <wp:extent cx="5334000" cy="3000375"/>
                  <wp:effectExtent b="0" l="0" r="0" t="0"/>
                  <wp:docPr descr="" title="" id="195" name="Picture"/>
                  <a:graphic>
                    <a:graphicData uri="http://schemas.openxmlformats.org/drawingml/2006/picture">
                      <pic:pic>
                        <pic:nvPicPr>
                          <pic:cNvPr descr="05_extensions_files/figure-docx/fig-att-tol-1.png" id="196"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24.4: Toliara North gsynth ATT path. Exposure onset 2007 (Amoron’i Onilahy decree). An annotation marks the December 2008 Ranobe PK 32 secondary decree.</w:t>
            </w:r>
          </w:p>
          <w:bookmarkEnd w:id="197"/>
        </w:tc>
      </w:tr>
    </w:tbl>
    <w:bookmarkEnd w:id="198"/>
    <w:bookmarkStart w:id="203" w:name="sec-ext-fen"/>
    <w:p>
      <w:pPr>
        <w:pStyle w:val="Heading2"/>
      </w:pPr>
      <w:r>
        <w:t xml:space="preserve">24.5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202" w:name="fig-att-fen"/>
          <w:p>
            <w:pPr>
              <w:pStyle w:val="Compact"/>
              <w:jc w:val="center"/>
            </w:pPr>
            <w:r>
              <w:drawing>
                <wp:inline>
                  <wp:extent cx="5334000" cy="3000375"/>
                  <wp:effectExtent b="0" l="0" r="0" t="0"/>
                  <wp:docPr descr="" title="" id="200" name="Picture"/>
                  <a:graphic>
                    <a:graphicData uri="http://schemas.openxmlformats.org/drawingml/2006/picture">
                      <pic:pic>
                        <pic:nvPicPr>
                          <pic:cNvPr descr="05_extensions_files/figure-docx/fig-att-fen-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24.5: Fénérive East gsynth ATT path. Exposure onset 2007 (Réserve de Tampolo decree).</w:t>
            </w:r>
          </w:p>
          <w:bookmarkEnd w:id="202"/>
        </w:tc>
      </w:tr>
    </w:tbl>
    <w:bookmarkEnd w:id="203"/>
    <w:bookmarkEnd w:id="204"/>
    <w:bookmarkStart w:id="217" w:name="sec-synthesis"/>
    <w:p>
      <w:pPr>
        <w:pStyle w:val="Heading1"/>
      </w:pPr>
      <w:r>
        <w:t xml:space="preserve">25. Five-case synthesis</w:t>
      </w:r>
    </w:p>
    <w:bookmarkStart w:id="214" w:name="comparative-results"/>
    <w:p>
      <w:pPr>
        <w:pStyle w:val="Heading2"/>
      </w:pPr>
      <w:r>
        <w:t xml:space="preserve">25.1 Comparative results</w:t>
      </w:r>
    </w:p>
    <w:tbl>
      <w:tblPr>
        <w:tblStyle w:val="Table"/>
        <w:tblW w:type="pct" w:w="5000"/>
        <w:tblLayout w:type="fixed"/>
        <w:tblLook w:firstRow="0" w:lastRow="0" w:firstColumn="0" w:lastColumn="0" w:noHBand="0" w:noVBand="0" w:val="0000"/>
      </w:tblPr>
      <w:tblGrid>
        <w:gridCol w:w="7920"/>
      </w:tblGrid>
      <w:tr>
        <w:tc>
          <w:tcPr/>
          <w:bookmarkStart w:id="205" w:name="tbl-five-att"/>
          <w:p>
            <w:pPr>
              <w:jc w:val="center"/>
            </w:pPr>
            <w:pPr>
              <w:jc w:val="left"/>
              <w:spacing w:before="200"/>
              <w:pStyle w:val="ImageCaption"/>
            </w:pPr>
            <w:r>
              <w:t xml:space="preserve">Table 25.1: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9" w:name="fig-att-all-overlay"/>
          <w:p>
            <w:pPr>
              <w:pStyle w:val="Compact"/>
              <w:jc w:val="center"/>
            </w:pPr>
            <w:r>
              <w:drawing>
                <wp:inline>
                  <wp:extent cx="5334000" cy="2667000"/>
                  <wp:effectExtent b="0" l="0" r="0" t="0"/>
                  <wp:docPr descr="" title="" id="207" name="Picture"/>
                  <a:graphic>
                    <a:graphicData uri="http://schemas.openxmlformats.org/drawingml/2006/picture">
                      <pic:pic>
                        <pic:nvPicPr>
                          <pic:cNvPr descr="05_extensions_files/figure-docx/fig-att-all-overlay-1.png" id="208" name="Picture"/>
                          <pic:cNvPicPr>
                            <a:picLocks noChangeArrowheads="1" noChangeAspect="1"/>
                          </pic:cNvPicPr>
                        </pic:nvPicPr>
                        <pic:blipFill>
                          <a:blip r:embed="rId20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ATT paths for all five exposed observatories on the same relative-time axis. CI bands suppressed for legibility.</w:t>
            </w:r>
          </w:p>
          <w:bookmarkEnd w:id="209"/>
        </w:tc>
      </w:tr>
    </w:tbl>
    <w:tbl>
      <w:tblPr>
        <w:tblStyle w:val="Table"/>
        <w:tblW w:type="pct" w:w="5000"/>
        <w:tblLayout w:type="fixed"/>
        <w:tblLook w:firstRow="0" w:lastRow="0" w:firstColumn="0" w:lastColumn="0" w:noHBand="0" w:noVBand="0" w:val="0000"/>
      </w:tblPr>
      <w:tblGrid>
        <w:gridCol w:w="7920"/>
      </w:tblGrid>
      <w:tr>
        <w:tc>
          <w:tcPr/>
          <w:bookmarkStart w:id="213" w:name="fig-forest-plot"/>
          <w:p>
            <w:pPr>
              <w:pStyle w:val="Compact"/>
              <w:jc w:val="center"/>
            </w:pPr>
            <w:r>
              <w:drawing>
                <wp:inline>
                  <wp:extent cx="5334000" cy="2667000"/>
                  <wp:effectExtent b="0" l="0" r="0" t="0"/>
                  <wp:docPr descr="" title="" id="211" name="Picture"/>
                  <a:graphic>
                    <a:graphicData uri="http://schemas.openxmlformats.org/drawingml/2006/picture">
                      <pic:pic>
                        <pic:nvPicPr>
                          <pic:cNvPr descr="05_extensions_files/figure-docx/fig-forest-plot-1.png" id="212" name="Picture"/>
                          <pic:cNvPicPr>
                            <a:picLocks noChangeArrowheads="1" noChangeAspect="1"/>
                          </pic:cNvPicPr>
                        </pic:nvPicPr>
                        <pic:blipFill>
                          <a:blip r:embed="rId2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Forest plot of average post-treatment ATTs with 95% parametric bootstrap CIs. Farafangana shown at reduced opacity.</w:t>
            </w:r>
          </w:p>
          <w:bookmarkEnd w:id="213"/>
        </w:tc>
      </w:tr>
    </w:tbl>
    <w:bookmarkEnd w:id="214"/>
    <w:bookmarkStart w:id="215" w:name="sec-patterns"/>
    <w:p>
      <w:pPr>
        <w:pStyle w:val="Heading2"/>
      </w:pPr>
      <w:r>
        <w:t xml:space="preserve">25.2 Three patterns</w:t>
      </w:r>
    </w:p>
    <w:p>
      <w:pPr>
        <w:pStyle w:val="FirstParagraph"/>
      </w:pPr>
      <w:r>
        <w:t xml:space="preserve">The five-case comparison suggests three broad patterns, each of which warrants careful interpretation given the small number of exposed units per model.</w:t>
      </w:r>
    </w:p>
    <w:p>
      <w:pPr>
        <w:pStyle w:val="BodyText"/>
      </w:pPr>
      <w:r>
        <w:t xml:space="preserve">The first pattern is a large negative income gap under strict enforcement. Ankarafantsika (Marovoay) shows the largest and most persistent negative gap relative to its synthetic counterfactual, statistically significant and apparent through the 2025 resurvey. This is consistent with direct resource exclusion from a large, actively patrolled park. However, as discussed in</w:t>
      </w:r>
      <w:r>
        <w:t xml:space="preserve"> </w:t>
      </w:r>
      <w:hyperlink w:anchor="sec-maro-rcs">
        <w:r>
          <w:rPr>
            <w:rStyle w:val="Hyperlink"/>
          </w:rPr>
          <w:t xml:space="preserve">Section 18.2.1</w:t>
        </w:r>
      </w:hyperlink>
      <w:r>
        <w:t xml:space="preserve"> </w:t>
      </w:r>
      <w:r>
        <w:t xml:space="preserve">and</w:t>
      </w:r>
      <w:r>
        <w:t xml:space="preserve"> </w:t>
      </w:r>
      <w:hyperlink w:anchor="sec-counterfactual">
        <w:r>
          <w:rPr>
            <w:rStyle w:val="Hyperlink"/>
          </w:rPr>
          <w:t xml:space="preserve">Chapter 29</w:t>
        </w:r>
      </w:hyperlink>
      <w:r>
        <w:t xml:space="preserve">, the within-Marovoay comparison between east-bank and west-bank villages finds no equivalent income difference, which raises the possibility that the gsynth is capturing regional economic decline — the long-run deterioration of the Marovoay irrigated rice economy — rather than a park-specific effect. The Marovoay result should therefore be treated as suggestive rather than conclusive evidence of a conservation-driven income loss.</w:t>
      </w:r>
    </w:p>
    <w:p>
      <w:pPr>
        <w:pStyle w:val="BodyText"/>
      </w:pPr>
      <w:r>
        <w:t xml:space="preserve">The second pattern is near-zero estimated effects under participatory or multipurpose governance. Lac Alaotra, Toliara North, and tentatively Farafangana all show point estimates clustered near zero with no statistically significant departure. The community-based management framework at Alaotra, and the lighter regulatory touch at the other sites, appears consistent with no detectable aggregate income costs at the survey-year frequency — though low statistical power (one exposed unit per model) means that moderate effects cannot be ruled out.</w:t>
      </w:r>
    </w:p>
    <w:p>
      <w:pPr>
        <w:pStyle w:val="BodyText"/>
      </w:pPr>
      <w:r>
        <w:t xml:space="preserve">The third pattern is that a small, research-oriented reserve with minimal enforcement leaves estimated income unchanged. Fénérive East shows a near-zero ATT with a moderately narrow confidence interval, which is the result one would expect from a 7.3 km² scientific forest that does not constrain community livelihoods at scale.</w:t>
      </w:r>
    </w:p>
    <w:bookmarkEnd w:id="215"/>
    <w:bookmarkStart w:id="216" w:name="caveats"/>
    <w:p>
      <w:pPr>
        <w:pStyle w:val="Heading2"/>
      </w:pPr>
      <w:r>
        <w:t xml:space="preserve">25.3 Caveats</w:t>
      </w:r>
    </w:p>
    <w:p>
      <w:pPr>
        <w:pStyle w:val="FirstParagraph"/>
      </w:pPr>
      <w:r>
        <w:t xml:space="preserve">Several limitations temper interpretation of the extended comparison. With only three post-treatment years, the Farafangana estimate has low reliability and should not be compared numerically to the others. At Toliara North, the rapid succession of three protected areas in 2007–2008 means the estimated ATT captures a composite of overlapping events rather than a clean single intervention. Using only five donor observatories rather than the nine available in Chapter 4 reduces counterfactual precision, which is why ATT estimates for Marovoay and Alaotra differ slightly between the two chapters. Identification for the three new sites rests on decree dates and spatial proximity without the behavioural validation available for Marovoay and Alaotra, since no 2025 resurvey covered these observatories. Finally, each observatory-level model has exactly one exposed unit, which imposes a minimum permutation p-value of roughly</w:t>
      </w:r>
      <w:r>
        <w:t xml:space="preserve"> </w:t>
      </w:r>
      <m:oMath>
        <m:r>
          <m:t>1</m:t>
        </m:r>
        <m:r>
          <m:rPr>
            <m:sty m:val="p"/>
          </m:rPr>
          <m:t>/</m:t>
        </m:r>
        <m:sSub>
          <m:e>
            <m:r>
              <m:t>N</m:t>
            </m:r>
          </m:e>
          <m:sub>
            <m:r>
              <m:rPr>
                <m:nor/>
                <m:sty m:val="p"/>
              </m:rPr>
              <m:t>donors</m:t>
            </m:r>
          </m:sub>
        </m:sSub>
      </m:oMath>
      <w:r>
        <w:t xml:space="preserve">; effects below around 20% cannot be reliably distinguished from chance.</w:t>
      </w:r>
    </w:p>
    <w:bookmarkEnd w:id="216"/>
    <w:bookmarkEnd w:id="217"/>
    <w:bookmarkStart w:id="218" w:name="discussion"/>
    <w:p>
      <w:pPr>
        <w:pStyle w:val="Heading1"/>
      </w:pPr>
      <w:r>
        <w:t xml:space="preserve">26. Discussion</w:t>
      </w:r>
    </w:p>
    <w:p>
      <w:pPr>
        <w:pStyle w:val="FirstParagraph"/>
      </w:pPr>
      <w:r>
        <w:t xml:space="preserve">Policy implications, limitations, and next steps</w:t>
      </w:r>
    </w:p>
    <w:p>
      <w:pPr>
        <w:pStyle w:val="BodyText"/>
      </w:pPr>
      <w:r>
        <w:br/>
      </w:r>
    </w:p>
    <w:bookmarkEnd w:id="218"/>
    <w:bookmarkStart w:id="219" w:name="sec-summary"/>
    <w:p>
      <w:pPr>
        <w:pStyle w:val="Heading1"/>
      </w:pPr>
      <w:r>
        <w:t xml:space="preserve">27.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t xml:space="preserve">The core finding from the two primary sites is a divergence in estimated income trajectories. At Ankarafantsika, the extension of a forest reserve into a strictly patrolled national park (IUCN II, 2002) is associated with a -0.312 log-point gap in OECD-equivalised household income relative to the synthetic counterfactual (approximately 27%), statistically significant and persistent through 2025. However, as discussed in</w:t>
      </w:r>
      <w:r>
        <w:t xml:space="preserve"> </w:t>
      </w:r>
      <w:hyperlink w:anchor="sec-maro-rcs">
        <w:r>
          <w:rPr>
            <w:rStyle w:val="Hyperlink"/>
          </w:rPr>
          <w:t xml:space="preserve">Section 18.2.1</w:t>
        </w:r>
      </w:hyperlink>
      <w:r>
        <w:t xml:space="preserve">, a comparison between east-bank and west-bank villages within the same observatory finds no detectable income difference between the two sides of the river. This diagnostic raises an important alternative reading: the gsynth estimate may be capturing the long-run regional economic decline of the Marovoay plain relative to the donor sites on the highland plateau or in the south. Marovoay was historically Madagascar’s most productive irrigated rice landscape, the</w:t>
      </w:r>
      <w:r>
        <w:t xml:space="preserve"> </w:t>
      </w:r>
      <w:r>
        <w:rPr>
          <w:i/>
          <w:iCs/>
        </w:rPr>
        <w:t xml:space="preserve">grenier à blé</w:t>
      </w:r>
      <w:r>
        <w:t xml:space="preserve"> </w:t>
      </w:r>
      <w:r>
        <w:t xml:space="preserve">of the country. From the 1980s onward the region experienced a documented decline driven by the silting of the Betsiboka, the deterioration of colonial-era irrigation canals, and the withdrawal of state-led rice marketing support. This trajectory predates the 2002 park extension and could account for much of the divergence that gsynth records, if the donor observatories were not similarly exposed to the collapse of lowland irrigated agriculture. Attribution of the estimated income gap to the park specifically therefore remains uncertain; the results at Marovoay should be read as indicative rather than conclusive.</w:t>
      </w:r>
    </w:p>
    <w:p>
      <w:pPr>
        <w:pStyle w:val="BodyText"/>
      </w:pPr>
      <w:r>
        <w:t xml:space="preserve">At Lac Alaotra, creation of a participatory protected landscape under community-based natural resource management (IUCN V, 2008) produces an estimated ATT close to zero, indistinguishable from zero. Communities retained access to the lake-marsh ecosystem under Durrell’s management; no aggregate income cost is detectable, though this null could equally reflect low statistical power.</w:t>
      </w:r>
    </w:p>
    <w:p>
      <w:pPr>
        <w:pStyle w:val="BodyText"/>
      </w:pPr>
      <w:r>
        <w:t xml:space="preserve">Extending the analysis to Farafangana, Toliara North, and Fénérive East yields near-zero, statistically insignificant ATTs in all three cases. These sites face protected areas that are either multipurpose in governance, small in footprint, or both. The 2025 resurvey at Marovoay confirms that the east-west income gap persists twenty-two years after the park extension, though its interpretation remains subject to the regional-decline caveat discussed above.</w:t>
      </w:r>
    </w:p>
    <w:bookmarkEnd w:id="219"/>
    <w:bookmarkStart w:id="223" w:name="sec-policy"/>
    <w:p>
      <w:pPr>
        <w:pStyle w:val="Heading1"/>
      </w:pPr>
      <w:r>
        <w:t xml:space="preserve">28. Policy implications</w:t>
      </w:r>
    </w:p>
    <w:bookmarkStart w:id="220" w:name="conservation-governance-matters"/>
    <w:p>
      <w:pPr>
        <w:pStyle w:val="Heading2"/>
      </w:pPr>
      <w:r>
        <w:t xml:space="preserve">28.1 Conservation governance matters</w:t>
      </w:r>
    </w:p>
    <w:p>
      <w:pPr>
        <w:pStyle w:val="FirstParagraph"/>
      </w:pPr>
      <w:r>
        <w:t xml:space="preserve">The results, taken at face value, suggest that how a protected area is governed may matter at least as much as whether it exists. Across all five cases, only the site with strict exclusionary management (Ankarafantsika, IUCN II) shows a large negative income gap; sites with multipurpose or low-intensity governance show near-zero effects. This is consistent with a growing literature showing that conservation-income trade-offs depend heavily on institutional design rather than the fact of protection alone</w:t>
      </w:r>
      <w:r>
        <w:t xml:space="preserve"> </w:t>
      </w:r>
      <w:r>
        <w:t xml:space="preserve">(Ferraro et al. 2011; Sims 2010; Oldekop et al. 2016)</w:t>
      </w:r>
      <w:r>
        <w:t xml:space="preserve">.</w:t>
      </w:r>
    </w:p>
    <w:p>
      <w:pPr>
        <w:pStyle w:val="BodyText"/>
      </w:pPr>
      <w:r>
        <w:t xml:space="preserve">That said, the Marovoay result requires the caveat outlined in</w:t>
      </w:r>
      <w:r>
        <w:t xml:space="preserve"> </w:t>
      </w:r>
      <w:hyperlink w:anchor="sec-summary">
        <w:r>
          <w:rPr>
            <w:rStyle w:val="Hyperlink"/>
          </w:rPr>
          <w:t xml:space="preserve">Chapter 27</w:t>
        </w:r>
      </w:hyperlink>
      <w:r>
        <w:t xml:space="preserve">: the gsynth gap may reflect, at least in part, the regional economic decline of the Marovoay plain rather than a park-specific effect. Taken together, the evidence is suggestive rather than conclusive that strict conservation imposes household income costs, and it supports the architecture of Madagascar’s post-2003 SAPM expansion, which paired strict protection with extensive community-based and multipurpose approaches.</w:t>
      </w:r>
    </w:p>
    <w:bookmarkEnd w:id="220"/>
    <w:bookmarkStart w:id="221" w:name="compensation-and-livelihood-integration"/>
    <w:p>
      <w:pPr>
        <w:pStyle w:val="Heading2"/>
      </w:pPr>
      <w:r>
        <w:t xml:space="preserve">28.2 Compensation and livelihood integration</w:t>
      </w:r>
    </w:p>
    <w:p>
      <w:pPr>
        <w:pStyle w:val="FirstParagraph"/>
      </w:pPr>
      <w:r>
        <w:t xml:space="preserve">Even under the cautious interpretation, two decades of survey data show that the income gap between east-bank Marovoay villages and comparable sites has not closed. Whether driven primarily by the park or by the broader decline of the irrigation economy, households in this area are measurably poorer than comparable rural communities. If conservation generates national and global public goods — carbon storage, biodiversity preservation — the costs of both the park and the regional disadvantage should not fall disproportionately on some of Madagascar’s poorest rural households.</w:t>
      </w:r>
    </w:p>
    <w:p>
      <w:pPr>
        <w:pStyle w:val="BodyText"/>
      </w:pPr>
      <w:r>
        <w:t xml:space="preserve">Policy options worth examining include direct transfers tied to park proximity and enforcement intensity, livelihood diversification programmes in buffer zones, and, where strict enforcement is not ecologically necessary, a reconsideration of whether IUCN II classification still serves its intended purpose in particular sites.</w:t>
      </w:r>
    </w:p>
    <w:bookmarkEnd w:id="221"/>
    <w:bookmarkStart w:id="222" w:name="limitations-of-the-policy-inference"/>
    <w:p>
      <w:pPr>
        <w:pStyle w:val="Heading2"/>
      </w:pPr>
      <w:r>
        <w:t xml:space="preserve">28.3 Limitations of the policy inference</w:t>
      </w:r>
    </w:p>
    <w:p>
      <w:pPr>
        <w:pStyle w:val="FirstParagraph"/>
      </w:pPr>
      <w:r>
        <w:t xml:space="preserve">These results say nothing about whether multipurpose conservation is effective at achieving its ecological aims. The null income effect at Lac Alaotra may reflect genuinely benign governance or enforcement that exists on paper but has little practical effect on community behaviour. Without ecological outcome data — forest cover trends, water quality, species abundance — the net welfare implications of either governance model remain incomplete.</w:t>
      </w:r>
    </w:p>
    <w:bookmarkEnd w:id="222"/>
    <w:bookmarkEnd w:id="223"/>
    <w:bookmarkStart w:id="227" w:name="sec-counterfactual"/>
    <w:p>
      <w:pPr>
        <w:pStyle w:val="Heading1"/>
      </w:pPr>
      <w:r>
        <w:t xml:space="preserve">29.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 necessary but not sufficient: the factor structure estimated before the PA must continue to hold after it. With only one or two treated units, this assumption cannot be tested directly.</w:t>
      </w:r>
    </w:p>
    <w:bookmarkStart w:id="224" w:name="marovoay-alternative-explanations"/>
    <w:p>
      <w:pPr>
        <w:pStyle w:val="Heading2"/>
      </w:pPr>
      <w:r>
        <w:t xml:space="preserve">29.1 Marovoay: alternative explanations</w:t>
      </w:r>
    </w:p>
    <w:p>
      <w:pPr>
        <w:pStyle w:val="FirstParagraph"/>
      </w:pPr>
      <w:r>
        <w:t xml:space="preserve">The Ankarafantsika estimate rests on the Betsiboka River providing a geographic split between communities with and without direct park access. Several concerns temper the causal interpretation.</w:t>
      </w:r>
    </w:p>
    <w:p>
      <w:pPr>
        <w:pStyle w:val="BodyText"/>
      </w:pPr>
      <w:r>
        <w:t xml:space="preserve">First, the most important diagnostic: the within-observatory comparison between east-bank and west-bank villages finds no detectable income difference over the study period (</w:t>
      </w:r>
      <w:hyperlink w:anchor="sec-maro-rcs">
        <w:r>
          <w:rPr>
            <w:rStyle w:val="Hyperlink"/>
          </w:rPr>
          <w:t xml:space="preserve">Section 18.2.1</w:t>
        </w:r>
      </w:hyperlink>
      <w:r>
        <w:t xml:space="preserve">). This is the main reason to be cautious about attributing the gsynth gap to the park. The gsynth compares Marovoay sites against donors on the highland plateau or in the southern drylands. If the Marovoay region as a whole has fallen behind those other places — because of the Betsiboka siltation, the degradation of irrigation infrastructure, the loss of its historical position as Madagascar’s primary rice supplier — then gsynth will attribute that regional divergence to park exposure simply because the timing happens to align. The within-observatory comparison controls for this regional shock automatically. The fact that east-bank and west-bank incomes moved together is consistent with a common regional driver rather than a park-specific effect.</w:t>
      </w:r>
    </w:p>
    <w:p>
      <w:pPr>
        <w:pStyle w:val="BodyText"/>
      </w:pPr>
      <w:r>
        <w:t xml:space="preserve">Second, the east bank was already adjacent to the Réserve Naturelle Intégrale d’Ankarafantsika (1927) before the 2002 extension. The RNI may have imposed partial constraints before the study period began, making the 2002 extension a less clean sharp onset than the design assumes.</w:t>
      </w:r>
    </w:p>
    <w:p>
      <w:pPr>
        <w:pStyle w:val="BodyText"/>
      </w:pPr>
      <w:r>
        <w:t xml:space="preserve">Third, east-bank and west-bank villages differ in soil types, flood exposure, and irrigation access. If these differences interact with post-2002 trends — through a cyclone, drought, or infrastructure investment that differentially affected one bank — the estimated gap would conflate conservation effects with other shocks.</w:t>
      </w:r>
    </w:p>
    <w:p>
      <w:pPr>
        <w:pStyle w:val="BodyText"/>
      </w:pPr>
      <w:r>
        <w:t xml:space="preserve">Fourth, selective out-migration from the east bank could make the remaining surveyed population appear poorer without any true income decline, since the ROS sampling frame was not designed to track migrants.</w:t>
      </w:r>
    </w:p>
    <w:bookmarkEnd w:id="224"/>
    <w:bookmarkStart w:id="225" w:name="alaotra-single-unit-identification"/>
    <w:p>
      <w:pPr>
        <w:pStyle w:val="Heading2"/>
      </w:pPr>
      <w:r>
        <w:t xml:space="preserve">29.2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25"/>
    <w:bookmarkStart w:id="226" w:name="implications-for-interpretation"/>
    <w:p>
      <w:pPr>
        <w:pStyle w:val="Heading2"/>
      </w:pPr>
      <w:r>
        <w:t xml:space="preserve">29.3 Implications for interpretation</w:t>
      </w:r>
    </w:p>
    <w:p>
      <w:pPr>
        <w:pStyle w:val="FirstParagraph"/>
      </w:pPr>
      <w:r>
        <w:t xml:space="preserve">Given these concerns, we characterise the results as strongly suggestive rather than definitively causal.</w:t>
      </w:r>
    </w:p>
    <w:p>
      <w:pPr>
        <w:pStyle w:val="BodyText"/>
      </w:pPr>
      <w:r>
        <w:t xml:space="preserve">Three features of the evidence increase confidence that the patterns are real, even under the cautious interpretation. The sign and persistence of the Ankarafantsika gap are robust across specifications — generalized synthetic control, synthetic difference-in-differences, unadjusted income, and levels all tell the same directional story. The governance contrast between strict-negative and multipurpose-null outcomes appears across all five independent cases, making it less likely to be driven by a single confounded comparison. And the 2025 resurvey at Marovoay, which directly documents park-interaction behaviour, provides corroborating evidence that east-bank communities face binding constraints from the park, even if the size of the income gap cannot be fully attributed to those constraints alone.</w:t>
      </w:r>
    </w:p>
    <w:p>
      <w:pPr>
        <w:pStyle w:val="BodyText"/>
      </w:pPr>
      <w:r>
        <w:t xml:space="preserve">These results are best read as a first-generation estimate that motivates, and will be refined by, the household-level analysis planned for the 2026 data.</w:t>
      </w:r>
    </w:p>
    <w:bookmarkEnd w:id="226"/>
    <w:bookmarkEnd w:id="227"/>
    <w:bookmarkStart w:id="228" w:name="sec-limitations"/>
    <w:p>
      <w:pPr>
        <w:pStyle w:val="Heading1"/>
      </w:pPr>
      <w:r>
        <w:t xml:space="preserve">30. Limitations</w:t>
      </w:r>
    </w:p>
    <w:p>
      <w:pPr>
        <w:pStyle w:val="FirstParagraph"/>
      </w:pPr>
      <w:r>
        <w:t xml:space="preserve">Several limitations temper causal interpretation and should inform how these results are used.</w:t>
      </w:r>
    </w:p>
    <w:p>
      <w:pPr>
        <w:pStyle w:val="BodyText"/>
      </w:pPr>
      <w:r>
        <w:t xml:space="preserve">Statistical power is the most fundamental constraint. Each gsynth model has exactly one exposed unit, which imposes a minimum achievable p-value of roughly</w:t>
      </w:r>
      <w:r>
        <w:t xml:space="preserve"> </w:t>
      </w:r>
      <m:oMath>
        <m:r>
          <m:t>1</m:t>
        </m:r>
        <m:r>
          <m:rPr>
            <m:sty m:val="p"/>
          </m:rPr>
          <m:t>/</m:t>
        </m:r>
        <m:sSub>
          <m:e>
            <m:r>
              <m:t>N</m:t>
            </m:r>
          </m:e>
          <m:sub>
            <m:r>
              <m:rPr>
                <m:nor/>
                <m:sty m:val="p"/>
              </m:rPr>
              <m:t>donors</m:t>
            </m:r>
          </m:sub>
        </m:sSub>
      </m:oMath>
      <w:r>
        <w:t xml:space="preserve">. The Alaotra null result may reflect insufficient power rather than a true zero effect; effects below around 20% are difficult to distinguish from zero in this design.</w:t>
      </w:r>
    </w:p>
    <w:p>
      <w:pPr>
        <w:pStyle w:val="BodyText"/>
      </w:pPr>
      <w:r>
        <w:t xml:space="preserve">PA creation in Madagascar involves multiple administrative steps — decree, gazette, enforcement on the ground. We assign exposure to the first full survey year after the decree, but actual enforcement may have ramped up over one to three years. This attenuates early post-exposure estimates.</w:t>
      </w:r>
    </w:p>
    <w:p>
      <w:pPr>
        <w:pStyle w:val="BodyText"/>
      </w:pPr>
      <w:r>
        <w:t xml:space="preserve">The gsynth framework operates on site-level panel data, collapsing roughly 130–260 households per survey year into a single village-year mean. This aggregation absorbs within-site variation in exposure intensity, livelihood strategy, and income composition, discarding information that household-level analysis could use.</w:t>
      </w:r>
    </w:p>
    <w:p>
      <w:pPr>
        <w:pStyle w:val="BodyText"/>
      </w:pPr>
      <w:r>
        <w:t xml:space="preserve">Spillover effects could bias the west-bank Marovoay villages as controls if displaced east-bank labour or capital migrated westward across the river; the stable unit treatment value assumption cannot be verified.</w:t>
      </w:r>
    </w:p>
    <w:p>
      <w:pPr>
        <w:pStyle w:val="BodyText"/>
      </w:pPr>
      <w:r>
        <w:t xml:space="preserve">We estimate effects on total income only. Conservation pressure may reshape the composition of income — shifting households from forest-product extraction toward wage labour, for example — without necessarily changing the total. Decomposing effects by income source would require separate models for each component with even lower power.</w:t>
      </w:r>
    </w:p>
    <w:p>
      <w:pPr>
        <w:pStyle w:val="BodyText"/>
      </w:pPr>
      <w:r>
        <w:t xml:space="preserve">Survey-based income measurement in subsistence economies is inherently approximate. Recall bias and seasonal variation are unavoidable. The OECD equivalence scale adjusts for household size but assumes consumption patterns that may not hold in rural Madagascar.</w:t>
      </w:r>
    </w:p>
    <w:p>
      <w:pPr>
        <w:pStyle w:val="BodyText"/>
      </w:pPr>
      <w:r>
        <w:t xml:space="preserve">The five clean donor observatories span very different agro-ecological zones — highland plateau, semi-arid south, humid east coast. Whether a weighted average of such diverse economies can credibly represent what Marovoay’s irrigated rice plain, or Alaotra’s lake fishery, would have earned absent the PA is an open question. The Marovoay model has only four pre-treatment years in which to validate this projection.</w:t>
      </w:r>
    </w:p>
    <w:p>
      <w:pPr>
        <w:pStyle w:val="BodyText"/>
      </w:pPr>
      <w:r>
        <w:t xml:space="preserve">Finally, this study measures income effects only. A protected area that imposes short-term income costs but prevents longer-run ecological degradation — soil erosion from deforestation, loss of water regulation — may be welfare-improving over a longer horizon. The full welfare comparison requires ecological outcome data that are outside the scope of this analysis.</w:t>
      </w:r>
    </w:p>
    <w:bookmarkEnd w:id="228"/>
    <w:bookmarkStart w:id="232" w:name="sec-next-steps"/>
    <w:p>
      <w:pPr>
        <w:pStyle w:val="Heading1"/>
      </w:pPr>
      <w:r>
        <w:t xml:space="preserve">31.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30" w:name="staggered-did-design"/>
    <w:p>
      <w:pPr>
        <w:pStyle w:val="Heading2"/>
      </w:pPr>
      <w:r>
        <w:t xml:space="preserve">31.1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29" w:name="tbl-staggered"/>
          <w:p>
            <w:pPr>
              <w:jc w:val="center"/>
            </w:pPr>
            <w:pPr>
              <w:jc w:val="left"/>
              <w:spacing w:before="200"/>
              <w:pStyle w:val="ImageCaption"/>
            </w:pPr>
            <w:r>
              <w:t xml:space="preserve">Table 31.1: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29"/>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30"/>
    <w:bookmarkStart w:id="231" w:name="planned-analyses"/>
    <w:p>
      <w:pPr>
        <w:pStyle w:val="Heading2"/>
      </w:pPr>
      <w:r>
        <w:t xml:space="preserve">31.2 Planned analyses</w:t>
      </w:r>
    </w:p>
    <w:p>
      <w:pPr>
        <w:pStyle w:val="FirstParagraph"/>
      </w:pPr>
      <w:r>
        <w:t xml:space="preserve">When the 2026 survey round becomes available, the primary specification will be a Callaway–Sant’Anna</w:t>
      </w:r>
      <w:r>
        <w:t xml:space="preserve"> </w:t>
      </w:r>
      <w:r>
        <w:t xml:space="preserve">(2021)</w:t>
      </w:r>
      <w:r>
        <w:t xml:space="preserve"> </w:t>
      </w:r>
      <w:r>
        <w:t xml:space="preserve">staggered difference-in-differences estimation at the household level, with doubly-robust estimation, household-level covariates, and clustering at the site level. A complementary Sun–Abraham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w:t>
      </w:r>
      <w:r>
        <w:t xml:space="preserve">will provide a transparent event-study summary. The gsynth estimates from Chapters 4 and 5 will serve as a robustness check that relaxes the parallel-trends assumption to interactive fixed effects. If gsynth and DiD agree, the evidence is more credible regardless of which identifying assumption one prefers. If the 2026 wave covers Fénérive East, the small footprint of the Réserve de Tampolo allows a within-observatory distance design contrasting near-PA and far-PA sites, adding a third independent geographic context alongside Marovoay and Alaotra.</w:t>
      </w:r>
    </w:p>
    <w:p>
      <w:pPr>
        <w:pStyle w:val="BodyText"/>
      </w:pPr>
      <w:r>
        <w:t xml:space="preserve">This chapter will be updated when the 2026 data arrive. The current gsynth results should be read as a first-pass analysis that will be complemented by household-level estimation exploiting the full depth of the data.</w:t>
      </w:r>
    </w:p>
    <w:bookmarkEnd w:id="231"/>
    <w:bookmarkEnd w:id="232"/>
    <w:bookmarkStart w:id="233" w:name="references"/>
    <w:p>
      <w:pPr>
        <w:pStyle w:val="Heading1"/>
      </w:pPr>
      <w:r>
        <w:t xml:space="preserve">References</w:t>
      </w:r>
    </w:p>
    <w:bookmarkEnd w:id="233"/>
    <w:bookmarkStart w:id="266" w:name="references-1"/>
    <w:p>
      <w:pPr>
        <w:pStyle w:val="Heading1"/>
      </w:pPr>
      <w:r>
        <w:t xml:space="preserve">References</w:t>
      </w:r>
    </w:p>
    <w:bookmarkStart w:id="265" w:name="refs"/>
    <w:bookmarkStart w:id="235"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234">
        <w:r>
          <w:rPr>
            <w:rStyle w:val="Hyperlink"/>
          </w:rPr>
          <w:t xml:space="preserve">https://doi.org/10.1198/jasa.2009.ap08746</w:t>
        </w:r>
      </w:hyperlink>
      <w:r>
        <w:t xml:space="preserve">.</w:t>
      </w:r>
    </w:p>
    <w:bookmarkEnd w:id="235"/>
    <w:bookmarkStart w:id="236" w:name="ref-alonso2002"/>
    <w:p>
      <w:pPr>
        <w:pStyle w:val="Bibliography"/>
      </w:pPr>
      <w:r>
        <w:t xml:space="preserve">Alonso, Leeanne E., Thomas S. Schulenberg, Sahondra Radilofe, and Olivier Missa. 2002.</w:t>
      </w:r>
      <w:r>
        <w:t xml:space="preserve"> </w:t>
      </w:r>
      <w:r>
        <w:rPr>
          <w:i/>
          <w:iCs/>
        </w:rPr>
        <w:t xml:space="preserve">A Rapid Biological Assessment of the</w:t>
      </w:r>
      <w:r>
        <w:rPr>
          <w:i/>
          <w:iCs/>
        </w:rPr>
        <w:t xml:space="preserve"> </w:t>
      </w:r>
      <w:r>
        <w:rPr>
          <w:i/>
          <w:iCs/>
        </w:rPr>
        <w:t xml:space="preserve">Réserve Naturelle Intégrale d’Ankarafantsika</w:t>
      </w:r>
      <w:r>
        <w:rPr>
          <w:i/>
          <w:iCs/>
        </w:rPr>
        <w:t xml:space="preserve">,</w:t>
      </w:r>
      <w:r>
        <w:rPr>
          <w:i/>
          <w:iCs/>
        </w:rPr>
        <w:t xml:space="preserve"> </w:t>
      </w:r>
      <w:r>
        <w:rPr>
          <w:i/>
          <w:iCs/>
        </w:rPr>
        <w:t xml:space="preserve">Madagascar</w:t>
      </w:r>
      <w:r>
        <w:t xml:space="preserve">. RAP Bulletin of Biological Assessment No. 23. Conservation International.</w:t>
      </w:r>
    </w:p>
    <w:bookmarkEnd w:id="236"/>
    <w:bookmarkStart w:id="238"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237">
        <w:r>
          <w:rPr>
            <w:rStyle w:val="Hyperlink"/>
          </w:rPr>
          <w:t xml:space="preserve">https://doi.org/10.1073/pnas.0914177107</w:t>
        </w:r>
      </w:hyperlink>
      <w:r>
        <w:t xml:space="preserve">.</w:t>
      </w:r>
    </w:p>
    <w:bookmarkEnd w:id="238"/>
    <w:bookmarkStart w:id="239" w:name="ref-Andrianjafindrainibe2024"/>
    <w:p>
      <w:pPr>
        <w:pStyle w:val="Bibliography"/>
      </w:pPr>
      <w:r>
        <w:t xml:space="preserve">Andrianjafindrainibe, Velomalala Solo, Nicole Andrianirina, Florent Bédécarrats,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41">
        <w:r>
          <w:rPr>
            <w:rStyle w:val="Hyperlink"/>
          </w:rPr>
          <w:t xml:space="preserve">https://doi.org/10.1038/s41597-024-03879-9</w:t>
        </w:r>
      </w:hyperlink>
      <w:r>
        <w:t xml:space="preserve">.</w:t>
      </w:r>
    </w:p>
    <w:bookmarkEnd w:id="239"/>
    <w:bookmarkStart w:id="241"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240">
        <w:r>
          <w:rPr>
            <w:rStyle w:val="Hyperlink"/>
          </w:rPr>
          <w:t xml:space="preserve">https://doi.org/10.1257/aer.20190159</w:t>
        </w:r>
      </w:hyperlink>
      <w:r>
        <w:t xml:space="preserve">.</w:t>
      </w:r>
    </w:p>
    <w:bookmarkEnd w:id="241"/>
    <w:bookmarkStart w:id="242"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242"/>
    <w:bookmarkStart w:id="244"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243">
        <w:r>
          <w:rPr>
            <w:rStyle w:val="Hyperlink"/>
          </w:rPr>
          <w:t xml:space="preserve">https://doi.org/10.1016/j.jeconom.2020.12.001</w:t>
        </w:r>
      </w:hyperlink>
      <w:r>
        <w:t xml:space="preserve">.</w:t>
      </w:r>
    </w:p>
    <w:bookmarkEnd w:id="244"/>
    <w:bookmarkStart w:id="246"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245">
        <w:r>
          <w:rPr>
            <w:rStyle w:val="Hyperlink"/>
          </w:rPr>
          <w:t xml:space="preserve">https://doi.org/10.1162/rest.90.3.414</w:t>
        </w:r>
      </w:hyperlink>
      <w:r>
        <w:t xml:space="preserve">.</w:t>
      </w:r>
    </w:p>
    <w:bookmarkEnd w:id="246"/>
    <w:bookmarkStart w:id="247"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247"/>
    <w:bookmarkStart w:id="249"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248">
        <w:r>
          <w:rPr>
            <w:rStyle w:val="Hyperlink"/>
          </w:rPr>
          <w:t xml:space="preserve">https://doi.org/10.1016/j.jeem.2011.01.012</w:t>
        </w:r>
      </w:hyperlink>
      <w:r>
        <w:t xml:space="preserve">.</w:t>
      </w:r>
    </w:p>
    <w:bookmarkEnd w:id="249"/>
    <w:bookmarkStart w:id="250"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250"/>
    <w:bookmarkStart w:id="251"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251"/>
    <w:bookmarkStart w:id="253" w:name="ref-Naidoo2019"/>
    <w:p>
      <w:pPr>
        <w:pStyle w:val="Bibliography"/>
      </w:pPr>
      <w:r>
        <w:t xml:space="preserve">Naidoo, Robin, Drew Gerkey, David Hole,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252">
        <w:r>
          <w:rPr>
            <w:rStyle w:val="Hyperlink"/>
          </w:rPr>
          <w:t xml:space="preserve">https://doi.org/10.1126/sciadv.aav3006</w:t>
        </w:r>
      </w:hyperlink>
      <w:r>
        <w:t xml:space="preserve">.</w:t>
      </w:r>
    </w:p>
    <w:bookmarkEnd w:id="253"/>
    <w:bookmarkStart w:id="255"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254">
        <w:r>
          <w:rPr>
            <w:rStyle w:val="Hyperlink"/>
          </w:rPr>
          <w:t xml:space="preserve">https://doi.org/10.1111/cobi.12568</w:t>
        </w:r>
      </w:hyperlink>
      <w:r>
        <w:t xml:space="preserve">.</w:t>
      </w:r>
    </w:p>
    <w:bookmarkEnd w:id="255"/>
    <w:bookmarkStart w:id="256"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256"/>
    <w:bookmarkStart w:id="258"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257">
        <w:r>
          <w:rPr>
            <w:rStyle w:val="Hyperlink"/>
          </w:rPr>
          <w:t xml:space="preserve">https://doi.org/10.1016/j.jeconom.2020.06.003</w:t>
        </w:r>
      </w:hyperlink>
      <w:r>
        <w:t xml:space="preserve">.</w:t>
      </w:r>
    </w:p>
    <w:bookmarkEnd w:id="258"/>
    <w:bookmarkStart w:id="260"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259">
        <w:r>
          <w:rPr>
            <w:rStyle w:val="Hyperlink"/>
          </w:rPr>
          <w:t xml:space="preserve">https://doi.org/10.1016/j.jeem.2009.10.003</w:t>
        </w:r>
      </w:hyperlink>
      <w:r>
        <w:t xml:space="preserve">.</w:t>
      </w:r>
    </w:p>
    <w:bookmarkEnd w:id="260"/>
    <w:bookmarkStart w:id="262"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261">
        <w:r>
          <w:rPr>
            <w:rStyle w:val="Hyperlink"/>
          </w:rPr>
          <w:t xml:space="preserve">https://doi.org/10.1016/j.jeconom.2020.09.006</w:t>
        </w:r>
      </w:hyperlink>
      <w:r>
        <w:t xml:space="preserve">.</w:t>
      </w:r>
    </w:p>
    <w:bookmarkEnd w:id="262"/>
    <w:bookmarkStart w:id="264"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263">
        <w:r>
          <w:rPr>
            <w:rStyle w:val="Hyperlink"/>
          </w:rPr>
          <w:t xml:space="preserve">https://doi.org/10.1017/pan.2016.2</w:t>
        </w:r>
      </w:hyperlink>
      <w:r>
        <w:t xml:space="preserve">.</w:t>
      </w:r>
    </w:p>
    <w:bookmarkEnd w:id="264"/>
    <w:bookmarkEnd w:id="265"/>
    <w:bookmarkEnd w:id="266"/>
    <w:bookmarkStart w:id="267" w:name="data-pipeline"/>
    <w:p>
      <w:pPr>
        <w:pStyle w:val="Heading1"/>
      </w:pPr>
      <w:r>
        <w:t xml:space="preserve">Appendix A —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67"/>
    <w:bookmarkStart w:id="277" w:name="sec-a-georef"/>
    <w:p>
      <w:pPr>
        <w:pStyle w:val="Heading1"/>
      </w:pPr>
      <w:r>
        <w:t xml:space="preserve">Appendix A — Georeferencing ROS localities</w:t>
      </w:r>
    </w:p>
    <w:bookmarkStart w:id="268" w:name="the-problem"/>
    <w:p>
      <w:pPr>
        <w:pStyle w:val="Heading2"/>
      </w:pPr>
      <w:r>
        <w:t xml:space="preserve">A.1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68"/>
    <w:bookmarkStart w:id="269" w:name="reference-datasets"/>
    <w:p>
      <w:pPr>
        <w:pStyle w:val="Heading2"/>
      </w:pPr>
      <w:r>
        <w:t xml:space="preserve">A.2 Reference datasets</w:t>
      </w:r>
    </w:p>
    <w:p>
      <w:pPr>
        <w:pStyle w:val="FirstParagraph"/>
      </w:pPr>
      <w:r>
        <w:t xml:space="preserve">Two spatial reference datasets anchor the georeferencing:</w:t>
      </w:r>
    </w:p>
    <w:p>
      <w:pPr>
        <w:pStyle w:val="Compact"/>
        <w:numPr>
          <w:ilvl w:val="0"/>
          <w:numId w:val="1018"/>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18"/>
        </w:numPr>
      </w:pPr>
      <w:r>
        <w:rPr>
          <w:b/>
          <w:bCs/>
        </w:rPr>
        <w:t xml:space="preserve">Madagascar Populated Places</w:t>
      </w:r>
      <w:r>
        <w:t xml:space="preserve"> </w:t>
      </w:r>
      <w:r>
        <w:t xml:space="preserve">(COD-PS): 28,184 populated places with toponyms and P-codes (source: NGA/GIST, distributed by UN OCHA ROSA).</w:t>
      </w:r>
    </w:p>
    <w:bookmarkEnd w:id="269"/>
    <w:bookmarkStart w:id="270" w:name="string-cleaning"/>
    <w:p>
      <w:pPr>
        <w:pStyle w:val="Heading2"/>
      </w:pPr>
      <w:r>
        <w:t xml:space="preserve">A.3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70"/>
    <w:bookmarkStart w:id="275" w:name="hierarchical-fuzzy-matching"/>
    <w:p>
      <w:pPr>
        <w:pStyle w:val="Heading2"/>
      </w:pPr>
      <w:r>
        <w:t xml:space="preserve">A.4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19"/>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19"/>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19"/>
        </w:numPr>
      </w:pPr>
      <w:r>
        <w:rPr>
          <w:b/>
          <w:bCs/>
        </w:rPr>
        <w:t xml:space="preserve">Method 3</w:t>
      </w:r>
      <w:r>
        <w:t xml:space="preserve"> </w:t>
      </w:r>
      <w:r>
        <w:t xml:space="preserve">— Fuzzy-match the full village name against COD populated places (threshold tightened to 0.22).</w:t>
      </w:r>
    </w:p>
    <w:p>
      <w:pPr>
        <w:pStyle w:val="Compact"/>
        <w:numPr>
          <w:ilvl w:val="0"/>
          <w:numId w:val="1019"/>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74" w:name="fig-map-georef"/>
          <w:p>
            <w:pPr>
              <w:pStyle w:val="Compact"/>
              <w:jc w:val="center"/>
            </w:pPr>
            <w:r>
              <w:drawing>
                <wp:inline>
                  <wp:extent cx="5334000" cy="6667500"/>
                  <wp:effectExtent b="0" l="0" r="0" t="0"/>
                  <wp:docPr descr="" title="" id="272" name="Picture"/>
                  <a:graphic>
                    <a:graphicData uri="http://schemas.openxmlformats.org/drawingml/2006/picture">
                      <pic:pic>
                        <pic:nvPicPr>
                          <pic:cNvPr descr="A1_data_pipeline_files/figure-docx/fig-map-georef-1.png" id="273" name="Picture"/>
                          <pic:cNvPicPr>
                            <a:picLocks noChangeArrowheads="1" noChangeAspect="1"/>
                          </pic:cNvPicPr>
                        </pic:nvPicPr>
                        <pic:blipFill>
                          <a:blip r:embed="rId271"/>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All matched ROS communes and fokontany across Madagascar.</w:t>
            </w:r>
          </w:p>
          <w:bookmarkEnd w:id="274"/>
        </w:tc>
      </w:tr>
    </w:tbl>
    <w:bookmarkEnd w:id="275"/>
    <w:bookmarkStart w:id="276" w:name="match-rates"/>
    <w:p>
      <w:pPr>
        <w:pStyle w:val="Heading2"/>
      </w:pPr>
      <w:r>
        <w:t xml:space="preserve">A.5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76"/>
    <w:bookmarkEnd w:id="277"/>
    <w:bookmarkStart w:id="296" w:name="sec-a-overlaps"/>
    <w:p>
      <w:pPr>
        <w:pStyle w:val="Heading1"/>
      </w:pPr>
      <w:r>
        <w:t xml:space="preserve">Appendix A — Protected-area overlap analysis</w:t>
      </w:r>
    </w:p>
    <w:bookmarkStart w:id="282" w:name="spatial-overlaps"/>
    <w:p>
      <w:pPr>
        <w:pStyle w:val="Heading2"/>
      </w:pPr>
      <w:r>
        <w:t xml:space="preserve">A.1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81" w:name="fig-map-overlaps"/>
          <w:p>
            <w:pPr>
              <w:pStyle w:val="Compact"/>
              <w:jc w:val="center"/>
            </w:pPr>
            <w:r>
              <w:drawing>
                <wp:inline>
                  <wp:extent cx="5334000" cy="6667500"/>
                  <wp:effectExtent b="0" l="0" r="0" t="0"/>
                  <wp:docPr descr="" title="" id="279" name="Picture"/>
                  <a:graphic>
                    <a:graphicData uri="http://schemas.openxmlformats.org/drawingml/2006/picture">
                      <pic:pic>
                        <pic:nvPicPr>
                          <pic:cNvPr descr="A1_data_pipeline_files/figure-docx/fig-map-overlaps-1.png" id="280" name="Picture"/>
                          <pic:cNvPicPr>
                            <a:picLocks noChangeArrowheads="1" noChangeAspect="1"/>
                          </pic:cNvPicPr>
                        </pic:nvPicPr>
                        <pic:blipFill>
                          <a:blip r:embed="rId278"/>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ROS survey communes (coloured by observatory) overlaid with PA boundaries (dark green).</w:t>
            </w:r>
          </w:p>
          <w:bookmarkEnd w:id="281"/>
        </w:tc>
      </w:tr>
    </w:tbl>
    <w:bookmarkEnd w:id="282"/>
    <w:bookmarkStart w:id="284" w:name="ros-survey-inventory"/>
    <w:p>
      <w:pPr>
        <w:pStyle w:val="Heading2"/>
      </w:pPr>
      <w:r>
        <w:t xml:space="preserve">A.2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83" w:name="tbl-survey-inventory"/>
          <w:p>
            <w:pPr>
              <w:jc w:val="center"/>
            </w:pPr>
            <w:pPr>
              <w:jc w:val="left"/>
              <w:spacing w:before="200"/>
              <w:pStyle w:val="ImageCaption"/>
            </w:pPr>
            <w:r>
              <w:t xml:space="preserve">Table C.1: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83"/>
        </w:tc>
      </w:tr>
    </w:tbl>
    <w:bookmarkEnd w:id="284"/>
    <w:bookmarkStart w:id="285" w:name="temporal-overlap-logic"/>
    <w:p>
      <w:pPr>
        <w:pStyle w:val="Heading2"/>
      </w:pPr>
      <w:r>
        <w:t xml:space="preserve">A.3 Temporal overlap logic</w:t>
      </w:r>
    </w:p>
    <w:p>
      <w:pPr>
        <w:pStyle w:val="FirstParagraph"/>
      </w:pPr>
      <w:r>
        <w:t xml:space="preserve">Three scenarios determine usability for impact evaluation:</w:t>
      </w:r>
    </w:p>
    <w:p>
      <w:pPr>
        <w:pStyle w:val="Compact"/>
        <w:numPr>
          <w:ilvl w:val="0"/>
          <w:numId w:val="1020"/>
        </w:numPr>
      </w:pPr>
      <w:r>
        <w:rPr>
          <w:b/>
          <w:bCs/>
        </w:rPr>
        <w:t xml:space="preserve">PA predates ROS entirely</w:t>
      </w:r>
      <w:r>
        <w:t xml:space="preserve"> </w:t>
      </w:r>
      <w:r>
        <w:t xml:space="preserve">→ no pre-treatment baseline → unusable (e.g. Ranomafana, created 1991).</w:t>
      </w:r>
    </w:p>
    <w:p>
      <w:pPr>
        <w:pStyle w:val="Compact"/>
        <w:numPr>
          <w:ilvl w:val="0"/>
          <w:numId w:val="1020"/>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0"/>
        </w:numPr>
      </w:pPr>
      <w:r>
        <w:rPr>
          <w:b/>
          <w:bCs/>
        </w:rPr>
        <w:t xml:space="preserve">PA created after ROS ended</w:t>
      </w:r>
      <w:r>
        <w:t xml:space="preserve"> </w:t>
      </w:r>
      <w:r>
        <w:t xml:space="preserve">→ baseline only; resurvey needed for evaluation.</w:t>
      </w:r>
    </w:p>
    <w:bookmarkEnd w:id="285"/>
    <w:bookmarkStart w:id="292" w:name="decree-date-revision"/>
    <w:p>
      <w:pPr>
        <w:pStyle w:val="Heading2"/>
      </w:pPr>
      <w:r>
        <w:t xml:space="preserve">A.4 Decree date revision</w:t>
      </w:r>
    </w:p>
    <w:p>
      <w:pPr>
        <w:pStyle w:val="FirstParagraph"/>
      </w:pPr>
      <w:r>
        <w:t xml:space="preserve">Official creation years were cross-checked against the Madagascar legal database (</w:t>
      </w:r>
      <w:hyperlink r:id="rId286">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87" w:name="tbl-decree-dates"/>
          <w:p>
            <w:pPr>
              <w:jc w:val="center"/>
            </w:pPr>
            <w:pPr>
              <w:jc w:val="left"/>
              <w:spacing w:before="200"/>
              <w:pStyle w:val="ImageCaption"/>
            </w:pPr>
            <w:r>
              <w:t xml:space="preserve">Table C.2: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87"/>
          <w:p/>
        </w:tc>
      </w:tr>
    </w:tbl>
    <w:tbl>
      <w:tblPr>
        <w:tblStyle w:val="Table"/>
        <w:tblW w:type="pct" w:w="5000"/>
        <w:tblLayout w:type="fixed"/>
        <w:tblLook w:firstRow="0" w:lastRow="0" w:firstColumn="0" w:lastColumn="0" w:noHBand="0" w:noVBand="0" w:val="0000"/>
      </w:tblPr>
      <w:tblGrid>
        <w:gridCol w:w="7920"/>
      </w:tblGrid>
      <w:tr>
        <w:tc>
          <w:tcPr/>
          <w:bookmarkStart w:id="291" w:name="fig-timeline"/>
          <w:p>
            <w:pPr>
              <w:pStyle w:val="Compact"/>
              <w:jc w:val="center"/>
            </w:pPr>
            <w:r>
              <w:drawing>
                <wp:inline>
                  <wp:extent cx="5334000" cy="3733800"/>
                  <wp:effectExtent b="0" l="0" r="0" t="0"/>
                  <wp:docPr descr="" title="" id="289" name="Picture"/>
                  <a:graphic>
                    <a:graphicData uri="http://schemas.openxmlformats.org/drawingml/2006/picture">
                      <pic:pic>
                        <pic:nvPicPr>
                          <pic:cNvPr descr="A1_data_pipeline_files/figure-docx/fig-timeline-1.png" id="290" name="Picture"/>
                          <pic:cNvPicPr>
                            <a:picLocks noChangeArrowheads="1" noChangeAspect="1"/>
                          </pic:cNvPicPr>
                        </pic:nvPicPr>
                        <pic:blipFill>
                          <a:blip r:embed="rId288"/>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Timeline of ROS survey years (blue dots) vs. revised PA creation years (red triangles) for priority observatory–PA pairs.</w:t>
            </w:r>
          </w:p>
          <w:bookmarkEnd w:id="291"/>
        </w:tc>
      </w:tr>
    </w:tbl>
    <w:bookmarkEnd w:id="292"/>
    <w:bookmarkStart w:id="295" w:name="priority-pairs"/>
    <w:p>
      <w:pPr>
        <w:pStyle w:val="Heading2"/>
      </w:pPr>
      <w:r>
        <w:t xml:space="preserve">A.5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Program Files\Quarto\share\formats\docx\note.png" id="29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95"/>
    <w:bookmarkEnd w:id="296"/>
    <w:bookmarkStart w:id="305" w:name="sec-a-variables"/>
    <w:p>
      <w:pPr>
        <w:pStyle w:val="Heading1"/>
      </w:pPr>
      <w:r>
        <w:t xml:space="preserve">Appendix A — Variable construction</w:t>
      </w:r>
    </w:p>
    <w:bookmarkStart w:id="297" w:name="georeferencing-households"/>
    <w:p>
      <w:pPr>
        <w:pStyle w:val="Heading2"/>
      </w:pPr>
      <w:r>
        <w:t xml:space="preserve">A.1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Appendix B</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97"/>
    <w:bookmarkStart w:id="298" w:name="household-composition"/>
    <w:p>
      <w:pPr>
        <w:pStyle w:val="Heading2"/>
      </w:pPr>
      <w:r>
        <w:t xml:space="preserve">A.2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98"/>
    <w:bookmarkStart w:id="299" w:name="education"/>
    <w:p>
      <w:pPr>
        <w:pStyle w:val="Heading2"/>
      </w:pPr>
      <w:r>
        <w:t xml:space="preserve">A.3 Education</w:t>
      </w:r>
    </w:p>
    <w:p>
      <w:pPr>
        <w:pStyle w:val="FirstParagraph"/>
      </w:pPr>
      <w:r>
        <w:t xml:space="preserve">Education variables present several data gaps:</w:t>
      </w:r>
    </w:p>
    <w:p>
      <w:pPr>
        <w:pStyle w:val="Compact"/>
        <w:numPr>
          <w:ilvl w:val="0"/>
          <w:numId w:val="1021"/>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21"/>
        </w:numPr>
      </w:pPr>
      <w:r>
        <w:t xml:space="preserve">Primary school attendance (</w:t>
      </w:r>
      <w:r>
        <w:rPr>
          <w:rStyle w:val="VerbatimChar"/>
        </w:rPr>
        <w:t xml:space="preserve">s2</w:t>
      </w:r>
      <w:r>
        <w:t xml:space="preserve">): missing in 1996.</w:t>
      </w:r>
    </w:p>
    <w:p>
      <w:pPr>
        <w:pStyle w:val="Compact"/>
        <w:numPr>
          <w:ilvl w:val="0"/>
          <w:numId w:val="1021"/>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99"/>
    <w:bookmarkStart w:id="300" w:name="agricultural-activities"/>
    <w:p>
      <w:pPr>
        <w:pStyle w:val="Heading2"/>
      </w:pPr>
      <w:r>
        <w:t xml:space="preserve">A.4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22"/>
        </w:numPr>
      </w:pPr>
      <w:r>
        <w:rPr>
          <w:b/>
          <w:bCs/>
        </w:rPr>
        <w:t xml:space="preserve">Stricto sensu</w:t>
      </w:r>
      <w:r>
        <w:t xml:space="preserve"> </w:t>
      </w:r>
      <w:r>
        <w:t xml:space="preserve">(codes 95, 96): farming or livestock only.</w:t>
      </w:r>
    </w:p>
    <w:p>
      <w:pPr>
        <w:pStyle w:val="Compact"/>
        <w:numPr>
          <w:ilvl w:val="0"/>
          <w:numId w:val="1022"/>
        </w:numPr>
      </w:pPr>
      <w:r>
        <w:rPr>
          <w:b/>
          <w:bCs/>
        </w:rPr>
        <w:t xml:space="preserve">Lato sensu</w:t>
      </w:r>
      <w:r>
        <w:t xml:space="preserve"> </w:t>
      </w:r>
      <w:r>
        <w:t xml:space="preserve">(19 codes): farming, livestock, fishing, gathering, apiculture, agriculture-related crafts.</w:t>
      </w:r>
    </w:p>
    <w:bookmarkEnd w:id="300"/>
    <w:bookmarkStart w:id="301" w:name="food-security"/>
    <w:p>
      <w:pPr>
        <w:pStyle w:val="Heading2"/>
      </w:pPr>
      <w:r>
        <w:t xml:space="preserve">A.5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23"/>
        </w:numPr>
      </w:pPr>
      <w:r>
        <w:t xml:space="preserve">1995: single question (</w:t>
      </w:r>
      <w:r>
        <w:rPr>
          <w:rStyle w:val="VerbatimChar"/>
        </w:rPr>
        <w:t xml:space="preserve">sa3a</w:t>
      </w:r>
      <w:r>
        <w:t xml:space="preserve">).</w:t>
      </w:r>
    </w:p>
    <w:p>
      <w:pPr>
        <w:pStyle w:val="Compact"/>
        <w:numPr>
          <w:ilvl w:val="0"/>
          <w:numId w:val="1023"/>
        </w:numPr>
      </w:pPr>
      <w:r>
        <w:t xml:space="preserve">1996–1997: single question (</w:t>
      </w:r>
      <w:r>
        <w:rPr>
          <w:rStyle w:val="VerbatimChar"/>
        </w:rPr>
        <w:t xml:space="preserve">sa2</w:t>
      </w:r>
      <w:r>
        <w:t xml:space="preserve">).</w:t>
      </w:r>
    </w:p>
    <w:p>
      <w:pPr>
        <w:pStyle w:val="Compact"/>
        <w:numPr>
          <w:ilvl w:val="0"/>
          <w:numId w:val="1023"/>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301"/>
    <w:bookmarkStart w:id="303" w:name="income-construction"/>
    <w:p>
      <w:pPr>
        <w:pStyle w:val="Heading2"/>
      </w:pPr>
      <w:r>
        <w:t xml:space="preserve">A.6 Income construction</w:t>
      </w:r>
    </w:p>
    <w:p>
      <w:pPr>
        <w:pStyle w:val="FirstParagraph"/>
      </w:pPr>
      <w:r>
        <w:t xml:space="preserve">Income is reconstructed via dedicated functions for each component:</w:t>
      </w:r>
    </w:p>
    <w:p>
      <w:pPr>
        <w:pStyle w:val="Compact"/>
        <w:numPr>
          <w:ilvl w:val="0"/>
          <w:numId w:val="1024"/>
        </w:numPr>
      </w:pPr>
      <w:r>
        <w:rPr>
          <w:b/>
          <w:bCs/>
        </w:rPr>
        <w:t xml:space="preserve">Current income</w:t>
      </w:r>
      <w:r>
        <w:t xml:space="preserve"> </w:t>
      </w:r>
      <w:r>
        <w:t xml:space="preserve">= main activity + secondary activity + net rice + other crops + livestock + fishing.</w:t>
      </w:r>
    </w:p>
    <w:p>
      <w:pPr>
        <w:pStyle w:val="Compact"/>
        <w:numPr>
          <w:ilvl w:val="0"/>
          <w:numId w:val="1024"/>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24"/>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302" w:name="tbl-income-components"/>
          <w:p>
            <w:pPr>
              <w:jc w:val="center"/>
            </w:pPr>
            <w:pPr>
              <w:jc w:val="left"/>
              <w:spacing w:before="200"/>
              <w:pStyle w:val="ImageCaption"/>
            </w:pPr>
            <w:r>
              <w:t xml:space="preserve">Table D.1: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302"/>
        </w:tc>
      </w:tr>
    </w:tbl>
    <w:bookmarkEnd w:id="303"/>
    <w:bookmarkStart w:id="304" w:name="consolidation"/>
    <w:p>
      <w:pPr>
        <w:pStyle w:val="Heading2"/>
      </w:pPr>
      <w:r>
        <w:t xml:space="preserve">A.7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304"/>
    <w:bookmarkEnd w:id="305"/>
    <w:bookmarkStart w:id="306" w:name="donor-pool-validity"/>
    <w:p>
      <w:pPr>
        <w:pStyle w:val="Heading1"/>
      </w:pPr>
      <w:r>
        <w:t xml:space="preserve">Appendix B —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306"/>
    <w:bookmarkStart w:id="307" w:name="sec-b-static"/>
    <w:p>
      <w:pPr>
        <w:pStyle w:val="Heading1"/>
      </w:pPr>
      <w:r>
        <w:t xml:space="preserve">Appendix B —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25"/>
        </w:numPr>
      </w:pPr>
      <w:r>
        <w:rPr>
          <w:b/>
          <w:bCs/>
        </w:rPr>
        <w:t xml:space="preserve">Boundary changes</w:t>
      </w:r>
      <w:r>
        <w:t xml:space="preserve">: many Malagasy PAs were significantly extended or reorganised between 1999 and 2015.</w:t>
      </w:r>
    </w:p>
    <w:p>
      <w:pPr>
        <w:pStyle w:val="Compact"/>
        <w:numPr>
          <w:ilvl w:val="0"/>
          <w:numId w:val="1025"/>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25"/>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307"/>
    <w:bookmarkStart w:id="312" w:name="sec-b-wdpa"/>
    <w:p>
      <w:pPr>
        <w:pStyle w:val="Heading1"/>
      </w:pPr>
      <w:r>
        <w:t xml:space="preserve">Appendix B —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311" w:name="fig-wdpa-timeline"/>
          <w:p>
            <w:pPr>
              <w:pStyle w:val="Compact"/>
              <w:jc w:val="center"/>
            </w:pPr>
            <w:r>
              <w:drawing>
                <wp:inline>
                  <wp:extent cx="5334000" cy="3394363"/>
                  <wp:effectExtent b="0" l="0" r="0" t="0"/>
                  <wp:docPr descr="" title="" id="309" name="Picture"/>
                  <a:graphic>
                    <a:graphicData uri="http://schemas.openxmlformats.org/drawingml/2006/picture">
                      <pic:pic>
                        <pic:nvPicPr>
                          <pic:cNvPr descr="A2_donor_validity_files/figure-docx/fig-wdpa-timeline-1.png" id="310" name="Picture"/>
                          <pic:cNvPicPr>
                            <a:picLocks noChangeArrowheads="1" noChangeAspect="1"/>
                          </pic:cNvPicPr>
                        </pic:nvPicPr>
                        <pic:blipFill>
                          <a:blip r:embed="rId308"/>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Timeline of PA activation dates by observatory. Study period (1999–2014) shaded.</w:t>
            </w:r>
          </w:p>
          <w:bookmarkEnd w:id="311"/>
        </w:tc>
      </w:tr>
    </w:tbl>
    <w:bookmarkEnd w:id="312"/>
    <w:bookmarkStart w:id="315" w:name="sec-b-proximity"/>
    <w:p>
      <w:pPr>
        <w:pStyle w:val="Heading1"/>
      </w:pPr>
      <w:r>
        <w:t xml:space="preserve">Appendix B — Proximity analysis</w:t>
      </w:r>
    </w:p>
    <w:bookmarkStart w:id="314" w:name="method"/>
    <w:p>
      <w:pPr>
        <w:pStyle w:val="Heading2"/>
      </w:pPr>
      <w:r>
        <w:t xml:space="preserve">B.1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26"/>
        </w:numPr>
      </w:pPr>
      <w:r>
        <w:rPr>
          <w:b/>
          <w:bCs/>
        </w:rPr>
        <w:t xml:space="preserve">Pre-existing</w:t>
      </w:r>
      <w:r>
        <w:t xml:space="preserve">: PA active before 1999 with unchanged boundaries throughout.</w:t>
      </w:r>
    </w:p>
    <w:p>
      <w:pPr>
        <w:pStyle w:val="Compact"/>
        <w:numPr>
          <w:ilvl w:val="0"/>
          <w:numId w:val="1026"/>
        </w:numPr>
      </w:pPr>
      <w:r>
        <w:rPr>
          <w:b/>
          <w:bCs/>
        </w:rPr>
        <w:t xml:space="preserve">New during study</w:t>
      </w:r>
      <w:r>
        <w:t xml:space="preserve">: PA became operative between 1999 and 2014.</w:t>
      </w:r>
    </w:p>
    <w:p>
      <w:pPr>
        <w:pStyle w:val="Compact"/>
        <w:numPr>
          <w:ilvl w:val="0"/>
          <w:numId w:val="1026"/>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313" w:name="tbl-proximity"/>
          <w:p>
            <w:pPr>
              <w:jc w:val="center"/>
            </w:pPr>
            <w:pPr>
              <w:jc w:val="left"/>
              <w:spacing w:before="200"/>
              <w:pStyle w:val="ImageCaption"/>
            </w:pPr>
            <w:r>
              <w:t xml:space="preserve">Table H.1: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313"/>
        </w:tc>
      </w:tr>
    </w:tbl>
    <w:bookmarkEnd w:id="314"/>
    <w:bookmarkEnd w:id="315"/>
    <w:bookmarkStart w:id="327" w:name="sec-b-results"/>
    <w:p>
      <w:pPr>
        <w:pStyle w:val="Heading1"/>
      </w:pPr>
      <w:r>
        <w:t xml:space="preserve">Appendix B — Results</w:t>
      </w:r>
    </w:p>
    <w:bookmarkStart w:id="321" w:name="exposure-classification"/>
    <w:p>
      <w:pPr>
        <w:pStyle w:val="Heading2"/>
      </w:pPr>
      <w:r>
        <w:t xml:space="preserve">B.1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27"/>
        </w:numPr>
      </w:pPr>
      <w:r>
        <w:t xml:space="preserve">Antsirabe (02)</w:t>
      </w:r>
    </w:p>
    <w:p>
      <w:pPr>
        <w:pStyle w:val="Compact"/>
        <w:numPr>
          <w:ilvl w:val="0"/>
          <w:numId w:val="1027"/>
        </w:numPr>
      </w:pPr>
      <w:r>
        <w:t xml:space="preserve">Tsiroanomandidy (13)</w:t>
      </w:r>
    </w:p>
    <w:p>
      <w:pPr>
        <w:pStyle w:val="Compact"/>
        <w:numPr>
          <w:ilvl w:val="0"/>
          <w:numId w:val="1027"/>
        </w:numPr>
      </w:pPr>
      <w:r>
        <w:t xml:space="preserve">Ambovombe (16)</w:t>
      </w:r>
    </w:p>
    <w:p>
      <w:pPr>
        <w:pStyle w:val="Compact"/>
        <w:numPr>
          <w:ilvl w:val="0"/>
          <w:numId w:val="1027"/>
        </w:numPr>
      </w:pPr>
      <w:r>
        <w:t xml:space="preserve">Mahanoro (25)</w:t>
      </w:r>
    </w:p>
    <w:p>
      <w:pPr>
        <w:pStyle w:val="Compact"/>
        <w:numPr>
          <w:ilvl w:val="0"/>
          <w:numId w:val="1027"/>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28"/>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28"/>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28"/>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28"/>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316" w:name="tbl-donor-status"/>
          <w:p>
            <w:pPr>
              <w:jc w:val="center"/>
            </w:pPr>
            <w:pPr>
              <w:jc w:val="left"/>
              <w:spacing w:before="200"/>
              <w:pStyle w:val="ImageCaption"/>
            </w:pPr>
            <w:r>
              <w:t xml:space="preserve">Table I.1: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316"/>
        </w:tc>
      </w:tr>
    </w:tbl>
    <w:tbl>
      <w:tblPr>
        <w:tblStyle w:val="Table"/>
        <w:tblW w:type="pct" w:w="5000"/>
        <w:tblLayout w:type="fixed"/>
        <w:tblLook w:firstRow="0" w:lastRow="0" w:firstColumn="0" w:lastColumn="0" w:noHBand="0" w:noVBand="0" w:val="0000"/>
      </w:tblPr>
      <w:tblGrid>
        <w:gridCol w:w="7920"/>
      </w:tblGrid>
      <w:tr>
        <w:tc>
          <w:tcPr/>
          <w:bookmarkStart w:id="320" w:name="fig-map-exposure"/>
          <w:p>
            <w:pPr>
              <w:pStyle w:val="Compact"/>
              <w:jc w:val="center"/>
            </w:pPr>
            <w:r>
              <w:drawing>
                <wp:inline>
                  <wp:extent cx="5334000" cy="6667500"/>
                  <wp:effectExtent b="0" l="0" r="0" t="0"/>
                  <wp:docPr descr="" title="" id="318" name="Picture"/>
                  <a:graphic>
                    <a:graphicData uri="http://schemas.openxmlformats.org/drawingml/2006/picture">
                      <pic:pic>
                        <pic:nvPicPr>
                          <pic:cNvPr descr="A2_donor_validity_files/figure-docx/fig-map-exposure-1.png" id="319" name="Picture"/>
                          <pic:cNvPicPr>
                            <a:picLocks noChangeArrowheads="1" noChangeAspect="1"/>
                          </pic:cNvPicPr>
                        </pic:nvPicPr>
                        <pic:blipFill>
                          <a:blip r:embed="rId317"/>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Map of observatory communes coloured by exposure status. Nearby PA polygons shown.</w:t>
            </w:r>
          </w:p>
          <w:bookmarkEnd w:id="320"/>
        </w:tc>
      </w:tr>
    </w:tbl>
    <w:bookmarkEnd w:id="321"/>
    <w:bookmarkStart w:id="326" w:name="detailed-exposure-profiles"/>
    <w:p>
      <w:pPr>
        <w:pStyle w:val="Heading2"/>
      </w:pPr>
      <w:r>
        <w:t xml:space="preserve">B.2 Detailed exposure profiles</w:t>
      </w:r>
    </w:p>
    <w:tbl>
      <w:tblPr>
        <w:tblStyle w:val="Table"/>
        <w:tblW w:type="pct" w:w="5000"/>
        <w:tblLayout w:type="fixed"/>
        <w:tblLook w:firstRow="0" w:lastRow="0" w:firstColumn="0" w:lastColumn="0" w:noHBand="0" w:noVBand="0" w:val="0000"/>
      </w:tblPr>
      <w:tblGrid>
        <w:gridCol w:w="7920"/>
      </w:tblGrid>
      <w:tr>
        <w:tc>
          <w:tcPr/>
          <w:bookmarkStart w:id="325" w:name="fig-exposure-detail"/>
          <w:p>
            <w:pPr>
              <w:pStyle w:val="Compact"/>
              <w:jc w:val="center"/>
            </w:pPr>
            <w:r>
              <w:drawing>
                <wp:inline>
                  <wp:extent cx="5334000" cy="2909454"/>
                  <wp:effectExtent b="0" l="0" r="0" t="0"/>
                  <wp:docPr descr="" title="" id="323" name="Picture"/>
                  <a:graphic>
                    <a:graphicData uri="http://schemas.openxmlformats.org/drawingml/2006/picture">
                      <pic:pic>
                        <pic:nvPicPr>
                          <pic:cNvPr descr="A2_donor_validity_files/figure-docx/fig-exposure-detail-1.png" id="324" name="Picture"/>
                          <pic:cNvPicPr>
                            <a:picLocks noChangeArrowheads="1" noChangeAspect="1"/>
                          </pic:cNvPicPr>
                        </pic:nvPicPr>
                        <pic:blipFill>
                          <a:blip r:embed="rId322"/>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Distance-to-PA for each also-exposed donor observatory.</w:t>
            </w:r>
          </w:p>
          <w:bookmarkEnd w:id="325"/>
        </w:tc>
      </w:tr>
    </w:tbl>
    <w:bookmarkEnd w:id="326"/>
    <w:bookmarkEnd w:id="327"/>
    <w:bookmarkStart w:id="334" w:name="sec-b-implications"/>
    <w:p>
      <w:pPr>
        <w:pStyle w:val="Heading1"/>
      </w:pPr>
      <w:r>
        <w:t xml:space="preserve">Appendix B — Implications</w:t>
      </w:r>
    </w:p>
    <w:bookmarkStart w:id="328" w:name="for-the-primary-analysis"/>
    <w:p>
      <w:pPr>
        <w:pStyle w:val="Heading2"/>
      </w:pPr>
      <w:r>
        <w:t xml:space="preserve">B.1 For the primary analysis</w:t>
      </w:r>
    </w:p>
    <w:p>
      <w:pPr>
        <w:pStyle w:val="FirstParagraph"/>
      </w:pPr>
      <w:r>
        <w:t xml:space="preserve">The contamination audit has two consequences:</w:t>
      </w:r>
    </w:p>
    <w:p>
      <w:pPr>
        <w:numPr>
          <w:ilvl w:val="0"/>
          <w:numId w:val="1029"/>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29"/>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328"/>
    <w:bookmarkStart w:id="333" w:name="for-the-extended-analysis"/>
    <w:p>
      <w:pPr>
        <w:pStyle w:val="Heading2"/>
      </w:pPr>
      <w:r>
        <w:t xml:space="preserve">B.2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0"/>
        </w:numPr>
      </w:pPr>
      <w:r>
        <w:t xml:space="preserve">Purifies the donor pool (removing also-exposed units).</w:t>
      </w:r>
    </w:p>
    <w:p>
      <w:pPr>
        <w:pStyle w:val="Compact"/>
        <w:numPr>
          <w:ilvl w:val="0"/>
          <w:numId w:val="1030"/>
        </w:numPr>
      </w:pPr>
      <w:r>
        <w:t xml:space="preserve">Enriches the exposed sample (five observatory–PA pairs instead of two).</w:t>
      </w:r>
    </w:p>
    <w:p>
      <w:pPr>
        <w:pStyle w:val="Compact"/>
        <w:numPr>
          <w:ilvl w:val="0"/>
          <w:numId w:val="1030"/>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332" w:name="fig-clean-donors"/>
          <w:p>
            <w:pPr>
              <w:pStyle w:val="Compact"/>
              <w:jc w:val="center"/>
            </w:pPr>
            <w:r>
              <w:drawing>
                <wp:inline>
                  <wp:extent cx="5334000" cy="5334000"/>
                  <wp:effectExtent b="0" l="0" r="0" t="0"/>
                  <wp:docPr descr="" title="" id="330" name="Picture"/>
                  <a:graphic>
                    <a:graphicData uri="http://schemas.openxmlformats.org/drawingml/2006/picture">
                      <pic:pic>
                        <pic:nvPicPr>
                          <pic:cNvPr descr="A2_donor_validity_files/figure-docx/fig-clean-donors-1.pn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Map of Madagascar with observatory locations coloured by status: exposed (Ch. 4), newly exposed (Ch. 5), clean donor, excluded.</w:t>
            </w:r>
          </w:p>
          <w:bookmarkEnd w:id="332"/>
        </w:tc>
      </w:tr>
    </w:tbl>
    <w:bookmarkEnd w:id="333"/>
    <w:bookmarkEnd w:id="334"/>
    <w:bookmarkStart w:id="335" w:name="robustness-tests"/>
    <w:p>
      <w:pPr>
        <w:pStyle w:val="Heading1"/>
      </w:pPr>
      <w:r>
        <w:t xml:space="preserve">Appendix C —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35"/>
    <w:bookmarkStart w:id="340" w:name="sec-c-unadj"/>
    <w:p>
      <w:pPr>
        <w:pStyle w:val="Heading1"/>
      </w:pPr>
      <w:r>
        <w:t xml:space="preserve">Appendix C —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39" w:name="fig-unadj-att"/>
          <w:p>
            <w:pPr>
              <w:pStyle w:val="Compact"/>
              <w:jc w:val="center"/>
            </w:pPr>
            <w:r>
              <w:drawing>
                <wp:inline>
                  <wp:extent cx="5334000" cy="2222500"/>
                  <wp:effectExtent b="0" l="0" r="0" t="0"/>
                  <wp:docPr descr="" title="" id="337" name="Picture"/>
                  <a:graphic>
                    <a:graphicData uri="http://schemas.openxmlformats.org/drawingml/2006/picture">
                      <pic:pic>
                        <pic:nvPicPr>
                          <pic:cNvPr descr="A3_robustness_files/figure-docx/fig-unadj-att-1.png" id="338" name="Picture"/>
                          <pic:cNvPicPr>
                            <a:picLocks noChangeArrowheads="1" noChangeAspect="1"/>
                          </pic:cNvPicPr>
                        </pic:nvPicPr>
                        <pic:blipFill>
                          <a:blip r:embed="rId33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gsynth ATT paths using unadjusted log income (no OECD equivalisation). Left: Ankarafantsika. Right: Alaotra.</w:t>
            </w:r>
          </w:p>
          <w:bookmarkEnd w:id="339"/>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40"/>
    <w:bookmarkStart w:id="350" w:name="sec-c-levels"/>
    <w:p>
      <w:pPr>
        <w:pStyle w:val="Heading1"/>
      </w:pPr>
      <w:r>
        <w:t xml:space="preserve">Appendix C —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41" w:name="tbl-income-scale"/>
          <w:p>
            <w:pPr>
              <w:jc w:val="center"/>
            </w:pPr>
            <w:pPr>
              <w:jc w:val="left"/>
              <w:spacing w:before="200"/>
              <w:pStyle w:val="ImageCaption"/>
            </w:pPr>
            <w:r>
              <w:t xml:space="preserve">Table M.1: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41"/>
        </w:tc>
      </w:tr>
    </w:tbl>
    <w:tbl>
      <w:tblPr>
        <w:tblStyle w:val="Table"/>
        <w:tblW w:type="pct" w:w="5000"/>
        <w:tblLayout w:type="fixed"/>
        <w:tblLook w:firstRow="0" w:lastRow="0" w:firstColumn="0" w:lastColumn="0" w:noHBand="0" w:noVBand="0" w:val="0000"/>
      </w:tblPr>
      <w:tblGrid>
        <w:gridCol w:w="7920"/>
      </w:tblGrid>
      <w:tr>
        <w:tc>
          <w:tcPr/>
          <w:bookmarkStart w:id="345" w:name="fig-levels-att"/>
          <w:p>
            <w:pPr>
              <w:pStyle w:val="Compact"/>
              <w:jc w:val="center"/>
            </w:pPr>
            <w:r>
              <w:drawing>
                <wp:inline>
                  <wp:extent cx="5334000" cy="2222500"/>
                  <wp:effectExtent b="0" l="0" r="0" t="0"/>
                  <wp:docPr descr="" title="" id="343" name="Picture"/>
                  <a:graphic>
                    <a:graphicData uri="http://schemas.openxmlformats.org/drawingml/2006/picture">
                      <pic:pic>
                        <pic:nvPicPr>
                          <pic:cNvPr descr="A3_robustness_files/figure-docx/fig-levels-att-1.png" id="344" name="Picture"/>
                          <pic:cNvPicPr>
                            <a:picLocks noChangeArrowheads="1" noChangeAspect="1"/>
                          </pic:cNvPicPr>
                        </pic:nvPicPr>
                        <pic:blipFill>
                          <a:blip r:embed="rId342"/>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gsynth ATT paths using income in levels (thousands of Ariary). Left: Ankarafantsika. Right: Alaotra.</w:t>
            </w:r>
          </w:p>
          <w:bookmarkEnd w:id="345"/>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49" w:name="fig-pretreat-fit"/>
          <w:p>
            <w:pPr>
              <w:pStyle w:val="Compact"/>
              <w:jc w:val="center"/>
            </w:pPr>
            <w:r>
              <w:drawing>
                <wp:inline>
                  <wp:extent cx="5334000" cy="2222500"/>
                  <wp:effectExtent b="0" l="0" r="0" t="0"/>
                  <wp:docPr descr="" title="" id="347" name="Picture"/>
                  <a:graphic>
                    <a:graphicData uri="http://schemas.openxmlformats.org/drawingml/2006/picture">
                      <pic:pic>
                        <pic:nvPicPr>
                          <pic:cNvPr descr="A3_robustness_files/figure-docx/fig-pretreat-fit-1.png" id="348" name="Picture"/>
                          <pic:cNvPicPr>
                            <a:picLocks noChangeArrowheads="1" noChangeAspect="1"/>
                          </pic:cNvPicPr>
                        </pic:nvPicPr>
                        <pic:blipFill>
                          <a:blip r:embed="rId34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Pre-treatment fit comparison: log specification (left) vs. levels (right) for Ankarafantsika.</w:t>
            </w:r>
          </w:p>
          <w:bookmarkEnd w:id="349"/>
        </w:tc>
      </w:tr>
    </w:tbl>
    <w:bookmarkEnd w:id="350"/>
    <w:bookmarkStart w:id="363" w:name="sec-c-sdid"/>
    <w:p>
      <w:pPr>
        <w:pStyle w:val="Heading1"/>
      </w:pPr>
      <w:r>
        <w:t xml:space="preserve">Appendix C —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58"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51" w:name="tbl-sdid-maro"/>
          <w:p>
            <w:pPr>
              <w:jc w:val="center"/>
            </w:pPr>
            <w:pPr>
              <w:jc w:val="left"/>
              <w:spacing w:before="200"/>
              <w:pStyle w:val="ImageCaption"/>
            </w:pPr>
            <w:r>
              <w:t xml:space="preserve">Table N.1: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51"/>
        </w:tc>
      </w:tr>
    </w:tbl>
    <w:tbl>
      <w:tblPr>
        <w:tblStyle w:val="Table"/>
        <w:tblW w:type="pct" w:w="5000"/>
        <w:tblLayout w:type="fixed"/>
        <w:tblLook w:firstRow="0" w:lastRow="0" w:firstColumn="0" w:lastColumn="0" w:noHBand="0" w:noVBand="0" w:val="0000"/>
      </w:tblPr>
      <w:tblGrid>
        <w:gridCol w:w="7920"/>
      </w:tblGrid>
      <w:tr>
        <w:tc>
          <w:tcPr/>
          <w:bookmarkStart w:id="355" w:name="fig-sdid-maro"/>
          <w:p>
            <w:pPr>
              <w:pStyle w:val="Compact"/>
              <w:jc w:val="center"/>
            </w:pPr>
            <w:r>
              <w:drawing>
                <wp:inline>
                  <wp:extent cx="5334000" cy="3333750"/>
                  <wp:effectExtent b="0" l="0" r="0" t="0"/>
                  <wp:docPr descr="" title="" id="353" name="Picture"/>
                  <a:graphic>
                    <a:graphicData uri="http://schemas.openxmlformats.org/drawingml/2006/picture">
                      <pic:pic>
                        <pic:nvPicPr>
                          <pic:cNvPr descr="A3_robustness_files/figure-docx/fig-sdid-maro-1.png" id="354" name="Picture"/>
                          <pic:cNvPicPr>
                            <a:picLocks noChangeArrowheads="1" noChangeAspect="1"/>
                          </pic:cNvPicPr>
                        </pic:nvPicPr>
                        <pic:blipFill>
                          <a:blip r:embed="rId3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SDID trend plot for Ankarafantsika. Solid lines: reweighted treated and synthetic control trajectories.</w:t>
            </w:r>
          </w:p>
          <w:bookmarkEnd w:id="35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Program Files\Quarto\share\formats\docx\note.png" id="3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58"/>
    <w:bookmarkStart w:id="362"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59" w:name="tbl-sdid-ala"/>
          <w:p>
            <w:pPr>
              <w:jc w:val="center"/>
            </w:pPr>
            <w:pPr>
              <w:jc w:val="left"/>
              <w:spacing w:before="200"/>
              <w:pStyle w:val="ImageCaption"/>
            </w:pPr>
            <w:r>
              <w:t xml:space="preserve">Table N.2: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59"/>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0" name="Picture"/>
                  <a:graphic>
                    <a:graphicData uri="http://schemas.openxmlformats.org/drawingml/2006/picture">
                      <pic:pic>
                        <pic:nvPicPr>
                          <pic:cNvPr descr="C:\Program Files\Quarto\share\formats\docx\warning.png" id="361"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62"/>
    <w:bookmarkEnd w:id="363"/>
    <w:bookmarkStart w:id="379" w:name="sec-c-cs"/>
    <w:p>
      <w:pPr>
        <w:pStyle w:val="Heading1"/>
      </w:pPr>
      <w:r>
        <w:t xml:space="preserve">Appendix C —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31"/>
        </w:numPr>
      </w:pPr>
      <w:r>
        <w:t xml:space="preserve">uses every usable household-year observation (not site-year means),</w:t>
      </w:r>
      <w:r>
        <w:t xml:space="preserve"> </w:t>
      </w:r>
      <w:r>
        <w:t xml:space="preserve">capturing within-site heterogeneity;</w:t>
      </w:r>
    </w:p>
    <w:p>
      <w:pPr>
        <w:pStyle w:val="Compact"/>
        <w:numPr>
          <w:ilvl w:val="0"/>
          <w:numId w:val="1031"/>
        </w:numPr>
      </w:pPr>
      <w:r>
        <w:t xml:space="preserve">allows staggered adoption (Marovoay exposed from 2003, Alaotra from 2008)</w:t>
      </w:r>
      <w:r>
        <w:t xml:space="preserve"> </w:t>
      </w:r>
      <w:r>
        <w:t xml:space="preserve">in a single estimator;</w:t>
      </w:r>
    </w:p>
    <w:p>
      <w:pPr>
        <w:pStyle w:val="Compact"/>
        <w:numPr>
          <w:ilvl w:val="0"/>
          <w:numId w:val="1031"/>
        </w:numPr>
      </w:pPr>
      <w:r>
        <w:t xml:space="preserve">clusters inference at the</w:t>
      </w:r>
      <w:r>
        <w:t xml:space="preserve"> </w:t>
      </w:r>
      <w:r>
        <w:rPr>
          <w:rStyle w:val="VerbatimChar"/>
        </w:rPr>
        <w:t xml:space="preserve">site_id</w:t>
      </w:r>
      <w:r>
        <w:t xml:space="preserve"> </w:t>
      </w:r>
      <w:r>
        <w:t xml:space="preserve">level via a multiplier bootstrap.</w:t>
      </w:r>
    </w:p>
    <w:bookmarkStart w:id="364" w:name="panel-construction-2"/>
    <w:p>
      <w:pPr>
        <w:pStyle w:val="Heading2"/>
      </w:pPr>
      <w:r>
        <w:t xml:space="preserve">C.1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64"/>
    <w:bookmarkStart w:id="369" w:name="sec-c-cs-attgt"/>
    <w:p>
      <w:pPr>
        <w:pStyle w:val="Heading2"/>
      </w:pPr>
      <w:r>
        <w:t xml:space="preserve">C.2 Group-time ATT</w:t>
      </w:r>
    </w:p>
    <w:tbl>
      <w:tblPr>
        <w:tblStyle w:val="Table"/>
        <w:tblW w:type="pct" w:w="5000"/>
        <w:tblLayout w:type="fixed"/>
        <w:tblLook w:firstRow="0" w:lastRow="0" w:firstColumn="0" w:lastColumn="0" w:noHBand="0" w:noVBand="0" w:val="0000"/>
      </w:tblPr>
      <w:tblGrid>
        <w:gridCol w:w="7920"/>
      </w:tblGrid>
      <w:tr>
        <w:tc>
          <w:tcPr/>
          <w:bookmarkStart w:id="368" w:name="fig-cs-attgt"/>
          <w:p>
            <w:pPr>
              <w:pStyle w:val="Compact"/>
              <w:jc w:val="center"/>
            </w:pPr>
            <w:r>
              <w:drawing>
                <wp:inline>
                  <wp:extent cx="5334000" cy="3200400"/>
                  <wp:effectExtent b="0" l="0" r="0" t="0"/>
                  <wp:docPr descr="" title="" id="366" name="Picture"/>
                  <a:graphic>
                    <a:graphicData uri="http://schemas.openxmlformats.org/drawingml/2006/picture">
                      <pic:pic>
                        <pic:nvPicPr>
                          <pic:cNvPr descr="A3_robustness_files/figure-docx/fig-cs-attgt-1.png" id="367" name="Picture"/>
                          <pic:cNvPicPr>
                            <a:picLocks noChangeArrowheads="1" noChangeAspect="1"/>
                          </pic:cNvPicPr>
                        </pic:nvPicPr>
                        <pic:blipFill>
                          <a:blip r:embed="rId36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Callaway–Sant’Anna group-time ATT(g,t) estimates with simultaneous 95% confidence bands. Top panel: Marovoay cohort (g = 2003). Bottom panel: Alaotra cohort (g = 2008). Dashed vertical line marks exposure onset. Outcome: log OECD-equivalised income.</w:t>
            </w:r>
          </w:p>
          <w:bookmarkEnd w:id="368"/>
        </w:tc>
      </w:tr>
    </w:tbl>
    <w:bookmarkEnd w:id="369"/>
    <w:bookmarkStart w:id="374" w:name="sec-c-cs-dyn"/>
    <w:p>
      <w:pPr>
        <w:pStyle w:val="Heading2"/>
      </w:pPr>
      <w:r>
        <w:t xml:space="preserve">C.3 Event-study aggregation</w:t>
      </w:r>
    </w:p>
    <w:p>
      <w:pPr>
        <w:pStyle w:val="FirstParagraph"/>
      </w:pPr>
      <w:r>
        <w:t xml:space="preserve">The dynamic aggregator averages</w:t>
      </w:r>
      <w:r>
        <w:t xml:space="preserve"> </w:t>
      </w:r>
      <m:oMath>
        <m:r>
          <m:t>A</m:t>
        </m:r>
        <m:r>
          <m:t>T</m:t>
        </m:r>
        <m:r>
          <m:t>T</m:t>
        </m:r>
        <m:r>
          <m:rPr>
            <m:sty m:val="p"/>
          </m:rPr>
          <m:t>(</m:t>
        </m:r>
        <m:r>
          <m:t>g</m:t>
        </m:r>
        <m:r>
          <m:rPr>
            <m:sty m:val="p"/>
          </m:rPr>
          <m:t>,</m:t>
        </m:r>
        <m:r>
          <m:t>t</m:t>
        </m:r>
        <m:r>
          <m:rPr>
            <m:sty m:val="p"/>
          </m:rPr>
          <m:t>)</m:t>
        </m:r>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73" w:name="fig-cs-dyn"/>
          <w:p>
            <w:pPr>
              <w:pStyle w:val="Compact"/>
              <w:jc w:val="center"/>
            </w:pPr>
            <w:r>
              <w:drawing>
                <wp:inline>
                  <wp:extent cx="5334000" cy="2963333"/>
                  <wp:effectExtent b="0" l="0" r="0" t="0"/>
                  <wp:docPr descr="" title="" id="371" name="Picture"/>
                  <a:graphic>
                    <a:graphicData uri="http://schemas.openxmlformats.org/drawingml/2006/picture">
                      <pic:pic>
                        <pic:nvPicPr>
                          <pic:cNvPr descr="A3_robustness_files/figure-docx/fig-cs-dyn-1.png" id="372" name="Picture"/>
                          <pic:cNvPicPr>
                            <a:picLocks noChangeArrowheads="1" noChangeAspect="1"/>
                          </pic:cNvPicPr>
                        </pic:nvPicPr>
                        <pic:blipFill>
                          <a:blip r:embed="rId37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73"/>
        </w:tc>
      </w:tr>
    </w:tbl>
    <w:bookmarkEnd w:id="374"/>
    <w:bookmarkStart w:id="378" w:name="cohort-specific-att"/>
    <w:p>
      <w:pPr>
        <w:pStyle w:val="Heading2"/>
      </w:pPr>
      <w:r>
        <w:t xml:space="preserve">C.4 Cohort-specific ATT</w:t>
      </w:r>
    </w:p>
    <w:tbl>
      <w:tblPr>
        <w:tblStyle w:val="Table"/>
        <w:tblW w:type="pct" w:w="5000"/>
        <w:tblLayout w:type="fixed"/>
        <w:tblLook w:firstRow="0" w:lastRow="0" w:firstColumn="0" w:lastColumn="0" w:noHBand="0" w:noVBand="0" w:val="0000"/>
      </w:tblPr>
      <w:tblGrid>
        <w:gridCol w:w="7920"/>
      </w:tblGrid>
      <w:tr>
        <w:tc>
          <w:tcPr/>
          <w:bookmarkStart w:id="375" w:name="tbl-cs-group"/>
          <w:p>
            <w:pPr>
              <w:jc w:val="center"/>
            </w:pPr>
            <w:pPr>
              <w:jc w:val="left"/>
              <w:spacing w:before="200"/>
              <w:pStyle w:val="ImageCaption"/>
            </w:pPr>
            <w:r>
              <w:t xml:space="preserve">Table O.1: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75"/>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C:\Program Files\Quarto\share\formats\docx\note.png" id="3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78"/>
    <w:bookmarkEnd w:id="379"/>
    <w:bookmarkStart w:id="381" w:name="sec-c-summary"/>
    <w:p>
      <w:pPr>
        <w:pStyle w:val="Heading1"/>
      </w:pPr>
      <w:r>
        <w:t xml:space="preserve">Appendix C — Summary of robustness</w:t>
      </w:r>
    </w:p>
    <w:tbl>
      <w:tblPr>
        <w:tblStyle w:val="Table"/>
        <w:tblW w:type="pct" w:w="5000"/>
        <w:tblLayout w:type="fixed"/>
        <w:tblLook w:firstRow="0" w:lastRow="0" w:firstColumn="0" w:lastColumn="0" w:noHBand="0" w:noVBand="0" w:val="0000"/>
      </w:tblPr>
      <w:tblGrid>
        <w:gridCol w:w="7920"/>
      </w:tblGrid>
      <w:tr>
        <w:tc>
          <w:tcPr/>
          <w:bookmarkStart w:id="380" w:name="tbl-robustness-summary"/>
          <w:p>
            <w:pPr>
              <w:jc w:val="center"/>
            </w:pPr>
            <w:pPr>
              <w:jc w:val="left"/>
              <w:spacing w:before="200"/>
              <w:pStyle w:val="ImageCaption"/>
            </w:pPr>
            <w:r>
              <w:t xml:space="preserve">Table P.1: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80"/>
        </w:tc>
      </w:tr>
    </w:tbl>
    <w:p>
      <w:pPr>
        <w:pStyle w:val="BodyText"/>
      </w:pPr>
      <w:r>
        <w:t xml:space="preserve">Three key findings:</w:t>
      </w:r>
    </w:p>
    <w:p>
      <w:pPr>
        <w:pStyle w:val="Compact"/>
        <w:numPr>
          <w:ilvl w:val="0"/>
          <w:numId w:val="1032"/>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32"/>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32"/>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81"/>
    <w:bookmarkStart w:id="382" w:name="methodology"/>
    <w:p>
      <w:pPr>
        <w:pStyle w:val="Heading1"/>
      </w:pPr>
      <w:r>
        <w:t xml:space="preserve">Appendix D —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82"/>
    <w:bookmarkStart w:id="388" w:name="sec-d-gsynth"/>
    <w:p>
      <w:pPr>
        <w:pStyle w:val="Heading1"/>
      </w:pPr>
      <w:r>
        <w:t xml:space="preserve">Appendix D — Generalised synthetic control</w:t>
      </w:r>
    </w:p>
    <w:bookmarkStart w:id="383" w:name="interactive-fixed-effects-model"/>
    <w:p>
      <w:pPr>
        <w:pStyle w:val="Heading2"/>
      </w:pPr>
      <w:r>
        <w:t xml:space="preserve">D.1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83"/>
    <w:bookmarkStart w:id="384" w:name="estimation"/>
    <w:p>
      <w:pPr>
        <w:pStyle w:val="Heading2"/>
      </w:pPr>
      <w:r>
        <w:t xml:space="preserve">D.2 Estimation</w:t>
      </w:r>
    </w:p>
    <w:p>
      <w:pPr>
        <w:pStyle w:val="FirstParagraph"/>
      </w:pPr>
      <w:r>
        <w:t xml:space="preserve">The algorithm proceeds in three steps:</w:t>
      </w:r>
    </w:p>
    <w:p>
      <w:pPr>
        <w:numPr>
          <w:ilvl w:val="0"/>
          <w:numId w:val="1033"/>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33"/>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33"/>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84"/>
    <w:bookmarkStart w:id="385" w:name="cross-validation-for-factor-selection"/>
    <w:p>
      <w:pPr>
        <w:pStyle w:val="Heading2"/>
      </w:pPr>
      <w:r>
        <w:t xml:space="preserve">D.3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85"/>
    <w:bookmarkStart w:id="386" w:name="inference"/>
    <w:p>
      <w:pPr>
        <w:pStyle w:val="Heading2"/>
      </w:pPr>
      <w:r>
        <w:t xml:space="preserve">D.4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86"/>
    <w:bookmarkStart w:id="387" w:name="X9f7c559506f1f6df1626b13d35dbc302ae02bf5"/>
    <w:p>
      <w:pPr>
        <w:pStyle w:val="Heading2"/>
      </w:pPr>
      <w:r>
        <w:t xml:space="preserve">D.5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87"/>
    <w:bookmarkEnd w:id="388"/>
    <w:bookmarkStart w:id="393" w:name="sec-d-csdid"/>
    <w:p>
      <w:pPr>
        <w:pStyle w:val="Heading1"/>
      </w:pPr>
      <w:r>
        <w:t xml:space="preserve">Appendix D — Callaway–Sant’Anna staggered DiD</w:t>
      </w:r>
    </w:p>
    <w:bookmarkStart w:id="389" w:name="group-time-att-framework"/>
    <w:p>
      <w:pPr>
        <w:pStyle w:val="Heading2"/>
      </w:pPr>
      <w:r>
        <w:t xml:space="preserve">D.1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where</w:t>
      </w:r>
      <w:r>
        <w:t xml:space="preserve"> </w:t>
      </w:r>
      <m:oMath>
        <m:sSub>
          <m:e>
            <m:r>
              <m:t>Y</m:t>
            </m:r>
          </m:e>
          <m:sub>
            <m:r>
              <m:t>t</m:t>
            </m:r>
          </m:sub>
        </m:sSub>
        <m:r>
          <m:rPr>
            <m:sty m:val="p"/>
          </m:rPr>
          <m:t>(</m:t>
        </m:r>
        <m:r>
          <m:t>g</m:t>
        </m:r>
        <m:r>
          <m:rPr>
            <m:sty m:val="p"/>
          </m:rPr>
          <m:t>)</m:t>
        </m:r>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r>
          <m:rPr>
            <m:sty m:val="p"/>
          </m:rPr>
          <m:t>(</m:t>
        </m:r>
        <m:r>
          <m:rPr>
            <m:sty m:val="p"/>
          </m:rPr>
          <m:t>∞</m:t>
        </m:r>
        <m:r>
          <m:rPr>
            <m:sty m:val="p"/>
          </m:rPr>
          <m:t>)</m:t>
        </m:r>
      </m:oMath>
      <w:r>
        <w:t xml:space="preserve"> </w:t>
      </w:r>
      <w:r>
        <w:t xml:space="preserve">is the never-treated potential outcome.</w:t>
      </w:r>
      <w:r>
        <w:t xml:space="preserve"> </w:t>
      </w:r>
      <m:oMath>
        <m:r>
          <m:t>A</m:t>
        </m:r>
        <m:r>
          <m:t>T</m:t>
        </m:r>
        <m:r>
          <m:t>T</m:t>
        </m:r>
        <m:r>
          <m:rPr>
            <m:sty m:val="p"/>
          </m:rPr>
          <m:t>(</m:t>
        </m:r>
        <m:r>
          <m:t>g</m:t>
        </m:r>
        <m:r>
          <m:rPr>
            <m:sty m:val="p"/>
          </m:rPr>
          <m:t>,</m:t>
        </m:r>
        <m:r>
          <m:t>t</m:t>
        </m:r>
        <m:r>
          <m:rPr>
            <m:sty m:val="p"/>
          </m:rPr>
          <m:t>)</m:t>
        </m:r>
      </m:oMath>
      <w:r>
        <w:t xml:space="preserve"> </w:t>
      </w:r>
      <w:r>
        <w:t xml:space="preserve">is identified under two assumptions:</w:t>
      </w:r>
    </w:p>
    <w:p>
      <w:pPr>
        <w:pStyle w:val="Compact"/>
        <w:numPr>
          <w:ilvl w:val="0"/>
          <w:numId w:val="1034"/>
        </w:numPr>
      </w:pPr>
      <w:r>
        <w:rPr>
          <w:b/>
          <w:bCs/>
        </w:rPr>
        <w:t xml:space="preserve">No-anticipation</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for all</w:t>
      </w:r>
      <w:r>
        <w:t xml:space="preserve"> </w:t>
      </w:r>
      <m:oMath>
        <m:r>
          <m:t>t</m:t>
        </m:r>
        <m:r>
          <m:rPr>
            <m:sty m:val="p"/>
          </m:rPr>
          <m:t>&lt;</m:t>
        </m:r>
        <m:r>
          <m:t>g</m:t>
        </m:r>
      </m:oMath>
      <w:r>
        <w:t xml:space="preserve">.</w:t>
      </w:r>
    </w:p>
    <w:p>
      <w:pPr>
        <w:pStyle w:val="Compact"/>
        <w:numPr>
          <w:ilvl w:val="0"/>
          <w:numId w:val="1034"/>
        </w:numPr>
      </w:pPr>
      <w:r>
        <w:rPr>
          <w:b/>
          <w:bCs/>
        </w:rPr>
        <w:t xml:space="preserve">Conditional parallel trends</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(or using not-yet-treated groups as the comparison).</w:t>
      </w:r>
    </w:p>
    <w:bookmarkEnd w:id="389"/>
    <w:bookmarkStart w:id="390" w:name="repeated-cross-sections"/>
    <w:p>
      <w:pPr>
        <w:pStyle w:val="Heading2"/>
      </w:pPr>
      <w:r>
        <w:t xml:space="preserve">D.2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90"/>
    <w:bookmarkStart w:id="391" w:name="aggregation"/>
    <w:p>
      <w:pPr>
        <w:pStyle w:val="Heading2"/>
      </w:pPr>
      <w:r>
        <w:t xml:space="preserve">D.3 Aggregation</w:t>
      </w:r>
    </w:p>
    <w:p>
      <w:pPr>
        <w:pStyle w:val="FirstParagraph"/>
      </w:pPr>
      <w:r>
        <w:t xml:space="preserve">Group-time ATTs can be aggregated into:</w:t>
      </w:r>
    </w:p>
    <w:p>
      <w:pPr>
        <w:pStyle w:val="Compact"/>
        <w:numPr>
          <w:ilvl w:val="0"/>
          <w:numId w:val="1035"/>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average ATT at relative time</w:t>
      </w:r>
      <w:r>
        <w:t xml:space="preserve"> </w:t>
      </w:r>
      <m:oMath>
        <m:r>
          <m:t>e</m:t>
        </m:r>
      </m:oMath>
      <w:r>
        <w:t xml:space="preserve">, yielding an event-study plot with explicit pre-trend tests.</w:t>
      </w:r>
    </w:p>
    <w:p>
      <w:pPr>
        <w:pStyle w:val="Compact"/>
        <w:numPr>
          <w:ilvl w:val="0"/>
          <w:numId w:val="1035"/>
        </w:numPr>
      </w:pPr>
      <w:r>
        <w:rPr>
          <w:b/>
          <w:bCs/>
        </w:rPr>
        <w:t xml:space="preserve">Group-specific effects</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35"/>
        </w:numPr>
      </w:pPr>
      <w:r>
        <w:rPr>
          <w:b/>
          <w:bCs/>
        </w:rPr>
        <w:t xml:space="preserve">Overall ATT</w:t>
      </w:r>
      <w:r>
        <w:t xml:space="preserve">: weighted average across all</w:t>
      </w:r>
      <w:r>
        <w:t xml:space="preserve"> </w:t>
      </w:r>
      <m:oMath>
        <m:r>
          <m:rPr>
            <m:sty m:val="p"/>
          </m:rPr>
          <m:t>(</m:t>
        </m:r>
        <m:r>
          <m:t>g</m:t>
        </m:r>
        <m:r>
          <m:rPr>
            <m:sty m:val="p"/>
          </m:rPr>
          <m:t>,</m:t>
        </m:r>
        <m:r>
          <m:t>t</m:t>
        </m:r>
        <m:r>
          <m:rPr>
            <m:sty m:val="p"/>
          </m:rPr>
          <m:t>)</m:t>
        </m:r>
      </m:oMath>
      <w:r>
        <w:t xml:space="preserve"> </w:t>
      </w:r>
      <w:r>
        <w:t xml:space="preserve">cells.</w:t>
      </w:r>
    </w:p>
    <w:bookmarkEnd w:id="391"/>
    <w:bookmarkStart w:id="392" w:name="implementation-planned-for-2026-data"/>
    <w:p>
      <w:pPr>
        <w:pStyle w:val="Heading2"/>
      </w:pPr>
      <w:r>
        <w:t xml:space="preserve">D.4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92"/>
    <w:bookmarkEnd w:id="393"/>
    <w:bookmarkStart w:id="397" w:name="sec-d-sdid"/>
    <w:p>
      <w:pPr>
        <w:pStyle w:val="Heading1"/>
      </w:pPr>
      <w:r>
        <w:t xml:space="preserve">Appendix D — Synthetic Difference-in-Differences</w:t>
      </w:r>
    </w:p>
    <w:bookmarkStart w:id="394" w:name="framework"/>
    <w:p>
      <w:pPr>
        <w:pStyle w:val="Heading2"/>
      </w:pPr>
      <w:r>
        <w:t xml:space="preserve">D.1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94"/>
    <w:bookmarkStart w:id="395" w:name="comparison-with-gsynth"/>
    <w:p>
      <w:pPr>
        <w:pStyle w:val="Heading2"/>
      </w:pPr>
      <w:r>
        <w:t xml:space="preserve">D.2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95"/>
    <w:bookmarkStart w:id="396" w:name="inference-1"/>
    <w:p>
      <w:pPr>
        <w:pStyle w:val="Heading2"/>
      </w:pPr>
      <w:r>
        <w:t xml:space="preserve">D.3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96"/>
    <w:bookmarkEnd w:id="397"/>
    <w:bookmarkStart w:id="400" w:name="sec-d-inference"/>
    <w:p>
      <w:pPr>
        <w:pStyle w:val="Heading1"/>
      </w:pPr>
      <w:r>
        <w:t xml:space="preserve">Appendix D — Inference with few clusters</w:t>
      </w:r>
    </w:p>
    <w:bookmarkStart w:id="398" w:name="the-power-problem"/>
    <w:p>
      <w:pPr>
        <w:pStyle w:val="Heading2"/>
      </w:pPr>
      <w:r>
        <w:t xml:space="preserve">D.1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36"/>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36"/>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36"/>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98"/>
    <w:bookmarkStart w:id="399" w:name="practical-implications"/>
    <w:p>
      <w:pPr>
        <w:pStyle w:val="Heading2"/>
      </w:pPr>
      <w:r>
        <w:t xml:space="preserve">D.2 Practical implications</w:t>
      </w:r>
    </w:p>
    <w:p>
      <w:pPr>
        <w:pStyle w:val="FirstParagraph"/>
      </w:pPr>
      <w:r>
        <w:t xml:space="preserve">The power constraints imply that:</w:t>
      </w:r>
    </w:p>
    <w:p>
      <w:pPr>
        <w:pStyle w:val="Compact"/>
        <w:numPr>
          <w:ilvl w:val="0"/>
          <w:numId w:val="1037"/>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37"/>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37"/>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99"/>
    <w:bookmarkEnd w:id="400"/>
    <w:bookmarkStart w:id="401" w:name="references-2"/>
    <w:p>
      <w:pPr>
        <w:pStyle w:val="Heading1"/>
      </w:pPr>
      <w:r>
        <w:t xml:space="preserve">References</w:t>
      </w:r>
    </w:p>
    <w:bookmarkEnd w:id="4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81" Target="media/rId181.png" /><Relationship Type="http://schemas.openxmlformats.org/officeDocument/2006/relationships/image" Id="rId206" Target="media/rId206.png" /><Relationship Type="http://schemas.openxmlformats.org/officeDocument/2006/relationships/image" Id="rId189" Target="media/rId189.png" /><Relationship Type="http://schemas.openxmlformats.org/officeDocument/2006/relationships/image" Id="rId199" Target="media/rId199.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58" Target="media/rId158.png" /><Relationship Type="http://schemas.openxmlformats.org/officeDocument/2006/relationships/image" Id="rId168" Target="media/rId168.png" /><Relationship Type="http://schemas.openxmlformats.org/officeDocument/2006/relationships/image" Id="rId163" Target="media/rId163.png" /><Relationship Type="http://schemas.openxmlformats.org/officeDocument/2006/relationships/image" Id="rId271" Target="media/rId271.png" /><Relationship Type="http://schemas.openxmlformats.org/officeDocument/2006/relationships/image" Id="rId278" Target="media/rId278.png" /><Relationship Type="http://schemas.openxmlformats.org/officeDocument/2006/relationships/image" Id="rId288" Target="media/rId288.png" /><Relationship Type="http://schemas.openxmlformats.org/officeDocument/2006/relationships/image" Id="rId329" Target="media/rId329.png" /><Relationship Type="http://schemas.openxmlformats.org/officeDocument/2006/relationships/image" Id="rId322" Target="media/rId322.png" /><Relationship Type="http://schemas.openxmlformats.org/officeDocument/2006/relationships/image" Id="rId317" Target="media/rId317.png" /><Relationship Type="http://schemas.openxmlformats.org/officeDocument/2006/relationships/image" Id="rId308" Target="media/rId308.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52" Target="media/rId352.png" /><Relationship Type="http://schemas.openxmlformats.org/officeDocument/2006/relationships/image" Id="rId336" Target="media/rId336.png" /><Relationship Type="http://schemas.openxmlformats.org/officeDocument/2006/relationships/image" Id="rId9" Target="media/rId9.png" /><Relationship Type="http://schemas.openxmlformats.org/officeDocument/2006/relationships/image" Id="rId186" Target="media/rId186.png" /><Relationship Type="http://schemas.openxmlformats.org/officeDocument/2006/relationships/image" Id="rId13" Target="media/rId13.jpg" /><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cp:keywords/>
  <dcterms:created xsi:type="dcterms:W3CDTF">2026-04-28T05:57:55Z</dcterms:created>
  <dcterms:modified xsi:type="dcterms:W3CDTF">2026-04-28T05:57:55Z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ang-en">
    <vt:lpwstr>true</vt:lpwstr>
  </property>
  <property fmtid="{D5CDD505-2E9C-101B-9397-08002B2CF9AE}" pid="19" name="subtitle">
    <vt:lpwstr>Long-Run Analysis of Rural Observatory Surveys (1995–2025)</vt:lpwstr>
  </property>
  <property fmtid="{D5CDD505-2E9C-101B-9397-08002B2CF9AE}" pid="20" name="template-partials">
    <vt:lpwstr/>
  </property>
  <property fmtid="{D5CDD505-2E9C-101B-9397-08002B2CF9AE}" pid="21" name="toc-title">
    <vt:lpwstr>Table of contents</vt:lpwstr>
  </property>
</Properties>
</file>