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38.png" ContentType="image/png"/>
  <Override PartName="/word/media/rId245.png" ContentType="image/png"/>
  <Override PartName="/word/media/rId255.png" ContentType="image/png"/>
  <Override PartName="/word/media/rId296.png" ContentType="image/png"/>
  <Override PartName="/word/media/rId289.png" ContentType="image/png"/>
  <Override PartName="/word/media/rId284.png" ContentType="image/png"/>
  <Override PartName="/word/media/rId275.png" ContentType="image/png"/>
  <Override PartName="/word/media/rId332.png" ContentType="image/png"/>
  <Override PartName="/word/media/rId337.png" ContentType="image/png"/>
  <Override PartName="/word/media/rId309.png" ContentType="image/png"/>
  <Override PartName="/word/media/rId313.png" ContentType="image/png"/>
  <Override PartName="/word/media/rId319.png" ContentType="image/png"/>
  <Override PartName="/word/media/rId303.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Evidence from Rural Observatory Surveys (1995–2025)</w:t>
      </w:r>
    </w:p>
    <w:p>
      <w:pPr>
        <w:pStyle w:val="Author"/>
      </w:pPr>
      <w:r>
        <w:t xml:space="preserve">Florent Bédécarrats</w:t>
      </w:r>
    </w:p>
    <w:p>
      <w:pPr>
        <w:pStyle w:val="Author"/>
      </w:pPr>
      <w:r>
        <w:t xml:space="preserve">Véromanitra Razafimahenina</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1. 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1.1 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 a technique that constructs data-driven counterfactuals for each exposed</w:t>
      </w:r>
      <w:r>
        <w:t xml:space="preserve"> </w:t>
      </w:r>
      <w:r>
        <w:t xml:space="preserve">unit by modelling unobserved common factors — we compare two governance</w:t>
      </w:r>
      <w:r>
        <w:t xml:space="preserve"> </w:t>
      </w:r>
      <w:r>
        <w:t xml:space="preserve">archetypes:</w:t>
      </w:r>
    </w:p>
    <w:p>
      <w:pPr>
        <w:pStyle w:val="Compact"/>
        <w:numPr>
          <w:ilvl w:val="0"/>
          <w:numId w:val="1001"/>
        </w:numPr>
      </w:pPr>
      <w:r>
        <w:rPr>
          <w:b/>
          <w:bCs/>
        </w:rPr>
        <w:t xml:space="preserve">Strict conservation</w:t>
      </w:r>
      <w:r>
        <w:t xml:space="preserve"> </w:t>
      </w:r>
      <w:r>
        <w:t xml:space="preserve">(IUCN category II): the 2002 extension of</w:t>
      </w:r>
      <w:r>
        <w:t xml:space="preserve"> </w:t>
      </w:r>
      <w:r>
        <w:t xml:space="preserve">Ankarafantsika National Park, monitored via the Marovoay observatory.</w:t>
      </w:r>
    </w:p>
    <w:p>
      <w:pPr>
        <w:pStyle w:val="Compact"/>
        <w:numPr>
          <w:ilvl w:val="0"/>
          <w:numId w:val="1001"/>
        </w:numPr>
      </w:pPr>
      <w:r>
        <w:rPr>
          <w:b/>
          <w:bCs/>
        </w:rPr>
        <w:t xml:space="preserve">Multipurpose conservation</w:t>
      </w:r>
      <w:r>
        <w:t xml:space="preserve"> </w:t>
      </w:r>
      <w:r>
        <w:t xml:space="preserve">(IUCN category VI): the 2008 creation of the</w:t>
      </w:r>
      <w:r>
        <w:t xml:space="preserve"> </w:t>
      </w:r>
      <w:r>
        <w:t xml:space="preserve">Lac Alaotra new protected area, monitored via the Alaotra observatory.</w:t>
      </w:r>
    </w:p>
    <w:p>
      <w:pPr>
        <w:pStyle w:val="FirstParagraph"/>
      </w:pPr>
      <w:r>
        <w:t xml:space="preserve">We find a persistent negative effect of strict conservation at Ankarafantsika on</w:t>
      </w:r>
      <w:r>
        <w:t xml:space="preserve"> </w:t>
      </w:r>
      <w:r>
        <w:t xml:space="preserve">equivalised household income (ATT ≈ -0.312 log points), while</w:t>
      </w:r>
      <w:r>
        <w:t xml:space="preserve"> </w:t>
      </w:r>
      <w:r>
        <w:t xml:space="preserve">multipurpose conservation at Alaotra shows no detectable effect (ATT ≈</w:t>
      </w:r>
      <w:r>
        <w:t xml:space="preserve"> </w:t>
      </w:r>
      <w:r>
        <w:t xml:space="preserve">+0.014 log points).</w:t>
      </w:r>
      <w:r>
        <w:t xml:space="preserve"> </w:t>
      </w:r>
      <w:r>
        <w:t xml:space="preserve">These results extend to three additional observatory–PA pairs. A 2025 resurvey</w:t>
      </w:r>
      <w:r>
        <w:t xml:space="preserve"> </w:t>
      </w:r>
      <w:r>
        <w:t xml:space="preserve">confirms the long-run persistence of these patterns.</w:t>
      </w:r>
    </w:p>
    <w:bookmarkEnd w:id="16"/>
    <w:bookmarkStart w:id="27" w:name="structure"/>
    <w:p>
      <w:pPr>
        <w:pStyle w:val="Heading2"/>
      </w:pPr>
      <w:r>
        <w:t xml:space="preserve">1.2 Structure</w:t>
      </w:r>
    </w:p>
    <w:p>
      <w:pPr>
        <w:pStyle w:val="FirstParagraph"/>
      </w:pPr>
      <w:r>
        <w:t xml:space="preserve">The analysis chapters present the core argument:</w:t>
      </w:r>
    </w:p>
    <w:p>
      <w:pPr>
        <w:pStyle w:val="Compact"/>
        <w:numPr>
          <w:ilvl w:val="0"/>
          <w:numId w:val="1002"/>
        </w:numPr>
      </w:pPr>
      <w:hyperlink r:id="rId17">
        <w:r>
          <w:rPr>
            <w:rStyle w:val="Hyperlink"/>
            <w:b/>
            <w:bCs/>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2"/>
        </w:numPr>
      </w:pPr>
      <w:hyperlink r:id="rId18">
        <w:r>
          <w:rPr>
            <w:rStyle w:val="Hyperlink"/>
            <w:b/>
            <w:bCs/>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2"/>
        </w:numPr>
      </w:pPr>
      <w:hyperlink r:id="rId19">
        <w:r>
          <w:rPr>
            <w:rStyle w:val="Hyperlink"/>
            <w:b/>
            <w:bCs/>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2"/>
        </w:numPr>
      </w:pPr>
      <w:hyperlink r:id="rId20">
        <w:r>
          <w:rPr>
            <w:rStyle w:val="Hyperlink"/>
            <w:b/>
            <w:bCs/>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2"/>
        </w:numPr>
      </w:pPr>
      <w:hyperlink r:id="rId21">
        <w:r>
          <w:rPr>
            <w:rStyle w:val="Hyperlink"/>
            <w:b/>
            <w:bCs/>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2"/>
        </w:numPr>
      </w:pPr>
      <w:hyperlink r:id="rId22">
        <w:r>
          <w:rPr>
            <w:rStyle w:val="Hyperlink"/>
            <w:b/>
            <w:bCs/>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3"/>
        </w:numPr>
      </w:pPr>
      <w:hyperlink r:id="rId23">
        <w:r>
          <w:rPr>
            <w:rStyle w:val="Hyperlink"/>
            <w:b/>
            <w:bCs/>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3"/>
        </w:numPr>
      </w:pPr>
      <w:hyperlink r:id="rId24">
        <w:r>
          <w:rPr>
            <w:rStyle w:val="Hyperlink"/>
            <w:b/>
            <w:bCs/>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3"/>
        </w:numPr>
      </w:pPr>
      <w:hyperlink r:id="rId25">
        <w:r>
          <w:rPr>
            <w:rStyle w:val="Hyperlink"/>
            <w:b/>
            <w:bCs/>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3"/>
        </w:numPr>
      </w:pPr>
      <w:hyperlink r:id="rId26">
        <w:r>
          <w:rPr>
            <w:rStyle w:val="Hyperlink"/>
            <w:b/>
            <w:bCs/>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2.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3.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4.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5. Research question</w:t>
      </w:r>
    </w:p>
    <w:p>
      <w:pPr>
        <w:pStyle w:val="FirstParagraph"/>
      </w:pPr>
      <w:r>
        <w:t xml:space="preserve">We ask:</w:t>
      </w:r>
      <w:r>
        <w:t xml:space="preserve"> </w:t>
      </w:r>
      <w:r>
        <w:rPr>
          <w:b/>
          <w:bCs/>
        </w:rPr>
        <w:t xml:space="preserve">does the governance model of a protected area affect household income in surrounding communities?</w:t>
      </w:r>
    </w:p>
    <w:p>
      <w:pPr>
        <w:pStyle w:val="BodyText"/>
      </w:pPr>
      <w:r>
        <w:t xml:space="preserve">We compare two natural experiments embedded in the ROS data:</w:t>
      </w:r>
    </w:p>
    <w:p>
      <w:pPr>
        <w:numPr>
          <w:ilvl w:val="0"/>
          <w:numId w:val="1004"/>
        </w:numPr>
      </w:pPr>
      <w:r>
        <w:rPr>
          <w:b/>
          <w:bCs/>
        </w:rPr>
        <w:t xml:space="preserve">Strict conservation</w:t>
      </w:r>
      <w:r>
        <w:t xml:space="preserve">: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4"/>
        </w:numPr>
      </w:pPr>
      <w:r>
        <w:rPr>
          <w:b/>
          <w:bCs/>
        </w:rPr>
        <w:t xml:space="preserve">Multipurpose conservation</w:t>
      </w:r>
      <w:r>
        <w:t xml:space="preserve">: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6.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7.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Year-by-year data coverage across observatories and survey sites.</w:t>
            </w:r>
          </w:p>
          <w:bookmarkEnd w:id="50"/>
        </w:tc>
      </w:tr>
    </w:tbl>
    <w:bookmarkEnd w:id="51"/>
    <w:bookmarkStart w:id="53" w:name="sec-georef"/>
    <w:p>
      <w:pPr>
        <w:pStyle w:val="Heading1"/>
      </w:pPr>
      <w:r>
        <w:t xml:space="preserve">8.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5"/>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5"/>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5"/>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9.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9.1: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9.1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10. Outcome variable</w:t>
      </w:r>
    </w:p>
    <w:p>
      <w:pPr>
        <w:pStyle w:val="FirstParagraph"/>
      </w:pPr>
      <w:r>
        <w:t xml:space="preserve">The primary outcome is log equivalised household income. Construction proceeds as follows:</w:t>
      </w:r>
    </w:p>
    <w:p>
      <w:pPr>
        <w:numPr>
          <w:ilvl w:val="0"/>
          <w:numId w:val="1006"/>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6"/>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6"/>
        </w:numPr>
      </w:pPr>
      <w:r>
        <w:rPr>
          <w:b/>
          <w:bCs/>
        </w:rPr>
        <w:t xml:space="preserve">Winsorisation</w:t>
      </w:r>
      <w:r>
        <w:t xml:space="preserve">: at the 1st and 99th percentiles within each year to limit the influence of extreme values.</w:t>
      </w:r>
    </w:p>
    <w:p>
      <w:pPr>
        <w:numPr>
          <w:ilvl w:val="0"/>
          <w:numId w:val="1006"/>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Mean log equivalised household income over time, by observatory.</w:t>
            </w:r>
          </w:p>
          <w:bookmarkEnd w:id="63"/>
        </w:tc>
      </w:tr>
    </w:tbl>
    <w:bookmarkEnd w:id="64"/>
    <w:bookmarkStart w:id="66" w:name="sec-descriptives"/>
    <w:p>
      <w:pPr>
        <w:pStyle w:val="Heading1"/>
      </w:pPr>
      <w:r>
        <w:t xml:space="preserve">11.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11.1: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12.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13</w:t>
        </w:r>
      </w:hyperlink>
      <w:r>
        <w:t xml:space="preserve">). Second, we explain how the survey design constrains the unit of analysis (</w:t>
      </w:r>
      <w:hyperlink w:anchor="sec-panel">
        <w:r>
          <w:rPr>
            <w:rStyle w:val="Hyperlink"/>
          </w:rPr>
          <w:t xml:space="preserve">Chapter 14</w:t>
        </w:r>
      </w:hyperlink>
      <w:r>
        <w:t xml:space="preserve">). Third, we describe the statistical method used to construct counterfactual income trajectories (</w:t>
      </w:r>
      <w:hyperlink w:anchor="sec-estimation">
        <w:r>
          <w:rPr>
            <w:rStyle w:val="Hyperlink"/>
          </w:rPr>
          <w:t xml:space="preserve">Chapter 15</w:t>
        </w:r>
      </w:hyperlink>
      <w:r>
        <w:t xml:space="preserve">). Fourth, we briefly introduce three additional cases that extend the analysis (</w:t>
      </w:r>
      <w:hyperlink w:anchor="sec-extensions">
        <w:r>
          <w:rPr>
            <w:rStyle w:val="Hyperlink"/>
          </w:rPr>
          <w:t xml:space="preserve">Chapter 16</w:t>
        </w:r>
      </w:hyperlink>
      <w:r>
        <w:t xml:space="preserve">).</w:t>
      </w:r>
    </w:p>
    <w:bookmarkEnd w:id="67"/>
    <w:bookmarkStart w:id="94" w:name="sec-treatment"/>
    <w:p>
      <w:pPr>
        <w:pStyle w:val="Heading1"/>
      </w:pPr>
      <w:r>
        <w:t xml:space="preserve">13.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13.1 Marovoay and Ankarafantsika National Park (2003)</w:t>
      </w:r>
    </w:p>
    <w:bookmarkStart w:id="68" w:name="sec-maro-history"/>
    <w:p>
      <w:pPr>
        <w:pStyle w:val="Heading3"/>
      </w:pPr>
      <w:r>
        <w:t xml:space="preserve">13.1.1 The 2002 park extension</w:t>
      </w:r>
    </w:p>
    <w:p>
      <w:pPr>
        <w:pStyle w:val="FirstParagraph"/>
      </w:pPr>
      <w:r>
        <w:t xml:space="preserve">As illustrated in</w:t>
      </w:r>
      <w:r>
        <w:t xml:space="preserve"> </w:t>
      </w:r>
      <w:hyperlink w:anchor="fig-map-maro">
        <w:r>
          <w:rPr>
            <w:rStyle w:val="Hyperlink"/>
          </w:rPr>
          <w:t xml:space="preserve">Figure 13.1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7"/>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7"/>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13.1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13.1.2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13.1: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13.1.3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13.2: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8"/>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8"/>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8"/>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13.2 Lac Alaotra and the Protected Landscape (2008)</w:t>
      </w:r>
    </w:p>
    <w:bookmarkStart w:id="79" w:name="sec-ala-history"/>
    <w:p>
      <w:pPr>
        <w:pStyle w:val="Heading3"/>
      </w:pPr>
      <w:r>
        <w:t xml:space="preserve">13.2.1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13.2.2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13.2.3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13.3: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9"/>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9"/>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9"/>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13.3 PA zone usage intensity across both sites</w:t>
      </w:r>
    </w:p>
    <w:p>
      <w:pPr>
        <w:pStyle w:val="FirstParagraph"/>
      </w:pPr>
      <w:hyperlink w:anchor="fig-visit-freq">
        <w:r>
          <w:rPr>
            <w:rStyle w:val="Hyperlink"/>
          </w:rPr>
          <w:t xml:space="preserve">Figure 13.3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13.4 Extensions: three additional cases (2006–2007)</w:t>
      </w:r>
    </w:p>
    <w:p>
      <w:pPr>
        <w:pStyle w:val="FirstParagraph"/>
      </w:pPr>
      <w:r>
        <w:t xml:space="preserve">The donor-pool audit (</w:t>
      </w:r>
      <w:hyperlink w:anchor="sec-donor-pool">
        <w:r>
          <w:rPr>
            <w:rStyle w:val="Hyperlink"/>
          </w:rPr>
          <w:t xml:space="preserve">Section 15.1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16</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14. From households to villages</w:t>
      </w:r>
    </w:p>
    <w:bookmarkStart w:id="97" w:name="sec-rotating-panel"/>
    <w:p>
      <w:pPr>
        <w:pStyle w:val="Heading2"/>
      </w:pPr>
      <w:r>
        <w:t xml:space="preserve">14.1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14.2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10"/>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10"/>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10"/>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
    <w:p>
      <w:pPr>
        <w:pStyle w:val="Heading2"/>
      </w:pPr>
      <w:r>
        <w:t xml:space="preserve">14.3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1"/>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1"/>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1"/>
        </w:numPr>
      </w:pPr>
      <w:r>
        <w:rPr>
          <w:b/>
          <w:bCs/>
        </w:rPr>
        <w:t xml:space="preserve">Winsorisation</w:t>
      </w:r>
      <w:r>
        <w:t xml:space="preserve">: at the 1st and 99th percentiles within each year to limit the influence of extreme values.</w:t>
      </w:r>
    </w:p>
    <w:p>
      <w:pPr>
        <w:numPr>
          <w:ilvl w:val="0"/>
          <w:numId w:val="1011"/>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15.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15.1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15.1: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15.2 Generalized synthetic control</w:t>
      </w:r>
    </w:p>
    <w:bookmarkStart w:id="103" w:name="sec-gsynth-intuition"/>
    <w:p>
      <w:pPr>
        <w:pStyle w:val="Heading3"/>
      </w:pPr>
      <w:r>
        <w:t xml:space="preserve">15.2.1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15.2.2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2"/>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2"/>
        </w:numPr>
      </w:pPr>
      <w:r>
        <w:rPr>
          <w:b/>
          <w:bCs/>
        </w:rPr>
        <w:t xml:space="preserve">Inference</w:t>
      </w:r>
      <w:r>
        <w:t xml:space="preserve">: parametric bootstrap with 200 replications.</w:t>
      </w:r>
    </w:p>
    <w:p>
      <w:pPr>
        <w:pStyle w:val="Compact"/>
        <w:numPr>
          <w:ilvl w:val="0"/>
          <w:numId w:val="1012"/>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15.2.3 Two separate models</w:t>
      </w:r>
    </w:p>
    <w:p>
      <w:pPr>
        <w:pStyle w:val="FirstParagraph"/>
      </w:pPr>
      <w:r>
        <w:t xml:space="preserve">We estimate two separate models, reflecting the distinct nature of each case:</w:t>
      </w:r>
    </w:p>
    <w:p>
      <w:pPr>
        <w:numPr>
          <w:ilvl w:val="0"/>
          <w:numId w:val="1013"/>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3"/>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15.3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15.4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4"/>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13.1</w:t>
        </w:r>
      </w:hyperlink>
      <w:r>
        <w:t xml:space="preserve"> </w:t>
      </w:r>
      <w:r>
        <w:t xml:space="preserve">by the Betsiboka river barrier.</w:t>
      </w:r>
    </w:p>
    <w:p>
      <w:pPr>
        <w:pStyle w:val="Compact"/>
        <w:numPr>
          <w:ilvl w:val="0"/>
          <w:numId w:val="1014"/>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13.1.3</w:t>
        </w:r>
      </w:hyperlink>
      <w:r>
        <w:t xml:space="preserve">,</w:t>
      </w:r>
      <w:r>
        <w:t xml:space="preserve"> </w:t>
      </w:r>
      <w:hyperlink w:anchor="sec-ala-usage">
        <w:r>
          <w:rPr>
            <w:rStyle w:val="Hyperlink"/>
          </w:rPr>
          <w:t xml:space="preserve">Section 13.2.3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13.1.3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15.2: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13.1.3</w:t>
              </w:r>
            </w:hyperlink>
            <w:r>
              <w:t xml:space="preserve"> </w:t>
            </w:r>
            <w:r>
              <w:t xml:space="preserve">and</w:t>
            </w:r>
            <w:r>
              <w:t xml:space="preserve"> </w:t>
            </w:r>
            <w:hyperlink w:anchor="sec-ala-usage">
              <w:r>
                <w:rPr>
                  <w:rStyle w:val="Hyperlink"/>
                </w:rPr>
                <w:t xml:space="preserve">Section 13.2.3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5"/>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5"/>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5"/>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5"/>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16.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15.1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16.1: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17.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15.4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32</w:t>
        </w:r>
      </w:hyperlink>
      <w:r>
        <w:t xml:space="preserve">.</w:t>
      </w:r>
    </w:p>
    <w:bookmarkEnd w:id="113"/>
    <w:bookmarkStart w:id="114" w:name="results"/>
    <w:p>
      <w:pPr>
        <w:pStyle w:val="Heading1"/>
      </w:pPr>
      <w:r>
        <w:t xml:space="preserve">18.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19. Ankarafantsika: strict conservation (IUCN II)</w:t>
      </w:r>
    </w:p>
    <w:bookmarkStart w:id="115" w:name="panel-construction"/>
    <w:p>
      <w:pPr>
        <w:pStyle w:val="Heading2"/>
      </w:pPr>
      <w:r>
        <w:t xml:space="preserve">19.1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Ankarafantsika: gsynth ATT path for east-bank sites relative to exposure onset (2003). Outcome: log OECD-equivalised income. Shaded band: 95% parametric bootstrap CI.</w:t>
            </w:r>
          </w:p>
          <w:bookmarkEnd w:id="119"/>
        </w:tc>
      </w:tr>
    </w:tbl>
    <w:p>
      <w:pPr>
        <w:pStyle w:val="BodyText"/>
      </w:pPr>
      <w:r>
        <w:t xml:space="preserve">The gsynth estimator finds a persistent negative effect of PA exposure on equivalised household income at the east-bank Marovoay sites. The average post-exposure ATT is approximately -0.312 log points (95% CI: [-0.550, -0.073],</w:t>
      </w:r>
      <w:r>
        <w:t xml:space="preserve"> </w:t>
      </w:r>
      <w:r>
        <w:rPr>
          <w:i/>
          <w:iCs/>
        </w:rPr>
        <w:t xml:space="preserve">p</w:t>
      </w:r>
      <w:r>
        <w:t xml:space="preserve"> </w:t>
      </w:r>
      <w:r>
        <w:t xml:space="preserve">= 0.010), corresponding to a roughly 27% decline in equivalised income relative to the synthetic counterfactual. The effect emerges shortly after the 2002 extension and does not attenuate over the observation period.</w:t>
      </w:r>
    </w:p>
    <w:bookmarkStart w:id="121" w:name="sec-maro-rcs"/>
    <w:p>
      <w:pPr>
        <w:pStyle w:val="Heading3"/>
      </w:pPr>
      <w:r>
        <w:t xml:space="preserve">19.2.1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15.4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19.1: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SE — strikingly different in magnitude from the gsynth ATT of -0.312 log points reported above. This is not a contradiction but a clarification: the two estimators identify the treatment effect against different counterfactuals. gsynth weights against five clean outside observatories that share the broad macroeconomic and ecological context of rural Madagascar but were never exposed to a strict-PA framework; the within-Marovoay RCS weights against the west bank, which is geographically adjacent and shares many of the same local shocks (the regional Betsiboka river economy, weather variability, market access) as the east bank. The fact that east-bank and west-bank trajectories track each other so closely is itself substantive: it indicates that the gsynth-identified effect at Marovoay is regional rather than purely local. In other words the whole observatory diverged downward from comparable Madagascar sites, with no detectable east-vs-west gap inside the observatory.</w:t>
      </w:r>
    </w:p>
    <w:bookmarkEnd w:id="121"/>
    <w:bookmarkEnd w:id="122"/>
    <w:bookmarkStart w:id="127" w:name="unit-specific-effects"/>
    <w:p>
      <w:pPr>
        <w:pStyle w:val="Heading2"/>
      </w:pPr>
      <w:r>
        <w:t xml:space="preserve">19.3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20. Lac Alaotra: multipurpose conservation (IUCN VI)</w:t>
      </w:r>
    </w:p>
    <w:bookmarkStart w:id="129" w:name="panel-construction-1"/>
    <w:p>
      <w:pPr>
        <w:pStyle w:val="Heading2"/>
      </w:pPr>
      <w:r>
        <w:t xml:space="preserve">20.1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20.2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w:t>
      </w:r>
      <w:r>
        <w:rPr>
          <w:i/>
          <w:iCs/>
        </w:rPr>
        <w:t xml:space="preserve">p</w:t>
      </w:r>
      <w:r>
        <w:t xml:space="preserve"> </w:t>
      </w:r>
      <w:r>
        <w:t xml:space="preserve">= 0.928) — close to zero and not statistically significant. The confidence interval comfortably spans zero.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20.2.1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15.4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20.1: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21.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21.1: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Side-by-side ATT paths. Left: Ankarafantsika (strict, from 2003) shows a persistent negative effect. Right: Lac Alaotra (multipurpose, from 2008) shows no significant effect.</w:t>
            </w:r>
          </w:p>
          <w:bookmarkEnd w:id="142"/>
        </w:tc>
      </w:tr>
    </w:tbl>
    <w:p>
      <w:pPr>
        <w:pStyle w:val="BodyText"/>
      </w:pPr>
      <w:r>
        <w:t xml:space="preserve">The contrast is striking. Strict enforcement at Ankarafantsika produces a large, persistent negative effect on household income. Participatory conservation at Lac Alaotra produces no detectable aggregate effect. This divergence is consistent with the different institutional arrangements: exclusionary management restricting access to forest resources versus community-based management integrating local livelihoods.</w:t>
      </w:r>
    </w:p>
    <w:bookmarkEnd w:id="143"/>
    <w:bookmarkStart w:id="156" w:name="sec-longrun"/>
    <w:p>
      <w:pPr>
        <w:pStyle w:val="Heading1"/>
      </w:pPr>
      <w:r>
        <w:t xml:space="preserve">22.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22.1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19</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6"/>
        </w:numPr>
      </w:pPr>
      <w:r>
        <w:t xml:space="preserve">the 5 clean donors used in</w:t>
      </w:r>
      <w:r>
        <w:t xml:space="preserve"> </w:t>
      </w:r>
      <w:hyperlink w:anchor="sec-maro">
        <w:r>
          <w:rPr>
            <w:rStyle w:val="Hyperlink"/>
          </w:rPr>
          <w:t xml:space="preserve">Chapter 19</w:t>
        </w:r>
      </w:hyperlink>
      <w:r>
        <w:t xml:space="preserve"> </w:t>
      </w:r>
      <w:r>
        <w:t xml:space="preserve">(observatories 02, 13, 16, 25, 41);</w:t>
      </w:r>
    </w:p>
    <w:p>
      <w:pPr>
        <w:pStyle w:val="Compact"/>
        <w:numPr>
          <w:ilvl w:val="0"/>
          <w:numId w:val="1016"/>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6"/>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19.2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22.2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22.3 Robustness of the 2025 gap</w:t>
      </w:r>
    </w:p>
    <w:p>
      <w:pPr>
        <w:pStyle w:val="FirstParagraph"/>
      </w:pPr>
      <w:r>
        <w:t xml:space="preserve">The east-west income gap in 2025 is not driven by outliers:</w:t>
      </w:r>
    </w:p>
    <w:p>
      <w:pPr>
        <w:pStyle w:val="Compact"/>
        <w:numPr>
          <w:ilvl w:val="0"/>
          <w:numId w:val="1017"/>
        </w:numPr>
      </w:pPr>
      <w:r>
        <w:t xml:space="preserve">The gap is visible at</w:t>
      </w:r>
      <w:r>
        <w:t xml:space="preserve"> </w:t>
      </w:r>
      <w:r>
        <w:rPr>
          <w:i/>
          <w:iCs/>
        </w:rPr>
        <w:t xml:space="preserve">every</w:t>
      </w:r>
      <w:r>
        <w:t xml:space="preserve"> </w:t>
      </w:r>
      <w:r>
        <w:t xml:space="preserve">percentile of the income distribution.</w:t>
      </w:r>
    </w:p>
    <w:p>
      <w:pPr>
        <w:pStyle w:val="Compact"/>
        <w:numPr>
          <w:ilvl w:val="0"/>
          <w:numId w:val="1017"/>
        </w:numPr>
      </w:pPr>
      <w:r>
        <w:t xml:space="preserve">IQR-based outlier removal</w:t>
      </w:r>
      <w:r>
        <w:t xml:space="preserve"> </w:t>
      </w:r>
      <w:r>
        <w:rPr>
          <w:i/>
          <w:iCs/>
        </w:rPr>
        <w:t xml:space="preserve">widens</w:t>
      </w:r>
      <w:r>
        <w:t xml:space="preserve"> </w:t>
      </w:r>
      <w:r>
        <w:t xml:space="preserve">the gap (outliers disproportionately favour the east bank).</w:t>
      </w:r>
    </w:p>
    <w:p>
      <w:pPr>
        <w:pStyle w:val="Compact"/>
        <w:numPr>
          <w:ilvl w:val="0"/>
          <w:numId w:val="1017"/>
        </w:numPr>
      </w:pPr>
      <w:r>
        <w:t xml:space="preserve">The west-bank advantage spans 5 of 7 major income components.</w:t>
      </w:r>
    </w:p>
    <w:p>
      <w:pPr>
        <w:pStyle w:val="Compact"/>
        <w:numPr>
          <w:ilvl w:val="0"/>
          <w:numId w:val="1017"/>
        </w:numPr>
      </w:pPr>
      <w:r>
        <w:t xml:space="preserve">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bookmarkEnd w:id="154"/>
    <w:bookmarkStart w:id="155" w:name="sec-ext-ala"/>
    <w:p>
      <w:pPr>
        <w:pStyle w:val="Heading2"/>
      </w:pPr>
      <w:r>
        <w:t xml:space="preserve">22.4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23.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PAs created during the study period:</w:t>
      </w:r>
    </w:p>
    <w:p>
      <w:pPr>
        <w:pStyle w:val="Compact"/>
        <w:numPr>
          <w:ilvl w:val="0"/>
          <w:numId w:val="1018"/>
        </w:numPr>
      </w:pPr>
      <w:r>
        <w:rPr>
          <w:b/>
          <w:bCs/>
        </w:rPr>
        <w:t xml:space="preserve">Farafangana</w:t>
      </w:r>
      <w:r>
        <w:t xml:space="preserve"> </w:t>
      </w:r>
      <w:r>
        <w:t xml:space="preserve">(obs. 15): adjacent to the Corridor Forestier Ambositra-Vondrozo (IUCN V, September 2006), a large highland corridor under light-touch regulation. Survey window: 1999–2008 (3 post-treatment years only).</w:t>
      </w:r>
    </w:p>
    <w:p>
      <w:pPr>
        <w:pStyle w:val="Compact"/>
        <w:numPr>
          <w:ilvl w:val="0"/>
          <w:numId w:val="1018"/>
        </w:numPr>
      </w:pPr>
      <w:r>
        <w:rPr>
          <w:b/>
          <w:bCs/>
        </w:rPr>
        <w:t xml:space="preserve">Toliara North</w:t>
      </w:r>
      <w:r>
        <w:t xml:space="preserve"> </w:t>
      </w:r>
      <w:r>
        <w:t xml:space="preserve">(obs. 23): adjacent to Amoron’i Onilahy (IUCN V, January 2007), Mikea National Park (IUCN II, April 2007), and Ranobe PK 32 (IUCN V, December 2008) — a rapid cascade of coastal and dry-forest protections. Survey window: 1999–2014.</w:t>
      </w:r>
    </w:p>
    <w:p>
      <w:pPr>
        <w:pStyle w:val="Compact"/>
        <w:numPr>
          <w:ilvl w:val="0"/>
          <w:numId w:val="1018"/>
        </w:numPr>
      </w:pPr>
      <w:r>
        <w:rPr>
          <w:b/>
          <w:bCs/>
        </w:rPr>
        <w:t xml:space="preserve">Fénérive East</w:t>
      </w:r>
      <w:r>
        <w:t xml:space="preserve"> </w:t>
      </w:r>
      <w:r>
        <w:t xml:space="preserve">(obs.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critical methodological change: the</w:t>
      </w:r>
      <w:r>
        <w:t xml:space="preserve"> </w:t>
      </w:r>
      <w:r>
        <w:rPr>
          <w:b/>
          <w:bCs/>
        </w:rPr>
        <w:t xml:space="preserve">donor pool is restricted to five clean observatories</w:t>
      </w:r>
      <w:r>
        <w:t xml:space="preserve"> </w:t>
      </w:r>
      <w:r>
        <w:t xml:space="preserve">(Antsirabe,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exposed units here. Marovoay and Alaotra ATT estimates will therefore differ slightly from their Chapter 4 counterparts.</w:t>
      </w:r>
    </w:p>
    <w:bookmarkEnd w:id="157"/>
    <w:bookmarkStart w:id="175" w:name="sec-additional-sites"/>
    <w:p>
      <w:pPr>
        <w:pStyle w:val="Heading1"/>
      </w:pPr>
      <w:r>
        <w:t xml:space="preserve">24. Study sites</w:t>
      </w:r>
    </w:p>
    <w:bookmarkStart w:id="162" w:name="sec-fara-site"/>
    <w:p>
      <w:pPr>
        <w:pStyle w:val="Heading2"/>
      </w:pPr>
      <w:r>
        <w:t xml:space="preserve">24.1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w:t>
      </w:r>
      <w:r>
        <w:t xml:space="preserve"> </w:t>
      </w:r>
      <w:r>
        <w:rPr>
          <w:b/>
          <w:bCs/>
        </w:rPr>
        <w:t xml:space="preserve">additional</w:t>
      </w:r>
      <w:r>
        <w:t xml:space="preserve"> </w:t>
      </w:r>
      <w:r>
        <w:t xml:space="preserve">income effect of the 2006 CFAV decree.</w:t>
      </w:r>
    </w:p>
    <w:p>
      <w:pPr>
        <w:pStyle w:val="BodyText"/>
      </w:pPr>
      <w:r>
        <w:t xml:space="preserve">All survey sites are exposed at observatory level from 2006; no within-observatory split is possible.</w:t>
      </w:r>
      <w:r>
        <w:t xml:space="preserve"> </w:t>
      </w:r>
      <w:r>
        <w:rPr>
          <w:b/>
          <w:bCs/>
        </w:rPr>
        <w:t xml:space="preserve">Caution</w:t>
      </w:r>
      <w:r>
        <w:t xml:space="preserv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24.2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9"/>
        </w:numPr>
      </w:pPr>
      <w:r>
        <w:rPr>
          <w:b/>
          <w:bCs/>
        </w:rPr>
        <w:t xml:space="preserve">Amoron’i Onilahy</w:t>
      </w:r>
      <w:r>
        <w:t xml:space="preserve"> </w:t>
      </w:r>
      <w:r>
        <w:t xml:space="preserve">(IUCN V, 17 January 2007, ~12 km): riparian and coastal landscape PA covering the Onilahy estuary.</w:t>
      </w:r>
    </w:p>
    <w:p>
      <w:pPr>
        <w:pStyle w:val="Compact"/>
        <w:numPr>
          <w:ilvl w:val="0"/>
          <w:numId w:val="1019"/>
        </w:numPr>
      </w:pPr>
      <w:r>
        <w:rPr>
          <w:b/>
          <w:bCs/>
        </w:rPr>
        <w:t xml:space="preserve">Mikea National Park</w:t>
      </w:r>
      <w:r>
        <w:t xml:space="preserve"> </w:t>
      </w:r>
      <w:r>
        <w:t xml:space="preserve">(IUCN II, 13 April 2007, ~16 km): strict reserve protecting Mikea dry spiny-thicket forest.</w:t>
      </w:r>
    </w:p>
    <w:p>
      <w:pPr>
        <w:pStyle w:val="Compact"/>
        <w:numPr>
          <w:ilvl w:val="0"/>
          <w:numId w:val="1019"/>
        </w:numPr>
      </w:pPr>
      <w:r>
        <w:rPr>
          <w:b/>
          <w:bCs/>
        </w:rPr>
        <w:t xml:space="preserve">Ranobe PK 32</w:t>
      </w:r>
      <w:r>
        <w:t xml:space="preserve"> </w:t>
      </w:r>
      <w:r>
        <w:t xml:space="preserve">(IUCN V, 2 December 2008, ~1.4 km): large terrestrial PA (1,685 km²) bordering the observatory at extremely close range.</w:t>
      </w:r>
    </w:p>
    <w:p>
      <w:pPr>
        <w:pStyle w:val="FirstParagraph"/>
      </w:pPr>
      <w:r>
        <w:t xml:space="preserve">Exposure year is</w:t>
      </w:r>
      <w:r>
        <w:t xml:space="preserve"> </w:t>
      </w:r>
      <w:r>
        <w:rPr>
          <w:b/>
          <w:bCs/>
        </w:rPr>
        <w:t xml:space="preserve">2007</w:t>
      </w:r>
      <w:r>
        <w:t xml:space="preserve"> </w:t>
      </w:r>
      <w:r>
        <w:t xml:space="preserve">—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Toliara North observatory and nearby protected areas. Three PAs became operative during 2007–2008.</w:t>
            </w:r>
          </w:p>
          <w:bookmarkEnd w:id="166"/>
        </w:tc>
      </w:tr>
    </w:tbl>
    <w:bookmarkEnd w:id="167"/>
    <w:bookmarkStart w:id="172" w:name="sec-fen-site"/>
    <w:p>
      <w:pPr>
        <w:pStyle w:val="Heading2"/>
      </w:pPr>
      <w:r>
        <w:t xml:space="preserve">24.3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w:t>
      </w:r>
      <w:r>
        <w:t xml:space="preserve"> </w:t>
      </w:r>
      <w:r>
        <w:rPr>
          <w:b/>
          <w:bCs/>
        </w:rPr>
        <w:t xml:space="preserve">2007</w:t>
      </w:r>
      <w:r>
        <w:t xml:space="preserve">.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24.4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24.1: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25.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25.1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Ankarafantsika gsynth ATT path (clean donor pool). Exposure onset 2003.</w:t>
            </w:r>
          </w:p>
          <w:bookmarkEnd w:id="179"/>
        </w:tc>
      </w:tr>
    </w:tbl>
    <w:bookmarkEnd w:id="180"/>
    <w:bookmarkStart w:id="185" w:name="sec-ext-ala"/>
    <w:p>
      <w:pPr>
        <w:pStyle w:val="Heading2"/>
      </w:pPr>
      <w:r>
        <w:t xml:space="preserve">25.2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Lac Alaotra gsynth ATT path (clean donor pool). Exposure onset 2008.</w:t>
            </w:r>
          </w:p>
          <w:bookmarkEnd w:id="184"/>
        </w:tc>
      </w:tr>
    </w:tbl>
    <w:bookmarkEnd w:id="185"/>
    <w:bookmarkStart w:id="193" w:name="sec-ext-fara"/>
    <w:p>
      <w:pPr>
        <w:pStyle w:val="Heading2"/>
      </w:pPr>
      <w:r>
        <w:t xml:space="preserve">25.3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25.3: Farafangana gsynth ATT path (1999–2008). Exposure onset 2006. Wide CIs reflect only 3 post-treatment years.</w:t>
            </w:r>
          </w:p>
          <w:bookmarkEnd w:id="192"/>
        </w:tc>
      </w:tr>
    </w:tbl>
    <w:bookmarkEnd w:id="193"/>
    <w:bookmarkStart w:id="198" w:name="sec-ext-tol"/>
    <w:p>
      <w:pPr>
        <w:pStyle w:val="Heading2"/>
      </w:pPr>
      <w:r>
        <w:t xml:space="preserve">25.4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25.4: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25.5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25.5: Fénérive East gsynth ATT path. Exposure onset 2007 (Réserve de Tampolo decree).</w:t>
            </w:r>
          </w:p>
          <w:bookmarkEnd w:id="202"/>
        </w:tc>
      </w:tr>
    </w:tbl>
    <w:bookmarkEnd w:id="203"/>
    <w:bookmarkEnd w:id="204"/>
    <w:bookmarkStart w:id="217" w:name="sec-synthesis"/>
    <w:p>
      <w:pPr>
        <w:pStyle w:val="Heading1"/>
      </w:pPr>
      <w:r>
        <w:t xml:space="preserve">26. Five-case synthesis</w:t>
      </w:r>
    </w:p>
    <w:bookmarkStart w:id="214" w:name="comparative-results"/>
    <w:p>
      <w:pPr>
        <w:pStyle w:val="Heading2"/>
      </w:pPr>
      <w:r>
        <w:t xml:space="preserve">26.1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26.1: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26.1: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26.2: Forest plot of average post-treatment ATTs with 95% parametric bootstrap CIs. Farafangana shown at reduced opacity.</w:t>
            </w:r>
          </w:p>
          <w:bookmarkEnd w:id="213"/>
        </w:tc>
      </w:tr>
    </w:tbl>
    <w:bookmarkEnd w:id="214"/>
    <w:bookmarkStart w:id="215" w:name="sec-patterns"/>
    <w:p>
      <w:pPr>
        <w:pStyle w:val="Heading2"/>
      </w:pPr>
      <w:r>
        <w:t xml:space="preserve">26.2 Three patterns</w:t>
      </w:r>
    </w:p>
    <w:p>
      <w:pPr>
        <w:pStyle w:val="FirstParagraph"/>
      </w:pPr>
      <w:r>
        <w:t xml:space="preserve">The five-case comparison reveals three patterns:</w:t>
      </w:r>
    </w:p>
    <w:p>
      <w:pPr>
        <w:pStyle w:val="BodyText"/>
      </w:pPr>
      <w:r>
        <w:rPr>
          <w:b/>
          <w:bCs/>
        </w:rPr>
        <w:t xml:space="preserve">Pattern 1 — Negative income effect under strict enforcement</w:t>
      </w:r>
      <w:r>
        <w:t xml:space="preserve">: Ankarafantsika (Marovoay) shows the largest and most persistent negative ATT, statistically significant and — as shown in</w:t>
      </w:r>
      <w:r>
        <w:t xml:space="preserve"> </w:t>
      </w:r>
      <w:hyperlink w:anchor="results">
        <w:r>
          <w:rPr>
            <w:rStyle w:val="Hyperlink"/>
          </w:rPr>
          <w:t xml:space="preserve">Chapter 4</w:t>
        </w:r>
      </w:hyperlink>
      <w:r>
        <w:t xml:space="preserve"> </w:t>
      </w:r>
      <w:r>
        <w:t xml:space="preserve">— deepening through the 2025 resurvey. This is consistent with direct resource exclusion from a large, actively patrolled park after its extension from an open-access forest reserve.</w:t>
      </w:r>
    </w:p>
    <w:p>
      <w:pPr>
        <w:pStyle w:val="BodyText"/>
      </w:pPr>
      <w:r>
        <w:rPr>
          <w:b/>
          <w:bCs/>
        </w:rPr>
        <w:t xml:space="preserve">Pattern 2 — Near-zero effect under participatory/multipurpose conservation</w:t>
      </w:r>
      <w:r>
        <w:t xml:space="preserve">: Lac Alaotra, Toliara North, and (tentatively) Farafangana show point estimates clustered near zero. None produces a statistically significant effect. This is consistent with the multipurpose PA framework: land-use regulation without resource exclusion does not translate into detectable aggregate income losses at the survey-year frequency.</w:t>
      </w:r>
    </w:p>
    <w:p>
      <w:pPr>
        <w:pStyle w:val="BodyText"/>
      </w:pPr>
      <w:r>
        <w:rPr>
          <w:b/>
          <w:bCs/>
        </w:rPr>
        <w:t xml:space="preserve">Pattern 3 — Low-intensity reserve, near-zero effect</w:t>
      </w:r>
      <w:r>
        <w:t xml:space="preserve">: Fénérive East shows a near-zero ATT with a moderately narrow CI, consistent with the Réserve de Tampolo’s small footprint and research-oriented management.</w:t>
      </w:r>
    </w:p>
    <w:bookmarkEnd w:id="215"/>
    <w:bookmarkStart w:id="216" w:name="caveats"/>
    <w:p>
      <w:pPr>
        <w:pStyle w:val="Heading2"/>
      </w:pPr>
      <w:r>
        <w:t xml:space="preserve">26.3 Caveats</w:t>
      </w:r>
    </w:p>
    <w:p>
      <w:pPr>
        <w:pStyle w:val="FirstParagraph"/>
      </w:pPr>
      <w:r>
        <w:t xml:space="preserve">Several limitations temper interpretation of the extended comparison:</w:t>
      </w:r>
    </w:p>
    <w:p>
      <w:pPr>
        <w:pStyle w:val="Compact"/>
        <w:numPr>
          <w:ilvl w:val="0"/>
          <w:numId w:val="1020"/>
        </w:numPr>
      </w:pPr>
      <w:r>
        <w:rPr>
          <w:b/>
          <w:bCs/>
        </w:rPr>
        <w:t xml:space="preserve">Farafangana power</w:t>
      </w:r>
      <w:r>
        <w:t xml:space="preserve">: with only 3 post-treatment years, the Farafangana estimate is unreliable and should not be compared numerically to the others.</w:t>
      </w:r>
    </w:p>
    <w:p>
      <w:pPr>
        <w:pStyle w:val="Compact"/>
        <w:numPr>
          <w:ilvl w:val="0"/>
          <w:numId w:val="1020"/>
        </w:numPr>
      </w:pPr>
      <w:r>
        <w:rPr>
          <w:b/>
          <w:bCs/>
        </w:rPr>
        <w:t xml:space="preserve">Toliara North treatment complexity</w:t>
      </w:r>
      <w:r>
        <w:t xml:space="preserve">: the three-PA cascade (January 2007 + April 2007 + December 2008) means the ATT estimates a composite treatment rather than a clean single event.</w:t>
      </w:r>
    </w:p>
    <w:p>
      <w:pPr>
        <w:pStyle w:val="Compact"/>
        <w:numPr>
          <w:ilvl w:val="0"/>
          <w:numId w:val="1020"/>
        </w:numPr>
      </w:pPr>
      <w:r>
        <w:rPr>
          <w:b/>
          <w:bCs/>
        </w:rPr>
        <w:t xml:space="preserve">Clean donor pool size</w:t>
      </w:r>
      <w:r>
        <w:t xml:space="preserve">: using only five donors (vs. nine in</w:t>
      </w:r>
      <w:r>
        <w:t xml:space="preserve"> </w:t>
      </w:r>
      <w:hyperlink w:anchor="results">
        <w:r>
          <w:rPr>
            <w:rStyle w:val="Hyperlink"/>
          </w:rPr>
          <w:t xml:space="preserve">Chapter 4</w:t>
        </w:r>
      </w:hyperlink>
      <w:r>
        <w:t xml:space="preserve">) reduces counterfactual precision. Comparisons between Chapter 4 and Chapter 5 ATT estimates for Marovoay and Alaotra may partly reflect this difference.</w:t>
      </w:r>
    </w:p>
    <w:p>
      <w:pPr>
        <w:pStyle w:val="Compact"/>
        <w:numPr>
          <w:ilvl w:val="0"/>
          <w:numId w:val="1020"/>
        </w:numPr>
      </w:pPr>
      <w:r>
        <w:rPr>
          <w:b/>
          <w:bCs/>
        </w:rPr>
        <w:t xml:space="preserve">No 2025 validation for new sites</w:t>
      </w:r>
      <w:r>
        <w:t xml:space="preserve">: identification for the three new observatories rests on decree dates and proximity without the behavioural validation available for Marovoay and Alaotra.</w:t>
      </w:r>
    </w:p>
    <w:p>
      <w:pPr>
        <w:pStyle w:val="Compact"/>
        <w:numPr>
          <w:ilvl w:val="0"/>
          <w:numId w:val="1020"/>
        </w:numPr>
      </w:pPr>
      <w:r>
        <w:rPr>
          <w:b/>
          <w:bCs/>
        </w:rPr>
        <w:t xml:space="preserve">Single-unit power floor</w:t>
      </w:r>
      <w:r>
        <w:t xml:space="preserve">: each observatory-level model has exactly one exposed unit. The permutation</w:t>
      </w:r>
      <w:r>
        <w:t xml:space="preserve"> </w:t>
      </w:r>
      <m:oMath>
        <m:r>
          <m:t>p</m:t>
        </m:r>
      </m:oMath>
      <w:r>
        <w:t xml:space="preserve">-value floor is</w:t>
      </w:r>
      <w:r>
        <w:t xml:space="preserve"> </w:t>
      </w:r>
      <m:oMath>
        <m:r>
          <m:rPr>
            <m:sty m:val="p"/>
          </m:rPr>
          <m:t>≈</m:t>
        </m:r>
        <m:r>
          <m:t>1</m:t>
        </m:r>
        <m:r>
          <m:rPr>
            <m:sty m:val="p"/>
          </m:rPr>
          <m:t>/</m:t>
        </m:r>
        <m:sSub>
          <m:e>
            <m:r>
              <m:t>N</m:t>
            </m:r>
          </m:e>
          <m:sub>
            <m:r>
              <m:rPr>
                <m:nor/>
                <m:sty m:val="p"/>
              </m:rPr>
              <m:t>donors</m:t>
            </m:r>
          </m:sub>
        </m:sSub>
      </m:oMath>
      <w:r>
        <w:t xml:space="preserve">; with ~50–60 donor sites, effects smaller than ~20% are difficult to distinguish from zero.</w:t>
      </w:r>
    </w:p>
    <w:bookmarkEnd w:id="216"/>
    <w:bookmarkEnd w:id="217"/>
    <w:bookmarkStart w:id="218" w:name="discussion"/>
    <w:p>
      <w:pPr>
        <w:pStyle w:val="Heading1"/>
      </w:pPr>
      <w:r>
        <w:t xml:space="preserve">27.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28.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rPr>
          <w:b/>
          <w:bCs/>
        </w:rPr>
        <w:t xml:space="preserve">Two models, two patterns</w:t>
      </w:r>
      <w:r>
        <w:t xml:space="preserve">: The core finding from the two primary sites is a sharp divergence:</w:t>
      </w:r>
    </w:p>
    <w:p>
      <w:pPr>
        <w:pStyle w:val="Compact"/>
        <w:numPr>
          <w:ilvl w:val="0"/>
          <w:numId w:val="1021"/>
        </w:numPr>
      </w:pPr>
      <w:r>
        <w:t xml:space="preserve">At Ankarafantsika, the extension of an open-access forest reserve into a strictly patrolled national park (IUCN II, 2002) is associated with a -0.312 log-point decline in OECD-equivalised household income (</w:t>
      </w:r>
      <m:oMath>
        <m:r>
          <m:rPr>
            <m:sty m:val="p"/>
          </m:rPr>
          <m:t>≈</m:t>
        </m:r>
      </m:oMath>
      <w:r>
        <w:t xml:space="preserve"> </w:t>
      </w:r>
      <w:r>
        <w:t xml:space="preserve">27%), statistically significant and deepening through 2025 — twenty-two years after the park extension. However, attribution to the PA per se depends on the quality of the synthetic counterfactual (see</w:t>
      </w:r>
      <w:r>
        <w:t xml:space="preserve"> </w:t>
      </w:r>
      <w:hyperlink w:anchor="sec-counterfactual">
        <w:r>
          <w:rPr>
            <w:rStyle w:val="Hyperlink"/>
          </w:rPr>
          <w:t xml:space="preserve">Chapter 30</w:t>
        </w:r>
      </w:hyperlink>
      <w:r>
        <w:t xml:space="preserve"> </w:t>
      </w:r>
      <w:r>
        <w:t xml:space="preserve">below).</w:t>
      </w:r>
    </w:p>
    <w:p>
      <w:pPr>
        <w:pStyle w:val="Compact"/>
        <w:numPr>
          <w:ilvl w:val="0"/>
          <w:numId w:val="1021"/>
        </w:numPr>
      </w:pPr>
      <w:r>
        <w:t xml:space="preserve">At Lac Alaotra, creation of a participatory protected landscape under CBNRM (IUCN V, 2008) produces an ATT of +0.014 log points, indistinguishable from zero. Communities retained access to the lake-marsh ecosystem under Durrell’s management; no aggregate income cost is detectable — though this null could equally reflect low statistical power (see</w:t>
      </w:r>
      <w:r>
        <w:t xml:space="preserve"> </w:t>
      </w:r>
      <w:hyperlink w:anchor="sec-limitations">
        <w:r>
          <w:rPr>
            <w:rStyle w:val="Hyperlink"/>
          </w:rPr>
          <w:t xml:space="preserve">Chapter 31</w:t>
        </w:r>
      </w:hyperlink>
      <w:r>
        <w:t xml:space="preserve">).</w:t>
      </w:r>
    </w:p>
    <w:p>
      <w:pPr>
        <w:pStyle w:val="FirstParagraph"/>
      </w:pPr>
      <w:r>
        <w:rPr>
          <w:b/>
          <w:bCs/>
        </w:rPr>
        <w:t xml:space="preserve">Three additional sites support the pattern</w:t>
      </w:r>
      <w:r>
        <w:t xml:space="preserve">: Extending the analysis to Farafangana (CFAV corridor, IUCN V, 2006), Toliara North (Amoron’i Onilahy + Mikea + Ranobe, mixed V/II, 2007), and Fénérive East (Réserve de Tampolo, IUCN IV, 2007) yields near-zero, statistically insignificant ATTs in all three cases. These sites face PAs that are either multipurpose, small-footprint, or both. Only strict exclusionary conservation at a large park produces a detectable income decline.</w:t>
      </w:r>
    </w:p>
    <w:p>
      <w:pPr>
        <w:pStyle w:val="BodyText"/>
      </w:pPr>
      <w:r>
        <w:rPr>
          <w:b/>
          <w:bCs/>
        </w:rPr>
        <w:t xml:space="preserve">Long-run persistence.</w:t>
      </w:r>
      <w:r>
        <w:t xml:space="preserve"> </w:t>
      </w:r>
      <w:r>
        <w:t xml:space="preserve">The 2025 resurvey at Marovoay shows the negative ATT deepening rather than recovering, with the 2025-specific gap larger than the 1999–2014 average. Five robustness checks — balanced resurvey windows, winsorisation sensitivity, resurvey-only comparison, pre-trend test, and donor composition — all support the interpretation that the strict-enforcement effect persists and compounds over two decades.</w:t>
      </w:r>
    </w:p>
    <w:bookmarkEnd w:id="219"/>
    <w:bookmarkStart w:id="223" w:name="sec-policy"/>
    <w:p>
      <w:pPr>
        <w:pStyle w:val="Heading1"/>
      </w:pPr>
      <w:r>
        <w:t xml:space="preserve">29. Policy implications</w:t>
      </w:r>
    </w:p>
    <w:bookmarkStart w:id="220" w:name="conservation-governance-matters"/>
    <w:p>
      <w:pPr>
        <w:pStyle w:val="Heading2"/>
      </w:pPr>
      <w:r>
        <w:t xml:space="preserve">29.1 Conservation governance matters</w:t>
      </w:r>
    </w:p>
    <w:p>
      <w:pPr>
        <w:pStyle w:val="FirstParagraph"/>
      </w:pPr>
      <w:r>
        <w:t xml:space="preserve">The primary policy implication is that</w:t>
      </w:r>
      <w:r>
        <w:t xml:space="preserve"> </w:t>
      </w:r>
      <w:r>
        <w:rPr>
          <w:i/>
          <w:iCs/>
        </w:rPr>
        <w:t xml:space="preserve">how</w:t>
      </w:r>
      <w:r>
        <w:t xml:space="preserve"> </w:t>
      </w:r>
      <w:r>
        <w:t xml:space="preserve">a PA is governed matters at least as much as</w:t>
      </w:r>
      <w:r>
        <w:t xml:space="preserve"> </w:t>
      </w:r>
      <w:r>
        <w:rPr>
          <w:i/>
          <w:iCs/>
        </w:rPr>
        <w:t xml:space="preserve">whether</w:t>
      </w:r>
      <w:r>
        <w:t xml:space="preserve"> </w:t>
      </w:r>
      <w:r>
        <w:t xml:space="preserve">it is created. The two variables that predict negative income effects in these data are (i) strict IUCN category (II vs. V/VI) and (ii) large PA size that constrains broad livelihood activities across an observable area. The multipurpose framework — which allows regulated use of natural resources under community co-management — does not translate into detectable aggregate income losses at the survey-year frequency.</w:t>
      </w:r>
    </w:p>
    <w:p>
      <w:pPr>
        <w:pStyle w:val="BodyText"/>
      </w:pPr>
      <w:r>
        <w:t xml:space="preserve">This finding aligns with a growing body of evidence that conservation-income trade-offs are not automatic but depend on governance design</w:t>
      </w:r>
      <w:r>
        <w:t xml:space="preserve"> </w:t>
      </w:r>
      <w:r>
        <w:t xml:space="preserve">(Ferraro et al. 2011; Sims 2010; Oldekop et al. 2016)</w:t>
      </w:r>
      <w:r>
        <w:t xml:space="preserve">. It lends support to the architecture of Madagascar’s post-2003 SAPM expansion, which emphasised community-based approaches and multipurpose categories alongside strict protection.</w:t>
      </w:r>
    </w:p>
    <w:bookmarkEnd w:id="220"/>
    <w:bookmarkStart w:id="221" w:name="compensation-and-livelihood-integration"/>
    <w:p>
      <w:pPr>
        <w:pStyle w:val="Heading2"/>
      </w:pPr>
      <w:r>
        <w:t xml:space="preserve">29.2 Compensation and livelihood integration</w:t>
      </w:r>
    </w:p>
    <w:p>
      <w:pPr>
        <w:pStyle w:val="FirstParagraph"/>
      </w:pPr>
      <w:r>
        <w:t xml:space="preserve">The Ankarafantsika result implies that communities adjacent to strict PAs bear real and persistent costs. Two decades after the park extension, the income gap has not closed — and there is no mechanism in the current PA management framework to compensate adjacent households for foregone resource access. This raises a question of distributional justice: if conservation generates national and global public goods (carbon storage, biodiversity preservation), the costs should not be borne disproportionately by the poorest rural households.</w:t>
      </w:r>
    </w:p>
    <w:p>
      <w:pPr>
        <w:pStyle w:val="BodyText"/>
      </w:pPr>
      <w:r>
        <w:t xml:space="preserve">Policy options include:</w:t>
      </w:r>
    </w:p>
    <w:p>
      <w:pPr>
        <w:pStyle w:val="Compact"/>
        <w:numPr>
          <w:ilvl w:val="0"/>
          <w:numId w:val="1022"/>
        </w:numPr>
      </w:pPr>
      <w:r>
        <w:rPr>
          <w:b/>
          <w:bCs/>
        </w:rPr>
        <w:t xml:space="preserve">Direct transfers</w:t>
      </w:r>
      <w:r>
        <w:t xml:space="preserve"> </w:t>
      </w:r>
      <w:r>
        <w:t xml:space="preserve">tied to PA proximity and enforcement intensity (analogous to Payments for Ecosystem Services).</w:t>
      </w:r>
    </w:p>
    <w:p>
      <w:pPr>
        <w:pStyle w:val="Compact"/>
        <w:numPr>
          <w:ilvl w:val="0"/>
          <w:numId w:val="1022"/>
        </w:numPr>
      </w:pPr>
      <w:r>
        <w:rPr>
          <w:b/>
          <w:bCs/>
        </w:rPr>
        <w:t xml:space="preserve">Livelihood diversification programmes</w:t>
      </w:r>
      <w:r>
        <w:t xml:space="preserve"> </w:t>
      </w:r>
      <w:r>
        <w:t xml:space="preserve">targeting communities within buffer zones of strict PAs.</w:t>
      </w:r>
    </w:p>
    <w:p>
      <w:pPr>
        <w:pStyle w:val="Compact"/>
        <w:numPr>
          <w:ilvl w:val="0"/>
          <w:numId w:val="1022"/>
        </w:numPr>
      </w:pPr>
      <w:r>
        <w:rPr>
          <w:b/>
          <w:bCs/>
        </w:rPr>
        <w:t xml:space="preserve">Governance recategorisation</w:t>
      </w:r>
      <w:r>
        <w:t xml:space="preserve">: where strict enforcement is not ecologically necessary, converting from IUCN II to IUCN V/VI could reduce livelihood costs while maintaining conservation objectives.</w:t>
      </w:r>
    </w:p>
    <w:bookmarkEnd w:id="221"/>
    <w:bookmarkStart w:id="222" w:name="limitations-of-the-policy-inference"/>
    <w:p>
      <w:pPr>
        <w:pStyle w:val="Heading2"/>
      </w:pPr>
      <w:r>
        <w:t xml:space="preserve">29.3 Limitations of the policy inference</w:t>
      </w:r>
    </w:p>
    <w:p>
      <w:pPr>
        <w:pStyle w:val="FirstParagraph"/>
      </w:pPr>
      <w:r>
        <w:t xml:space="preserve">These results cannot establish that multipurpose conservation is</w:t>
      </w:r>
      <w:r>
        <w:t xml:space="preserve"> </w:t>
      </w:r>
      <w:r>
        <w:rPr>
          <w:i/>
          <w:iCs/>
        </w:rPr>
        <w:t xml:space="preserve">effective at conservation</w:t>
      </w:r>
      <w:r>
        <w:t xml:space="preserve">. The null income effect at Lac Alaotra may reflect genuine governance success (access preserved, resource base maintained) or enforcement failure (the PA exists on paper but does not constrain behaviour). Assessing conservation outcomes requires ecological data (forest cover, species abundance, water quality) that are outside the scope of this analysis.</w:t>
      </w:r>
    </w:p>
    <w:bookmarkEnd w:id="222"/>
    <w:bookmarkEnd w:id="223"/>
    <w:bookmarkStart w:id="227" w:name="sec-counterfactual"/>
    <w:p>
      <w:pPr>
        <w:pStyle w:val="Heading1"/>
      </w:pPr>
      <w:r>
        <w:t xml:space="preserve">30.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w:t>
      </w:r>
      <w:r>
        <w:t xml:space="preserve"> </w:t>
      </w:r>
      <w:r>
        <w:rPr>
          <w:b/>
          <w:bCs/>
        </w:rPr>
        <w:t xml:space="preserve">necessary but not sufficient</w:t>
      </w:r>
      <w:r>
        <w:t xml:space="preserve">: the factor structure estimated before the PA must continue to hold after it. With only 1–2 treated units, this assumption is fundamentally untestable.</w:t>
      </w:r>
    </w:p>
    <w:bookmarkStart w:id="224" w:name="marovoay-alternative-explanations"/>
    <w:p>
      <w:pPr>
        <w:pStyle w:val="Heading2"/>
      </w:pPr>
      <w:r>
        <w:t xml:space="preserve">30.1 Marovoay: alternative explanations</w:t>
      </w:r>
    </w:p>
    <w:p>
      <w:pPr>
        <w:pStyle w:val="FirstParagraph"/>
      </w:pPr>
      <w:r>
        <w:t xml:space="preserve">The Ankarafantsika result rests on the Betsiboka River providing a clear geographic split between exposed and unexposed communities. Several concerns temper the causal interpretation:</w:t>
      </w:r>
    </w:p>
    <w:p>
      <w:pPr>
        <w:numPr>
          <w:ilvl w:val="0"/>
          <w:numId w:val="1023"/>
        </w:numPr>
      </w:pPr>
      <w:r>
        <w:rPr>
          <w:b/>
          <w:bCs/>
        </w:rPr>
        <w:t xml:space="preserve">Pre-existing east–west differences</w:t>
      </w:r>
      <w:r>
        <w:t xml:space="preserve">: The east bank was already adjacent to the Réserve Naturelle Intégrale d’Ankarafantsika (RNI, 1927) before the 2002 national park extension. The RNI imposed stricter access rules than the surrounding forest reserve, meaning east-bank communities may have faced partial resource constraints</w:t>
      </w:r>
      <w:r>
        <w:t xml:space="preserve"> </w:t>
      </w:r>
      <w:r>
        <w:rPr>
          <w:i/>
          <w:iCs/>
        </w:rPr>
        <w:t xml:space="preserve">before</w:t>
      </w:r>
      <w:r>
        <w:t xml:space="preserve"> </w:t>
      </w:r>
      <w:r>
        <w:t xml:space="preserve">the study period. Our design treats the 2002 extension as the sharp onset of strict enforcement, but enforcement may have intensified gradually.</w:t>
      </w:r>
    </w:p>
    <w:p>
      <w:pPr>
        <w:numPr>
          <w:ilvl w:val="0"/>
          <w:numId w:val="1023"/>
        </w:numPr>
      </w:pPr>
      <w:r>
        <w:rPr>
          <w:b/>
          <w:bCs/>
        </w:rPr>
        <w:t xml:space="preserve">Agro-ecological heterogeneity</w:t>
      </w:r>
      <w:r>
        <w:t xml:space="preserve">: East-bank and west-bank</w:t>
      </w:r>
      <w:r>
        <w:t xml:space="preserve"> </w:t>
      </w:r>
      <w:r>
        <w:rPr>
          <w:i/>
          <w:iCs/>
        </w:rPr>
        <w:t xml:space="preserve">fokontany</w:t>
      </w:r>
      <w:r>
        <w:t xml:space="preserve"> </w:t>
      </w:r>
      <w:r>
        <w:t xml:space="preserve">differ in soil types, irrigation access, and market connectivity. If these differences interact with post-2002 trends — for example, if a drought or cyclone differentially affected the east bank — the estimated ATT would conflate PA effects with climate or infrastructure shocks.</w:t>
      </w:r>
    </w:p>
    <w:p>
      <w:pPr>
        <w:numPr>
          <w:ilvl w:val="0"/>
          <w:numId w:val="1023"/>
        </w:numPr>
      </w:pPr>
      <w:r>
        <w:rPr>
          <w:b/>
          <w:bCs/>
        </w:rPr>
        <w:t xml:space="preserve">Migration and selection</w:t>
      </w:r>
      <w:r>
        <w:t xml:space="preserve">: If PA-induced hardship prompted selective out-migration of higher-income households from east-bank villages, the remaining surveyed population would appear poorer even absent a true income decline. The ROS sampling frame was not designed to track migrants.</w:t>
      </w:r>
    </w:p>
    <w:p>
      <w:pPr>
        <w:numPr>
          <w:ilvl w:val="0"/>
          <w:numId w:val="1023"/>
        </w:numPr>
      </w:pPr>
      <w:r>
        <w:rPr>
          <w:b/>
          <w:bCs/>
        </w:rPr>
        <w:t xml:space="preserve">Counterfactual trajectory</w:t>
      </w:r>
      <w:r>
        <w:t xml:space="preserve">: The gsynth counterfactual assumes that, absent the PA, east-bank income would have evolved like a weighted combination of donor villages. But donor villages in the Hauts Plateaux or the arid south may respond to different economic shocks than the Marovoay irrigated rice plain. The four pre-treatment years (1999–2002) provide a short window to validate this projection.</w:t>
      </w:r>
    </w:p>
    <w:bookmarkEnd w:id="224"/>
    <w:bookmarkStart w:id="225" w:name="alaotra-single-unit-identification"/>
    <w:p>
      <w:pPr>
        <w:pStyle w:val="Heading2"/>
      </w:pPr>
      <w:r>
        <w:t xml:space="preserve">30.2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30.3 Implications for interpretation</w:t>
      </w:r>
    </w:p>
    <w:p>
      <w:pPr>
        <w:pStyle w:val="FirstParagraph"/>
      </w:pPr>
      <w:r>
        <w:t xml:space="preserve">Given these concerns, we characterise the results as</w:t>
      </w:r>
      <w:r>
        <w:t xml:space="preserve"> </w:t>
      </w:r>
      <w:r>
        <w:rPr>
          <w:b/>
          <w:bCs/>
        </w:rPr>
        <w:t xml:space="preserve">strongly suggestive</w:t>
      </w:r>
      <w:r>
        <w:t xml:space="preserve"> </w:t>
      </w:r>
      <w:r>
        <w:t xml:space="preserve">rather than definitively causal:</w:t>
      </w:r>
    </w:p>
    <w:p>
      <w:pPr>
        <w:pStyle w:val="Compact"/>
        <w:numPr>
          <w:ilvl w:val="0"/>
          <w:numId w:val="1024"/>
        </w:numPr>
      </w:pPr>
      <w:r>
        <w:t xml:space="preserve">The</w:t>
      </w:r>
      <w:r>
        <w:t xml:space="preserve"> </w:t>
      </w:r>
      <w:r>
        <w:rPr>
          <w:b/>
          <w:bCs/>
        </w:rPr>
        <w:t xml:space="preserve">sign and persistence</w:t>
      </w:r>
      <w:r>
        <w:t xml:space="preserve"> </w:t>
      </w:r>
      <w:r>
        <w:t xml:space="preserve">of the Ankarafantsika effect are robust across specifications (gsynth, SDID, unadjusted income, levels), which increases confidence that something real is happening — even if the precise magnitude and causal channel remain uncertain.</w:t>
      </w:r>
    </w:p>
    <w:p>
      <w:pPr>
        <w:pStyle w:val="Compact"/>
        <w:numPr>
          <w:ilvl w:val="0"/>
          <w:numId w:val="1024"/>
        </w:numPr>
      </w:pPr>
      <w:r>
        <w:t xml:space="preserve">The</w:t>
      </w:r>
      <w:r>
        <w:t xml:space="preserve"> </w:t>
      </w:r>
      <w:r>
        <w:rPr>
          <w:b/>
          <w:bCs/>
        </w:rPr>
        <w:t xml:space="preserve">governance contrast</w:t>
      </w:r>
      <w:r>
        <w:t xml:space="preserve"> </w:t>
      </w:r>
      <w:r>
        <w:t xml:space="preserve">(strict negative vs. multipurpose null) is consistent across five independent cases, reducing the likelihood that the pattern is driven by a single confounded comparison.</w:t>
      </w:r>
    </w:p>
    <w:p>
      <w:pPr>
        <w:pStyle w:val="Compact"/>
        <w:numPr>
          <w:ilvl w:val="0"/>
          <w:numId w:val="1024"/>
        </w:numPr>
      </w:pPr>
      <w:r>
        <w:t xml:space="preserve">The</w:t>
      </w:r>
      <w:r>
        <w:t xml:space="preserve"> </w:t>
      </w:r>
      <w:r>
        <w:rPr>
          <w:b/>
          <w:bCs/>
        </w:rPr>
        <w:t xml:space="preserve">2025 resurvey</w:t>
      </w:r>
      <w:r>
        <w:t xml:space="preserve"> </w:t>
      </w:r>
      <w:r>
        <w:t xml:space="preserve">at Marovoay, with its behavioural module documenting actual PA usage patterns, provides corroborating qualitative evidence that east-bank communities are constrained by the park — but this validation is available for only one site.</w:t>
      </w:r>
    </w:p>
    <w:p>
      <w:pPr>
        <w:pStyle w:val="FirstParagraph"/>
      </w:pPr>
      <w:r>
        <w:t xml:space="preserve">These results are best understood as a first-generation estimate that motivates — and will be refined by — the household-level DiD analysis planned for the 2026 data.</w:t>
      </w:r>
    </w:p>
    <w:bookmarkEnd w:id="226"/>
    <w:bookmarkEnd w:id="227"/>
    <w:bookmarkStart w:id="228" w:name="sec-limitations"/>
    <w:p>
      <w:pPr>
        <w:pStyle w:val="Heading1"/>
      </w:pPr>
      <w:r>
        <w:t xml:space="preserve">31. Limitations</w:t>
      </w:r>
    </w:p>
    <w:p>
      <w:pPr>
        <w:pStyle w:val="FirstParagraph"/>
      </w:pPr>
      <w:r>
        <w:t xml:space="preserve">Several limitations temper causal interpretation:</w:t>
      </w:r>
    </w:p>
    <w:p>
      <w:pPr>
        <w:numPr>
          <w:ilvl w:val="0"/>
          <w:numId w:val="1025"/>
        </w:numPr>
      </w:pPr>
      <w:r>
        <w:rPr>
          <w:b/>
          <w:bCs/>
        </w:rPr>
        <w:t xml:space="preserve">Statistical power</w:t>
      </w:r>
      <w:r>
        <w:t xml:space="preserve">: Each observatory-level gsynth model has exactly one exposed unit, imposing a permutation</w:t>
      </w:r>
      <w:r>
        <w:t xml:space="preserve"> </w:t>
      </w:r>
      <m:oMath>
        <m:r>
          <m:t>p</m:t>
        </m:r>
      </m:oMath>
      <w:r>
        <w:t xml:space="preserve">-value floor of</w:t>
      </w:r>
      <w:r>
        <w:t xml:space="preserve"> </w:t>
      </w:r>
      <m:oMath>
        <m:r>
          <m:rPr>
            <m:sty m:val="p"/>
          </m:rPr>
          <m:t>≈</m:t>
        </m:r>
        <m:r>
          <m:t>1</m:t>
        </m:r>
        <m:r>
          <m:rPr>
            <m:sty m:val="p"/>
          </m:rPr>
          <m:t>/</m:t>
        </m:r>
        <m:sSub>
          <m:e>
            <m:r>
              <m:t>N</m:t>
            </m:r>
          </m:e>
          <m:sub>
            <m:r>
              <m:rPr>
                <m:nor/>
                <m:sty m:val="p"/>
              </m:rPr>
              <m:t>donors</m:t>
            </m:r>
          </m:sub>
        </m:sSub>
      </m:oMath>
      <w:r>
        <w:t xml:space="preserve">. The Alaotra null result may reflect insufficient power rather than a true zero effect. Effects smaller than ~20% are difficult to distinguish from zero.</w:t>
      </w:r>
    </w:p>
    <w:p>
      <w:pPr>
        <w:numPr>
          <w:ilvl w:val="0"/>
          <w:numId w:val="1025"/>
        </w:numPr>
      </w:pPr>
      <w:r>
        <w:rPr>
          <w:b/>
          <w:bCs/>
        </w:rPr>
        <w:t xml:space="preserve">Exposure-year uncertainty</w:t>
      </w:r>
      <w:r>
        <w:t xml:space="preserve">: PA creation in Madagascar involves multiple administrative steps (decree, gazette, enforcement). We assign exposure to the first full survey year after the decree, but actual enforcement ramp-up may lag by 1–3 years. This attenuates estimated effects in the early post-exposure period.</w:t>
      </w:r>
    </w:p>
    <w:p>
      <w:pPr>
        <w:numPr>
          <w:ilvl w:val="0"/>
          <w:numId w:val="1025"/>
        </w:numPr>
      </w:pPr>
      <w:r>
        <w:rPr>
          <w:b/>
          <w:bCs/>
        </w:rPr>
        <w:t xml:space="preserve">Observatory-level aggregation</w:t>
      </w:r>
      <w:r>
        <w:t xml:space="preserve">: The gsynth framework requires site-level panel data, collapsing ~130–260 households per survey year into a single site-year mean. Within-site variation in PA exposure, livelihood strategies, and income composition is entirely absorbed. This aggregation discards statistical power and precludes household-level covariate adjustment.</w:t>
      </w:r>
    </w:p>
    <w:p>
      <w:pPr>
        <w:numPr>
          <w:ilvl w:val="0"/>
          <w:numId w:val="1025"/>
        </w:numPr>
      </w:pPr>
      <w:r>
        <w:rPr>
          <w:b/>
          <w:bCs/>
        </w:rPr>
        <w:t xml:space="preserve">Spillover and general-equilibrium effects</w:t>
      </w:r>
      <w:r>
        <w:t xml:space="preserve">: The stable unit treatment value assumption (SUTVA) may be violated if PA creation affects commodity prices, labour markets, or migration patterns at a scale beyond the exposed fokontany. The Marovoay west-bank control</w:t>
      </w:r>
      <w:r>
        <w:t xml:space="preserve"> </w:t>
      </w:r>
      <w:r>
        <w:rPr>
          <w:i/>
          <w:iCs/>
        </w:rPr>
        <w:t xml:space="preserve">fokontany</w:t>
      </w:r>
      <w:r>
        <w:t xml:space="preserve"> </w:t>
      </w:r>
      <w:r>
        <w:t xml:space="preserve">may benefit from spillover if displaced east-bank labour or capital migrates westward.</w:t>
      </w:r>
    </w:p>
    <w:p>
      <w:pPr>
        <w:numPr>
          <w:ilvl w:val="0"/>
          <w:numId w:val="1025"/>
        </w:numPr>
      </w:pPr>
      <w:r>
        <w:rPr>
          <w:b/>
          <w:bCs/>
        </w:rPr>
        <w:t xml:space="preserve">Single outcome</w:t>
      </w:r>
      <w:r>
        <w:t xml:space="preserve">: We estimate effects on total income only. Conservation may shift income composition (e.g., from forest extraction to wage labour) without changing the total. Decomposing the ATT by income source would require component-level gsynth models with further power constraints.</w:t>
      </w:r>
    </w:p>
    <w:p>
      <w:pPr>
        <w:numPr>
          <w:ilvl w:val="0"/>
          <w:numId w:val="1025"/>
        </w:numPr>
      </w:pPr>
      <w:r>
        <w:rPr>
          <w:b/>
          <w:bCs/>
        </w:rPr>
        <w:t xml:space="preserve">Income measurement</w:t>
      </w:r>
      <w:r>
        <w:t xml:space="preserve">: Survey-based income in subsistence economies is measured with substantial error. The Rural Observatories use a comprehensive 100+ item module, but recall bias and seasonal variation are unavoidable. The OECD equivalence scale adjusts for household composition but assumes adult-equivalent consumption relationships that may not hold in rural Madagascar.</w:t>
      </w:r>
    </w:p>
    <w:p>
      <w:pPr>
        <w:numPr>
          <w:ilvl w:val="0"/>
          <w:numId w:val="1025"/>
        </w:numPr>
      </w:pPr>
      <w:r>
        <w:rPr>
          <w:b/>
          <w:bCs/>
        </w:rPr>
        <w:t xml:space="preserve">Donor pool heterogeneity</w:t>
      </w:r>
      <w:r>
        <w:t xml:space="preserve">: The five clean donor observatories span widely different agro-ecological zones (highland plateau, semi-arid south, humid east coast). Whether a weighted combination of such diverse economies can approximate the counterfactual trajectory of a specific irrigated-rice (Marovoay) or lake-fishery (Alaotra) economy is an open question. The gsynth cross-validation procedure selects factor loadings that minimise pre-treatment prediction error, but four pre-treatment years (Marovoay) or nine (Alaotra) may be too few to distinguish genuine common factors from spurious correlations.</w:t>
      </w:r>
    </w:p>
    <w:p>
      <w:pPr>
        <w:numPr>
          <w:ilvl w:val="0"/>
          <w:numId w:val="1025"/>
        </w:numPr>
      </w:pPr>
      <w:r>
        <w:rPr>
          <w:b/>
          <w:bCs/>
        </w:rPr>
        <w:t xml:space="preserve">No ecological outcome</w:t>
      </w:r>
      <w:r>
        <w:t xml:space="preserve">: This study measures income effects only. A PA that causes short-term income decline but prevents long-run ecological collapse (e.g., deforestation-driven soil erosion) may be welfare-improving over a longer horizon. Without coupling income estimates to ecological outcomes, the net welfare implications remain incomplete.</w:t>
      </w:r>
    </w:p>
    <w:bookmarkEnd w:id="228"/>
    <w:bookmarkStart w:id="232" w:name="sec-next-steps"/>
    <w:p>
      <w:pPr>
        <w:pStyle w:val="Heading1"/>
      </w:pPr>
      <w:r>
        <w:t xml:space="preserve">32.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32.1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32.1: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32.2 Planned analyses</w:t>
      </w:r>
    </w:p>
    <w:p>
      <w:pPr>
        <w:pStyle w:val="FirstParagraph"/>
      </w:pPr>
      <w:r>
        <w:t xml:space="preserve">When the 2026 survey round becomes available, we plan:</w:t>
      </w:r>
    </w:p>
    <w:p>
      <w:pPr>
        <w:pStyle w:val="Compact"/>
        <w:numPr>
          <w:ilvl w:val="0"/>
          <w:numId w:val="1026"/>
        </w:numPr>
      </w:pPr>
      <w:r>
        <w:rPr>
          <w:b/>
          <w:bCs/>
        </w:rPr>
        <w:t xml:space="preserve">Primary specification</w:t>
      </w:r>
      <w:r>
        <w:t xml:space="preserve">: Callaway &amp; Sant’Anna</w:t>
      </w:r>
      <w:r>
        <w:t xml:space="preserve"> </w:t>
      </w:r>
      <w:r>
        <w:t xml:space="preserve">(2021)</w:t>
      </w:r>
      <w:r>
        <w:t xml:space="preserve"> </w:t>
      </w:r>
      <w:r>
        <w:t xml:space="preserve">staggered DiD at the household level, with doubly-robust estimation, household-level covariates, and clustering at the site level.</w:t>
      </w:r>
    </w:p>
    <w:p>
      <w:pPr>
        <w:pStyle w:val="Compact"/>
        <w:numPr>
          <w:ilvl w:val="0"/>
          <w:numId w:val="1026"/>
        </w:numPr>
      </w:pPr>
      <w:r>
        <w:rPr>
          <w:b/>
          <w:bCs/>
        </w:rPr>
        <w:t xml:space="preserve">Complementary</w:t>
      </w:r>
      <w:r>
        <w:t xml:space="preserve">: Sun &amp; 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providing transparent event-study syntax.</w:t>
      </w:r>
    </w:p>
    <w:p>
      <w:pPr>
        <w:pStyle w:val="Compact"/>
        <w:numPr>
          <w:ilvl w:val="0"/>
          <w:numId w:val="1026"/>
        </w:numPr>
      </w:pPr>
      <w:r>
        <w:rPr>
          <w:b/>
          <w:bCs/>
        </w:rPr>
        <w:t xml:space="preserve">Robustness</w:t>
      </w:r>
      <w:r>
        <w:t xml:space="preserve">: the gsynth estimates from Chapters 4–5 serve as a check that relaxes parallel trends to an interactive fixed-effects model. If gsynth and DiD agree, the evidence is strong regardless of which identifying assumption is correct.</w:t>
      </w:r>
    </w:p>
    <w:p>
      <w:pPr>
        <w:pStyle w:val="Compact"/>
        <w:numPr>
          <w:ilvl w:val="0"/>
          <w:numId w:val="1026"/>
        </w:numPr>
      </w:pPr>
      <w:r>
        <w:rPr>
          <w:b/>
          <w:bCs/>
        </w:rPr>
        <w:t xml:space="preserve">Fénérive distance design</w:t>
      </w:r>
      <w:r>
        <w:t xml:space="preserve">: if the 2026 resurvey covers Fénérive East, the small footprint of Réserve de Tampolo (~7.3 km²) enables a</w:t>
      </w:r>
      <w:r>
        <w:t xml:space="preserve"> </w:t>
      </w:r>
      <w:r>
        <w:rPr>
          <w:b/>
          <w:bCs/>
        </w:rPr>
        <w:t xml:space="preserve">within-observatory distance design</w:t>
      </w:r>
      <w:r>
        <w:t xml:space="preserve"> </w:t>
      </w:r>
      <w:r>
        <w:t xml:space="preserve">— near-PA vs. far-PA sites — adding a third independent geographic context alongside Marovoay and Alaotra.</w:t>
      </w:r>
    </w:p>
    <w:p>
      <w:pPr>
        <w:pStyle w:val="FirstParagraph"/>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34" w:name="appendix-a-data-pipeline"/>
    <w:p>
      <w:pPr>
        <w:pStyle w:val="Heading1"/>
      </w:pPr>
      <w:r>
        <w:t xml:space="preserve">33. Appendix A: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34"/>
    <w:bookmarkStart w:id="244" w:name="sec-a-georef"/>
    <w:p>
      <w:pPr>
        <w:pStyle w:val="Heading1"/>
      </w:pPr>
      <w:r>
        <w:t xml:space="preserve">34. Georeferencing ROS localities</w:t>
      </w:r>
    </w:p>
    <w:bookmarkStart w:id="235" w:name="the-problem"/>
    <w:p>
      <w:pPr>
        <w:pStyle w:val="Heading2"/>
      </w:pPr>
      <w:r>
        <w:t xml:space="preserve">34.1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35"/>
    <w:bookmarkStart w:id="236" w:name="reference-datasets"/>
    <w:p>
      <w:pPr>
        <w:pStyle w:val="Heading2"/>
      </w:pPr>
      <w:r>
        <w:t xml:space="preserve">34.2 Reference datasets</w:t>
      </w:r>
    </w:p>
    <w:p>
      <w:pPr>
        <w:pStyle w:val="FirstParagraph"/>
      </w:pPr>
      <w:r>
        <w:t xml:space="preserve">Two spatial reference datasets anchor the georeferencing:</w:t>
      </w:r>
    </w:p>
    <w:p>
      <w:pPr>
        <w:pStyle w:val="Compact"/>
        <w:numPr>
          <w:ilvl w:val="0"/>
          <w:numId w:val="1027"/>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27"/>
        </w:numPr>
      </w:pPr>
      <w:r>
        <w:rPr>
          <w:b/>
          <w:bCs/>
        </w:rPr>
        <w:t xml:space="preserve">Madagascar Populated Places</w:t>
      </w:r>
      <w:r>
        <w:t xml:space="preserve"> </w:t>
      </w:r>
      <w:r>
        <w:t xml:space="preserve">(COD-PS): 28,184 populated places with toponyms and P-codes (source: NGA/GIST, distributed by UN OCHA ROSA).</w:t>
      </w:r>
    </w:p>
    <w:bookmarkEnd w:id="236"/>
    <w:bookmarkStart w:id="237" w:name="string-cleaning"/>
    <w:p>
      <w:pPr>
        <w:pStyle w:val="Heading2"/>
      </w:pPr>
      <w:r>
        <w:t xml:space="preserve">34.3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37"/>
    <w:bookmarkStart w:id="242" w:name="hierarchical-fuzzy-matching"/>
    <w:p>
      <w:pPr>
        <w:pStyle w:val="Heading2"/>
      </w:pPr>
      <w:r>
        <w:t xml:space="preserve">34.4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28"/>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28"/>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28"/>
        </w:numPr>
      </w:pPr>
      <w:r>
        <w:rPr>
          <w:b/>
          <w:bCs/>
        </w:rPr>
        <w:t xml:space="preserve">Method 3</w:t>
      </w:r>
      <w:r>
        <w:t xml:space="preserve"> </w:t>
      </w:r>
      <w:r>
        <w:t xml:space="preserve">— Fuzzy-match the full village name against COD populated places (threshold tightened to 0.22).</w:t>
      </w:r>
    </w:p>
    <w:p>
      <w:pPr>
        <w:pStyle w:val="Compact"/>
        <w:numPr>
          <w:ilvl w:val="0"/>
          <w:numId w:val="1028"/>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41" w:name="fig-map-georef"/>
          <w:p>
            <w:pPr>
              <w:pStyle w:val="Compact"/>
              <w:jc w:val="center"/>
            </w:pPr>
            <w:r>
              <w:drawing>
                <wp:inline>
                  <wp:extent cx="5334000" cy="6667500"/>
                  <wp:effectExtent b="0" l="0" r="0" t="0"/>
                  <wp:docPr descr="" title="" id="239" name="Picture"/>
                  <a:graphic>
                    <a:graphicData uri="http://schemas.openxmlformats.org/drawingml/2006/picture">
                      <pic:pic>
                        <pic:nvPicPr>
                          <pic:cNvPr descr="A1_data_pipeline_files/figure-docx/fig-map-georef-1.png" id="240" name="Picture"/>
                          <pic:cNvPicPr>
                            <a:picLocks noChangeArrowheads="1" noChangeAspect="1"/>
                          </pic:cNvPicPr>
                        </pic:nvPicPr>
                        <pic:blipFill>
                          <a:blip r:embed="rId23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34.1: All matched ROS communes and fokontany across Madagascar.</w:t>
            </w:r>
          </w:p>
          <w:bookmarkEnd w:id="241"/>
        </w:tc>
      </w:tr>
    </w:tbl>
    <w:bookmarkEnd w:id="242"/>
    <w:bookmarkStart w:id="243" w:name="match-rates"/>
    <w:p>
      <w:pPr>
        <w:pStyle w:val="Heading2"/>
      </w:pPr>
      <w:r>
        <w:t xml:space="preserve">34.5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43"/>
    <w:bookmarkEnd w:id="244"/>
    <w:bookmarkStart w:id="263" w:name="sec-a-overlaps"/>
    <w:p>
      <w:pPr>
        <w:pStyle w:val="Heading1"/>
      </w:pPr>
      <w:r>
        <w:t xml:space="preserve">35. Protected-area overlap analysis</w:t>
      </w:r>
    </w:p>
    <w:bookmarkStart w:id="249" w:name="spatial-overlaps"/>
    <w:p>
      <w:pPr>
        <w:pStyle w:val="Heading2"/>
      </w:pPr>
      <w:r>
        <w:t xml:space="preserve">35.1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48" w:name="fig-map-overlaps"/>
          <w:p>
            <w:pPr>
              <w:pStyle w:val="Compact"/>
              <w:jc w:val="center"/>
            </w:pPr>
            <w:r>
              <w:drawing>
                <wp:inline>
                  <wp:extent cx="5334000" cy="6667500"/>
                  <wp:effectExtent b="0" l="0" r="0" t="0"/>
                  <wp:docPr descr="" title="" id="246" name="Picture"/>
                  <a:graphic>
                    <a:graphicData uri="http://schemas.openxmlformats.org/drawingml/2006/picture">
                      <pic:pic>
                        <pic:nvPicPr>
                          <pic:cNvPr descr="A1_data_pipeline_files/figure-docx/fig-map-overlaps-1.png" id="247" name="Picture"/>
                          <pic:cNvPicPr>
                            <a:picLocks noChangeArrowheads="1" noChangeAspect="1"/>
                          </pic:cNvPicPr>
                        </pic:nvPicPr>
                        <pic:blipFill>
                          <a:blip r:embed="rId245"/>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35.1: ROS survey communes (coloured by observatory) overlaid with PA boundaries (dark green).</w:t>
            </w:r>
          </w:p>
          <w:bookmarkEnd w:id="248"/>
        </w:tc>
      </w:tr>
    </w:tbl>
    <w:bookmarkEnd w:id="249"/>
    <w:bookmarkStart w:id="251" w:name="ros-survey-inventory"/>
    <w:p>
      <w:pPr>
        <w:pStyle w:val="Heading2"/>
      </w:pPr>
      <w:r>
        <w:t xml:space="preserve">35.2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50" w:name="tbl-survey-inventory"/>
          <w:p>
            <w:pPr>
              <w:jc w:val="center"/>
            </w:pPr>
            <w:pPr>
              <w:jc w:val="left"/>
              <w:spacing w:before="200"/>
              <w:pStyle w:val="ImageCaption"/>
            </w:pPr>
            <w:r>
              <w:t xml:space="preserve">Table 35.1: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50"/>
        </w:tc>
      </w:tr>
    </w:tbl>
    <w:bookmarkEnd w:id="251"/>
    <w:bookmarkStart w:id="252" w:name="temporal-overlap-logic"/>
    <w:p>
      <w:pPr>
        <w:pStyle w:val="Heading2"/>
      </w:pPr>
      <w:r>
        <w:t xml:space="preserve">35.3 Temporal overlap logic</w:t>
      </w:r>
    </w:p>
    <w:p>
      <w:pPr>
        <w:pStyle w:val="FirstParagraph"/>
      </w:pPr>
      <w:r>
        <w:t xml:space="preserve">Three scenarios determine usability for impact evaluation:</w:t>
      </w:r>
    </w:p>
    <w:p>
      <w:pPr>
        <w:pStyle w:val="Compact"/>
        <w:numPr>
          <w:ilvl w:val="0"/>
          <w:numId w:val="1029"/>
        </w:numPr>
      </w:pPr>
      <w:r>
        <w:rPr>
          <w:b/>
          <w:bCs/>
        </w:rPr>
        <w:t xml:space="preserve">PA predates ROS entirely</w:t>
      </w:r>
      <w:r>
        <w:t xml:space="preserve"> </w:t>
      </w:r>
      <w:r>
        <w:t xml:space="preserve">→ no pre-treatment baseline → unusable (e.g. Ranomafana, created 1991).</w:t>
      </w:r>
    </w:p>
    <w:p>
      <w:pPr>
        <w:pStyle w:val="Compact"/>
        <w:numPr>
          <w:ilvl w:val="0"/>
          <w:numId w:val="1029"/>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9"/>
        </w:numPr>
      </w:pPr>
      <w:r>
        <w:rPr>
          <w:b/>
          <w:bCs/>
        </w:rPr>
        <w:t xml:space="preserve">PA created after ROS ended</w:t>
      </w:r>
      <w:r>
        <w:t xml:space="preserve"> </w:t>
      </w:r>
      <w:r>
        <w:t xml:space="preserve">→ baseline only; resurvey needed for evaluation.</w:t>
      </w:r>
    </w:p>
    <w:bookmarkEnd w:id="252"/>
    <w:bookmarkStart w:id="259" w:name="decree-date-revision"/>
    <w:p>
      <w:pPr>
        <w:pStyle w:val="Heading2"/>
      </w:pPr>
      <w:r>
        <w:t xml:space="preserve">35.4 Decree date revision</w:t>
      </w:r>
    </w:p>
    <w:p>
      <w:pPr>
        <w:pStyle w:val="FirstParagraph"/>
      </w:pPr>
      <w:r>
        <w:t xml:space="preserve">Official creation years were cross-checked against the Madagascar legal database (</w:t>
      </w:r>
      <w:hyperlink r:id="rId253">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54" w:name="tbl-decree-dates"/>
          <w:p>
            <w:pPr>
              <w:jc w:val="center"/>
            </w:pPr>
            <w:pPr>
              <w:jc w:val="left"/>
              <w:spacing w:before="200"/>
              <w:pStyle w:val="ImageCaption"/>
            </w:pPr>
            <w:r>
              <w:t xml:space="preserve">Table 35.2: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54"/>
          <w:p/>
        </w:tc>
      </w:tr>
    </w:tbl>
    <w:tbl>
      <w:tblPr>
        <w:tblStyle w:val="Table"/>
        <w:tblW w:type="pct" w:w="5000"/>
        <w:tblLayout w:type="fixed"/>
        <w:tblLook w:firstRow="0" w:lastRow="0" w:firstColumn="0" w:lastColumn="0" w:noHBand="0" w:noVBand="0" w:val="0000"/>
      </w:tblPr>
      <w:tblGrid>
        <w:gridCol w:w="7920"/>
      </w:tblGrid>
      <w:tr>
        <w:tc>
          <w:tcPr/>
          <w:bookmarkStart w:id="258" w:name="fig-timeline"/>
          <w:p>
            <w:pPr>
              <w:pStyle w:val="Compact"/>
              <w:jc w:val="center"/>
            </w:pPr>
            <w:r>
              <w:drawing>
                <wp:inline>
                  <wp:extent cx="5334000" cy="3733800"/>
                  <wp:effectExtent b="0" l="0" r="0" t="0"/>
                  <wp:docPr descr="" title="" id="256" name="Picture"/>
                  <a:graphic>
                    <a:graphicData uri="http://schemas.openxmlformats.org/drawingml/2006/picture">
                      <pic:pic>
                        <pic:nvPicPr>
                          <pic:cNvPr descr="A1_data_pipeline_files/figure-docx/fig-timeline-1.png" id="257" name="Picture"/>
                          <pic:cNvPicPr>
                            <a:picLocks noChangeArrowheads="1" noChangeAspect="1"/>
                          </pic:cNvPicPr>
                        </pic:nvPicPr>
                        <pic:blipFill>
                          <a:blip r:embed="rId255"/>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35.2: Timeline of ROS survey years (blue dots) vs. revised PA creation years (red triangles) for priority observatory–PA pairs.</w:t>
            </w:r>
          </w:p>
          <w:bookmarkEnd w:id="258"/>
        </w:tc>
      </w:tr>
    </w:tbl>
    <w:bookmarkEnd w:id="259"/>
    <w:bookmarkStart w:id="262" w:name="priority-pairs"/>
    <w:p>
      <w:pPr>
        <w:pStyle w:val="Heading2"/>
      </w:pPr>
      <w:r>
        <w:t xml:space="preserve">35.5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C:\Program Files\Quarto\share\formats\docx\note.png" id="2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62"/>
    <w:bookmarkEnd w:id="263"/>
    <w:bookmarkStart w:id="272" w:name="sec-a-variables"/>
    <w:p>
      <w:pPr>
        <w:pStyle w:val="Heading1"/>
      </w:pPr>
      <w:r>
        <w:t xml:space="preserve">36. Variable construction</w:t>
      </w:r>
    </w:p>
    <w:bookmarkStart w:id="264" w:name="georeferencing-households"/>
    <w:p>
      <w:pPr>
        <w:pStyle w:val="Heading2"/>
      </w:pPr>
      <w:r>
        <w:t xml:space="preserve">36.1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Chapter 34</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64"/>
    <w:bookmarkStart w:id="265" w:name="household-composition"/>
    <w:p>
      <w:pPr>
        <w:pStyle w:val="Heading2"/>
      </w:pPr>
      <w:r>
        <w:t xml:space="preserve">36.2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65"/>
    <w:bookmarkStart w:id="266" w:name="education"/>
    <w:p>
      <w:pPr>
        <w:pStyle w:val="Heading2"/>
      </w:pPr>
      <w:r>
        <w:t xml:space="preserve">36.3 Education</w:t>
      </w:r>
    </w:p>
    <w:p>
      <w:pPr>
        <w:pStyle w:val="FirstParagraph"/>
      </w:pPr>
      <w:r>
        <w:t xml:space="preserve">Education variables present several data gaps:</w:t>
      </w:r>
    </w:p>
    <w:p>
      <w:pPr>
        <w:pStyle w:val="Compact"/>
        <w:numPr>
          <w:ilvl w:val="0"/>
          <w:numId w:val="1030"/>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30"/>
        </w:numPr>
      </w:pPr>
      <w:r>
        <w:t xml:space="preserve">Primary school attendance (</w:t>
      </w:r>
      <w:r>
        <w:rPr>
          <w:rStyle w:val="VerbatimChar"/>
        </w:rPr>
        <w:t xml:space="preserve">s2</w:t>
      </w:r>
      <w:r>
        <w:t xml:space="preserve">): missing in 1996.</w:t>
      </w:r>
    </w:p>
    <w:p>
      <w:pPr>
        <w:pStyle w:val="Compact"/>
        <w:numPr>
          <w:ilvl w:val="0"/>
          <w:numId w:val="1030"/>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66"/>
    <w:bookmarkStart w:id="267" w:name="agricultural-activities"/>
    <w:p>
      <w:pPr>
        <w:pStyle w:val="Heading2"/>
      </w:pPr>
      <w:r>
        <w:t xml:space="preserve">36.4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31"/>
        </w:numPr>
      </w:pPr>
      <w:r>
        <w:rPr>
          <w:b/>
          <w:bCs/>
        </w:rPr>
        <w:t xml:space="preserve">Stricto sensu</w:t>
      </w:r>
      <w:r>
        <w:t xml:space="preserve"> </w:t>
      </w:r>
      <w:r>
        <w:t xml:space="preserve">(codes 95, 96): farming or livestock only.</w:t>
      </w:r>
    </w:p>
    <w:p>
      <w:pPr>
        <w:pStyle w:val="Compact"/>
        <w:numPr>
          <w:ilvl w:val="0"/>
          <w:numId w:val="1031"/>
        </w:numPr>
      </w:pPr>
      <w:r>
        <w:rPr>
          <w:b/>
          <w:bCs/>
        </w:rPr>
        <w:t xml:space="preserve">Lato sensu</w:t>
      </w:r>
      <w:r>
        <w:t xml:space="preserve"> </w:t>
      </w:r>
      <w:r>
        <w:t xml:space="preserve">(19 codes): farming, livestock, fishing, gathering, apiculture, agriculture-related crafts.</w:t>
      </w:r>
    </w:p>
    <w:bookmarkEnd w:id="267"/>
    <w:bookmarkStart w:id="268" w:name="food-security"/>
    <w:p>
      <w:pPr>
        <w:pStyle w:val="Heading2"/>
      </w:pPr>
      <w:r>
        <w:t xml:space="preserve">36.5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32"/>
        </w:numPr>
      </w:pPr>
      <w:r>
        <w:t xml:space="preserve">1995: single question (</w:t>
      </w:r>
      <w:r>
        <w:rPr>
          <w:rStyle w:val="VerbatimChar"/>
        </w:rPr>
        <w:t xml:space="preserve">sa3a</w:t>
      </w:r>
      <w:r>
        <w:t xml:space="preserve">).</w:t>
      </w:r>
    </w:p>
    <w:p>
      <w:pPr>
        <w:pStyle w:val="Compact"/>
        <w:numPr>
          <w:ilvl w:val="0"/>
          <w:numId w:val="1032"/>
        </w:numPr>
      </w:pPr>
      <w:r>
        <w:t xml:space="preserve">1996–1997: single question (</w:t>
      </w:r>
      <w:r>
        <w:rPr>
          <w:rStyle w:val="VerbatimChar"/>
        </w:rPr>
        <w:t xml:space="preserve">sa2</w:t>
      </w:r>
      <w:r>
        <w:t xml:space="preserve">).</w:t>
      </w:r>
    </w:p>
    <w:p>
      <w:pPr>
        <w:pStyle w:val="Compact"/>
        <w:numPr>
          <w:ilvl w:val="0"/>
          <w:numId w:val="1032"/>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268"/>
    <w:bookmarkStart w:id="270" w:name="income-construction"/>
    <w:p>
      <w:pPr>
        <w:pStyle w:val="Heading2"/>
      </w:pPr>
      <w:r>
        <w:t xml:space="preserve">36.6 Income construction</w:t>
      </w:r>
    </w:p>
    <w:p>
      <w:pPr>
        <w:pStyle w:val="FirstParagraph"/>
      </w:pPr>
      <w:r>
        <w:t xml:space="preserve">Income is reconstructed via dedicated functions for each component:</w:t>
      </w:r>
    </w:p>
    <w:p>
      <w:pPr>
        <w:pStyle w:val="Compact"/>
        <w:numPr>
          <w:ilvl w:val="0"/>
          <w:numId w:val="1033"/>
        </w:numPr>
      </w:pPr>
      <w:r>
        <w:rPr>
          <w:b/>
          <w:bCs/>
        </w:rPr>
        <w:t xml:space="preserve">Current income</w:t>
      </w:r>
      <w:r>
        <w:t xml:space="preserve"> </w:t>
      </w:r>
      <w:r>
        <w:t xml:space="preserve">= main activity + secondary activity + net rice + other crops + livestock + fishing.</w:t>
      </w:r>
    </w:p>
    <w:p>
      <w:pPr>
        <w:pStyle w:val="Compact"/>
        <w:numPr>
          <w:ilvl w:val="0"/>
          <w:numId w:val="1033"/>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33"/>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269" w:name="tbl-income-components"/>
          <w:p>
            <w:pPr>
              <w:jc w:val="center"/>
            </w:pPr>
            <w:pPr>
              <w:jc w:val="left"/>
              <w:spacing w:before="200"/>
              <w:pStyle w:val="ImageCaption"/>
            </w:pPr>
            <w:r>
              <w:t xml:space="preserve">Table 36.1: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269"/>
        </w:tc>
      </w:tr>
    </w:tbl>
    <w:bookmarkEnd w:id="270"/>
    <w:bookmarkStart w:id="271" w:name="consolidation"/>
    <w:p>
      <w:pPr>
        <w:pStyle w:val="Heading2"/>
      </w:pPr>
      <w:r>
        <w:t xml:space="preserve">36.7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271"/>
    <w:bookmarkEnd w:id="272"/>
    <w:bookmarkStart w:id="273" w:name="appendix-b-donor-pool-validity"/>
    <w:p>
      <w:pPr>
        <w:pStyle w:val="Heading1"/>
      </w:pPr>
      <w:r>
        <w:t xml:space="preserve">37. Appendix B: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273"/>
    <w:bookmarkStart w:id="274" w:name="sec-b-static"/>
    <w:p>
      <w:pPr>
        <w:pStyle w:val="Heading1"/>
      </w:pPr>
      <w:r>
        <w:t xml:space="preserve">38.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34"/>
        </w:numPr>
      </w:pPr>
      <w:r>
        <w:rPr>
          <w:b/>
          <w:bCs/>
        </w:rPr>
        <w:t xml:space="preserve">Boundary changes</w:t>
      </w:r>
      <w:r>
        <w:t xml:space="preserve">: many Malagasy PAs were significantly extended or reorganised between 1999 and 2015.</w:t>
      </w:r>
    </w:p>
    <w:p>
      <w:pPr>
        <w:pStyle w:val="Compact"/>
        <w:numPr>
          <w:ilvl w:val="0"/>
          <w:numId w:val="1034"/>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34"/>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274"/>
    <w:bookmarkStart w:id="279" w:name="sec-b-wdpa"/>
    <w:p>
      <w:pPr>
        <w:pStyle w:val="Heading1"/>
      </w:pPr>
      <w:r>
        <w:t xml:space="preserve">39.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278" w:name="fig-wdpa-timeline"/>
          <w:p>
            <w:pPr>
              <w:pStyle w:val="Compact"/>
              <w:jc w:val="center"/>
            </w:pPr>
            <w:r>
              <w:drawing>
                <wp:inline>
                  <wp:extent cx="5334000" cy="3394363"/>
                  <wp:effectExtent b="0" l="0" r="0" t="0"/>
                  <wp:docPr descr="" title="" id="276" name="Picture"/>
                  <a:graphic>
                    <a:graphicData uri="http://schemas.openxmlformats.org/drawingml/2006/picture">
                      <pic:pic>
                        <pic:nvPicPr>
                          <pic:cNvPr descr="A2_donor_validity_files/figure-docx/fig-wdpa-timeline-1.png" id="277" name="Picture"/>
                          <pic:cNvPicPr>
                            <a:picLocks noChangeArrowheads="1" noChangeAspect="1"/>
                          </pic:cNvPicPr>
                        </pic:nvPicPr>
                        <pic:blipFill>
                          <a:blip r:embed="rId27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39.1: Timeline of PA activation dates by observatory. Study period (1999–2014) shaded.</w:t>
            </w:r>
          </w:p>
          <w:bookmarkEnd w:id="278"/>
        </w:tc>
      </w:tr>
    </w:tbl>
    <w:bookmarkEnd w:id="279"/>
    <w:bookmarkStart w:id="282" w:name="sec-b-proximity"/>
    <w:p>
      <w:pPr>
        <w:pStyle w:val="Heading1"/>
      </w:pPr>
      <w:r>
        <w:t xml:space="preserve">40. Proximity analysis</w:t>
      </w:r>
    </w:p>
    <w:bookmarkStart w:id="281" w:name="method"/>
    <w:p>
      <w:pPr>
        <w:pStyle w:val="Heading2"/>
      </w:pPr>
      <w:r>
        <w:t xml:space="preserve">40.1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35"/>
        </w:numPr>
      </w:pPr>
      <w:r>
        <w:rPr>
          <w:b/>
          <w:bCs/>
        </w:rPr>
        <w:t xml:space="preserve">Pre-existing</w:t>
      </w:r>
      <w:r>
        <w:t xml:space="preserve">: PA active before 1999 with unchanged boundaries throughout.</w:t>
      </w:r>
    </w:p>
    <w:p>
      <w:pPr>
        <w:pStyle w:val="Compact"/>
        <w:numPr>
          <w:ilvl w:val="0"/>
          <w:numId w:val="1035"/>
        </w:numPr>
      </w:pPr>
      <w:r>
        <w:rPr>
          <w:b/>
          <w:bCs/>
        </w:rPr>
        <w:t xml:space="preserve">New during study</w:t>
      </w:r>
      <w:r>
        <w:t xml:space="preserve">: PA became operative between 1999 and 2014.</w:t>
      </w:r>
    </w:p>
    <w:p>
      <w:pPr>
        <w:pStyle w:val="Compact"/>
        <w:numPr>
          <w:ilvl w:val="0"/>
          <w:numId w:val="1035"/>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280" w:name="tbl-proximity"/>
          <w:p>
            <w:pPr>
              <w:jc w:val="center"/>
            </w:pPr>
            <w:pPr>
              <w:jc w:val="left"/>
              <w:spacing w:before="200"/>
              <w:pStyle w:val="ImageCaption"/>
            </w:pPr>
            <w:r>
              <w:t xml:space="preserve">Table 40.1: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280"/>
        </w:tc>
      </w:tr>
    </w:tbl>
    <w:bookmarkEnd w:id="281"/>
    <w:bookmarkEnd w:id="282"/>
    <w:bookmarkStart w:id="294" w:name="sec-b-results"/>
    <w:p>
      <w:pPr>
        <w:pStyle w:val="Heading1"/>
      </w:pPr>
      <w:r>
        <w:t xml:space="preserve">41. Results</w:t>
      </w:r>
    </w:p>
    <w:bookmarkStart w:id="288" w:name="exposure-classification"/>
    <w:p>
      <w:pPr>
        <w:pStyle w:val="Heading2"/>
      </w:pPr>
      <w:r>
        <w:t xml:space="preserve">41.1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36"/>
        </w:numPr>
      </w:pPr>
      <w:r>
        <w:t xml:space="preserve">Antsirabe (02)</w:t>
      </w:r>
    </w:p>
    <w:p>
      <w:pPr>
        <w:pStyle w:val="Compact"/>
        <w:numPr>
          <w:ilvl w:val="0"/>
          <w:numId w:val="1036"/>
        </w:numPr>
      </w:pPr>
      <w:r>
        <w:t xml:space="preserve">Tsiroanomandidy (13)</w:t>
      </w:r>
    </w:p>
    <w:p>
      <w:pPr>
        <w:pStyle w:val="Compact"/>
        <w:numPr>
          <w:ilvl w:val="0"/>
          <w:numId w:val="1036"/>
        </w:numPr>
      </w:pPr>
      <w:r>
        <w:t xml:space="preserve">Ambovombe (16)</w:t>
      </w:r>
    </w:p>
    <w:p>
      <w:pPr>
        <w:pStyle w:val="Compact"/>
        <w:numPr>
          <w:ilvl w:val="0"/>
          <w:numId w:val="1036"/>
        </w:numPr>
      </w:pPr>
      <w:r>
        <w:t xml:space="preserve">Mahanoro (25)</w:t>
      </w:r>
    </w:p>
    <w:p>
      <w:pPr>
        <w:pStyle w:val="Compact"/>
        <w:numPr>
          <w:ilvl w:val="0"/>
          <w:numId w:val="1036"/>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37"/>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37"/>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37"/>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37"/>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283" w:name="tbl-donor-status"/>
          <w:p>
            <w:pPr>
              <w:jc w:val="center"/>
            </w:pPr>
            <w:pPr>
              <w:jc w:val="left"/>
              <w:spacing w:before="200"/>
              <w:pStyle w:val="ImageCaption"/>
            </w:pPr>
            <w:r>
              <w:t xml:space="preserve">Table 41.1: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map-exposure"/>
          <w:p>
            <w:pPr>
              <w:pStyle w:val="Compact"/>
              <w:jc w:val="center"/>
            </w:pPr>
            <w:r>
              <w:drawing>
                <wp:inline>
                  <wp:extent cx="5334000" cy="6667500"/>
                  <wp:effectExtent b="0" l="0" r="0" t="0"/>
                  <wp:docPr descr="" title="" id="285" name="Picture"/>
                  <a:graphic>
                    <a:graphicData uri="http://schemas.openxmlformats.org/drawingml/2006/picture">
                      <pic:pic>
                        <pic:nvPicPr>
                          <pic:cNvPr descr="A2_donor_validity_files/figure-docx/fig-map-exposure-1.png" id="286" name="Picture"/>
                          <pic:cNvPicPr>
                            <a:picLocks noChangeArrowheads="1" noChangeAspect="1"/>
                          </pic:cNvPicPr>
                        </pic:nvPicPr>
                        <pic:blipFill>
                          <a:blip r:embed="rId284"/>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41.1: Map of observatory communes coloured by exposure status. Nearby PA polygons shown.</w:t>
            </w:r>
          </w:p>
          <w:bookmarkEnd w:id="287"/>
        </w:tc>
      </w:tr>
    </w:tbl>
    <w:bookmarkEnd w:id="288"/>
    <w:bookmarkStart w:id="293" w:name="detailed-exposure-profiles"/>
    <w:p>
      <w:pPr>
        <w:pStyle w:val="Heading2"/>
      </w:pPr>
      <w:r>
        <w:t xml:space="preserve">41.2 Detailed exposure profiles</w:t>
      </w:r>
    </w:p>
    <w:tbl>
      <w:tblPr>
        <w:tblStyle w:val="Table"/>
        <w:tblW w:type="pct" w:w="5000"/>
        <w:tblLayout w:type="fixed"/>
        <w:tblLook w:firstRow="0" w:lastRow="0" w:firstColumn="0" w:lastColumn="0" w:noHBand="0" w:noVBand="0" w:val="0000"/>
      </w:tblPr>
      <w:tblGrid>
        <w:gridCol w:w="7920"/>
      </w:tblGrid>
      <w:tr>
        <w:tc>
          <w:tcPr/>
          <w:bookmarkStart w:id="292" w:name="fig-exposure-detail"/>
          <w:p>
            <w:pPr>
              <w:pStyle w:val="Compact"/>
              <w:jc w:val="center"/>
            </w:pPr>
            <w:r>
              <w:drawing>
                <wp:inline>
                  <wp:extent cx="5334000" cy="2909454"/>
                  <wp:effectExtent b="0" l="0" r="0" t="0"/>
                  <wp:docPr descr="" title="" id="290" name="Picture"/>
                  <a:graphic>
                    <a:graphicData uri="http://schemas.openxmlformats.org/drawingml/2006/picture">
                      <pic:pic>
                        <pic:nvPicPr>
                          <pic:cNvPr descr="A2_donor_validity_files/figure-docx/fig-exposure-detail-1.png" id="291" name="Picture"/>
                          <pic:cNvPicPr>
                            <a:picLocks noChangeArrowheads="1" noChangeAspect="1"/>
                          </pic:cNvPicPr>
                        </pic:nvPicPr>
                        <pic:blipFill>
                          <a:blip r:embed="rId28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41.2: Distance-to-PA for each also-exposed donor observatory.</w:t>
            </w:r>
          </w:p>
          <w:bookmarkEnd w:id="292"/>
        </w:tc>
      </w:tr>
    </w:tbl>
    <w:bookmarkEnd w:id="293"/>
    <w:bookmarkEnd w:id="294"/>
    <w:bookmarkStart w:id="301" w:name="sec-b-implications"/>
    <w:p>
      <w:pPr>
        <w:pStyle w:val="Heading1"/>
      </w:pPr>
      <w:r>
        <w:t xml:space="preserve">42. Implications</w:t>
      </w:r>
    </w:p>
    <w:bookmarkStart w:id="295" w:name="for-the-primary-analysis"/>
    <w:p>
      <w:pPr>
        <w:pStyle w:val="Heading2"/>
      </w:pPr>
      <w:r>
        <w:t xml:space="preserve">42.1 For the primary analysis</w:t>
      </w:r>
    </w:p>
    <w:p>
      <w:pPr>
        <w:pStyle w:val="FirstParagraph"/>
      </w:pPr>
      <w:r>
        <w:t xml:space="preserve">The contamination audit has two consequences:</w:t>
      </w:r>
    </w:p>
    <w:p>
      <w:pPr>
        <w:numPr>
          <w:ilvl w:val="0"/>
          <w:numId w:val="1038"/>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38"/>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295"/>
    <w:bookmarkStart w:id="300" w:name="for-the-extended-analysis"/>
    <w:p>
      <w:pPr>
        <w:pStyle w:val="Heading2"/>
      </w:pPr>
      <w:r>
        <w:t xml:space="preserve">42.2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9"/>
        </w:numPr>
      </w:pPr>
      <w:r>
        <w:t xml:space="preserve">Purifies the donor pool (removing also-exposed units).</w:t>
      </w:r>
    </w:p>
    <w:p>
      <w:pPr>
        <w:pStyle w:val="Compact"/>
        <w:numPr>
          <w:ilvl w:val="0"/>
          <w:numId w:val="1039"/>
        </w:numPr>
      </w:pPr>
      <w:r>
        <w:t xml:space="preserve">Enriches the exposed sample (five observatory–PA pairs instead of two).</w:t>
      </w:r>
    </w:p>
    <w:p>
      <w:pPr>
        <w:pStyle w:val="Compact"/>
        <w:numPr>
          <w:ilvl w:val="0"/>
          <w:numId w:val="1039"/>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299" w:name="fig-clean-donors"/>
          <w:p>
            <w:pPr>
              <w:pStyle w:val="Compact"/>
              <w:jc w:val="center"/>
            </w:pPr>
            <w:r>
              <w:drawing>
                <wp:inline>
                  <wp:extent cx="5334000" cy="5334000"/>
                  <wp:effectExtent b="0" l="0" r="0" t="0"/>
                  <wp:docPr descr="" title="" id="297" name="Picture"/>
                  <a:graphic>
                    <a:graphicData uri="http://schemas.openxmlformats.org/drawingml/2006/picture">
                      <pic:pic>
                        <pic:nvPicPr>
                          <pic:cNvPr descr="A2_donor_validity_files/figure-docx/fig-clean-donors-1.png" id="298" name="Picture"/>
                          <pic:cNvPicPr>
                            <a:picLocks noChangeArrowheads="1" noChangeAspect="1"/>
                          </pic:cNvPicPr>
                        </pic:nvPicPr>
                        <pic:blipFill>
                          <a:blip r:embed="rId29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42.1: Map of Madagascar with observatory locations coloured by status: exposed (Ch. 4), newly exposed (Ch. 5), clean donor, excluded.</w:t>
            </w:r>
          </w:p>
          <w:bookmarkEnd w:id="299"/>
        </w:tc>
      </w:tr>
    </w:tbl>
    <w:bookmarkEnd w:id="300"/>
    <w:bookmarkEnd w:id="301"/>
    <w:bookmarkStart w:id="302" w:name="appendix-c-robustness-tests"/>
    <w:p>
      <w:pPr>
        <w:pStyle w:val="Heading1"/>
      </w:pPr>
      <w:r>
        <w:t xml:space="preserve">43. Appendix C: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02"/>
    <w:bookmarkStart w:id="307" w:name="sec-c-unadj"/>
    <w:p>
      <w:pPr>
        <w:pStyle w:val="Heading1"/>
      </w:pPr>
      <w:r>
        <w:t xml:space="preserve">44.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06" w:name="fig-unadj-att"/>
          <w:p>
            <w:pPr>
              <w:pStyle w:val="Compact"/>
              <w:jc w:val="center"/>
            </w:pPr>
            <w:r>
              <w:drawing>
                <wp:inline>
                  <wp:extent cx="5334000" cy="2222500"/>
                  <wp:effectExtent b="0" l="0" r="0" t="0"/>
                  <wp:docPr descr="" title="" id="304" name="Picture"/>
                  <a:graphic>
                    <a:graphicData uri="http://schemas.openxmlformats.org/drawingml/2006/picture">
                      <pic:pic>
                        <pic:nvPicPr>
                          <pic:cNvPr descr="A3_robustness_files/figure-docx/fig-unadj-att-1.png" id="305" name="Picture"/>
                          <pic:cNvPicPr>
                            <a:picLocks noChangeArrowheads="1" noChangeAspect="1"/>
                          </pic:cNvPicPr>
                        </pic:nvPicPr>
                        <pic:blipFill>
                          <a:blip r:embed="rId30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44.1: gsynth ATT paths using unadjusted log income (no OECD equivalisation). Left: Ankarafantsika. Right: Alaotra.</w:t>
            </w:r>
          </w:p>
          <w:bookmarkEnd w:id="306"/>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07"/>
    <w:bookmarkStart w:id="317" w:name="sec-c-levels"/>
    <w:p>
      <w:pPr>
        <w:pStyle w:val="Heading1"/>
      </w:pPr>
      <w:r>
        <w:t xml:space="preserve">45.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08" w:name="tbl-income-scale"/>
          <w:p>
            <w:pPr>
              <w:jc w:val="center"/>
            </w:pPr>
            <w:pPr>
              <w:jc w:val="left"/>
              <w:spacing w:before="200"/>
              <w:pStyle w:val="ImageCaption"/>
            </w:pPr>
            <w:r>
              <w:t xml:space="preserve">Table 45.1: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08"/>
        </w:tc>
      </w:tr>
    </w:tbl>
    <w:tbl>
      <w:tblPr>
        <w:tblStyle w:val="Table"/>
        <w:tblW w:type="pct" w:w="5000"/>
        <w:tblLayout w:type="fixed"/>
        <w:tblLook w:firstRow="0" w:lastRow="0" w:firstColumn="0" w:lastColumn="0" w:noHBand="0" w:noVBand="0" w:val="0000"/>
      </w:tblPr>
      <w:tblGrid>
        <w:gridCol w:w="7920"/>
      </w:tblGrid>
      <w:tr>
        <w:tc>
          <w:tcPr/>
          <w:bookmarkStart w:id="312" w:name="fig-levels-att"/>
          <w:p>
            <w:pPr>
              <w:pStyle w:val="Compact"/>
              <w:jc w:val="center"/>
            </w:pPr>
            <w:r>
              <w:drawing>
                <wp:inline>
                  <wp:extent cx="5334000" cy="2222500"/>
                  <wp:effectExtent b="0" l="0" r="0" t="0"/>
                  <wp:docPr descr="" title="" id="310" name="Picture"/>
                  <a:graphic>
                    <a:graphicData uri="http://schemas.openxmlformats.org/drawingml/2006/picture">
                      <pic:pic>
                        <pic:nvPicPr>
                          <pic:cNvPr descr="A3_robustness_files/figure-docx/fig-levels-att-1.png" id="311" name="Picture"/>
                          <pic:cNvPicPr>
                            <a:picLocks noChangeArrowheads="1" noChangeAspect="1"/>
                          </pic:cNvPicPr>
                        </pic:nvPicPr>
                        <pic:blipFill>
                          <a:blip r:embed="rId30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45.1: gsynth ATT paths using income in levels (thousands of Ariary). Left: Ankarafantsika. Right: Alaotra.</w:t>
            </w:r>
          </w:p>
          <w:bookmarkEnd w:id="312"/>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16" w:name="fig-pretreat-fit"/>
          <w:p>
            <w:pPr>
              <w:pStyle w:val="Compact"/>
              <w:jc w:val="center"/>
            </w:pPr>
            <w:r>
              <w:drawing>
                <wp:inline>
                  <wp:extent cx="5334000" cy="2222500"/>
                  <wp:effectExtent b="0" l="0" r="0" t="0"/>
                  <wp:docPr descr="" title="" id="314" name="Picture"/>
                  <a:graphic>
                    <a:graphicData uri="http://schemas.openxmlformats.org/drawingml/2006/picture">
                      <pic:pic>
                        <pic:nvPicPr>
                          <pic:cNvPr descr="A3_robustness_files/figure-docx/fig-pretreat-fit-1.png" id="315" name="Picture"/>
                          <pic:cNvPicPr>
                            <a:picLocks noChangeArrowheads="1" noChangeAspect="1"/>
                          </pic:cNvPicPr>
                        </pic:nvPicPr>
                        <pic:blipFill>
                          <a:blip r:embed="rId313"/>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45.2: Pre-treatment fit comparison: log specification (left) vs. levels (right) for Ankarafantsika.</w:t>
            </w:r>
          </w:p>
          <w:bookmarkEnd w:id="316"/>
        </w:tc>
      </w:tr>
    </w:tbl>
    <w:bookmarkEnd w:id="317"/>
    <w:bookmarkStart w:id="330" w:name="sec-c-sdid"/>
    <w:p>
      <w:pPr>
        <w:pStyle w:val="Heading1"/>
      </w:pPr>
      <w:r>
        <w:t xml:space="preserve">46.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25" w:name="ankarafantsika-sdid"/>
    <w:p>
      <w:pPr>
        <w:pStyle w:val="Heading2"/>
      </w:pPr>
      <w:r>
        <w:t xml:space="preserve">46.1 Ankarafantsika (SDID)</w:t>
      </w:r>
    </w:p>
    <w:tbl>
      <w:tblPr>
        <w:tblStyle w:val="Table"/>
        <w:tblW w:type="pct" w:w="5000"/>
        <w:tblLayout w:type="fixed"/>
        <w:tblLook w:firstRow="0" w:lastRow="0" w:firstColumn="0" w:lastColumn="0" w:noHBand="0" w:noVBand="0" w:val="0000"/>
      </w:tblPr>
      <w:tblGrid>
        <w:gridCol w:w="7920"/>
      </w:tblGrid>
      <w:tr>
        <w:tc>
          <w:tcPr/>
          <w:bookmarkStart w:id="318" w:name="tbl-sdid-maro"/>
          <w:p>
            <w:pPr>
              <w:jc w:val="center"/>
            </w:pPr>
            <w:pPr>
              <w:jc w:val="left"/>
              <w:spacing w:before="200"/>
              <w:pStyle w:val="ImageCaption"/>
            </w:pPr>
            <w:r>
              <w:t xml:space="preserve">Table 46.1: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18"/>
        </w:tc>
      </w:tr>
    </w:tbl>
    <w:tbl>
      <w:tblPr>
        <w:tblStyle w:val="Table"/>
        <w:tblW w:type="pct" w:w="5000"/>
        <w:tblLayout w:type="fixed"/>
        <w:tblLook w:firstRow="0" w:lastRow="0" w:firstColumn="0" w:lastColumn="0" w:noHBand="0" w:noVBand="0" w:val="0000"/>
      </w:tblPr>
      <w:tblGrid>
        <w:gridCol w:w="7920"/>
      </w:tblGrid>
      <w:tr>
        <w:tc>
          <w:tcPr/>
          <w:bookmarkStart w:id="322" w:name="fig-sdid-maro"/>
          <w:p>
            <w:pPr>
              <w:pStyle w:val="Compact"/>
              <w:jc w:val="center"/>
            </w:pPr>
            <w:r>
              <w:drawing>
                <wp:inline>
                  <wp:extent cx="5334000" cy="3333750"/>
                  <wp:effectExtent b="0" l="0" r="0" t="0"/>
                  <wp:docPr descr="" title="" id="320" name="Picture"/>
                  <a:graphic>
                    <a:graphicData uri="http://schemas.openxmlformats.org/drawingml/2006/picture">
                      <pic:pic>
                        <pic:nvPicPr>
                          <pic:cNvPr descr="A3_robustness_files/figure-docx/fig-sdid-maro-1.png" id="321" name="Picture"/>
                          <pic:cNvPicPr>
                            <a:picLocks noChangeArrowheads="1" noChangeAspect="1"/>
                          </pic:cNvPicPr>
                        </pic:nvPicPr>
                        <pic:blipFill>
                          <a:blip r:embed="rId3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46.1: SDID trend plot for Ankarafantsika. Solid lines: reweighted treated and synthetic control trajectories.</w:t>
            </w:r>
          </w:p>
          <w:bookmarkEnd w:id="32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Program Files\Quarto\share\formats\docx\note.png" id="3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25"/>
    <w:bookmarkStart w:id="329" w:name="alaotra-sdid"/>
    <w:p>
      <w:pPr>
        <w:pStyle w:val="Heading2"/>
      </w:pPr>
      <w:r>
        <w:t xml:space="preserve">46.2 Alaotra (SDID)</w:t>
      </w:r>
    </w:p>
    <w:tbl>
      <w:tblPr>
        <w:tblStyle w:val="Table"/>
        <w:tblW w:type="pct" w:w="5000"/>
        <w:tblLayout w:type="fixed"/>
        <w:tblLook w:firstRow="0" w:lastRow="0" w:firstColumn="0" w:lastColumn="0" w:noHBand="0" w:noVBand="0" w:val="0000"/>
      </w:tblPr>
      <w:tblGrid>
        <w:gridCol w:w="7920"/>
      </w:tblGrid>
      <w:tr>
        <w:tc>
          <w:tcPr/>
          <w:bookmarkStart w:id="326" w:name="tbl-sdid-ala"/>
          <w:p>
            <w:pPr>
              <w:jc w:val="center"/>
            </w:pPr>
            <w:pPr>
              <w:jc w:val="left"/>
              <w:spacing w:before="200"/>
              <w:pStyle w:val="ImageCaption"/>
            </w:pPr>
            <w:r>
              <w:t xml:space="preserve">Table 46.2: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2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Program Files\Quarto\share\formats\docx\warning.png" id="32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29"/>
    <w:bookmarkEnd w:id="330"/>
    <w:bookmarkStart w:id="346" w:name="sec-c-cs"/>
    <w:p>
      <w:pPr>
        <w:pStyle w:val="Heading1"/>
      </w:pPr>
      <w:r>
        <w:t xml:space="preserve">47.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40"/>
        </w:numPr>
      </w:pPr>
      <w:r>
        <w:t xml:space="preserve">uses every usable household-year observation (not site-year means),</w:t>
      </w:r>
      <w:r>
        <w:t xml:space="preserve"> </w:t>
      </w:r>
      <w:r>
        <w:t xml:space="preserve">capturing within-site heterogeneity;</w:t>
      </w:r>
    </w:p>
    <w:p>
      <w:pPr>
        <w:pStyle w:val="Compact"/>
        <w:numPr>
          <w:ilvl w:val="0"/>
          <w:numId w:val="1040"/>
        </w:numPr>
      </w:pPr>
      <w:r>
        <w:t xml:space="preserve">allows staggered adoption (Marovoay exposed from 2003, Alaotra from 2008)</w:t>
      </w:r>
      <w:r>
        <w:t xml:space="preserve"> </w:t>
      </w:r>
      <w:r>
        <w:t xml:space="preserve">in a single estimator;</w:t>
      </w:r>
    </w:p>
    <w:p>
      <w:pPr>
        <w:pStyle w:val="Compact"/>
        <w:numPr>
          <w:ilvl w:val="0"/>
          <w:numId w:val="1040"/>
        </w:numPr>
      </w:pPr>
      <w:r>
        <w:t xml:space="preserve">clusters inference at the</w:t>
      </w:r>
      <w:r>
        <w:t xml:space="preserve"> </w:t>
      </w:r>
      <w:r>
        <w:rPr>
          <w:rStyle w:val="VerbatimChar"/>
        </w:rPr>
        <w:t xml:space="preserve">site_id</w:t>
      </w:r>
      <w:r>
        <w:t xml:space="preserve"> </w:t>
      </w:r>
      <w:r>
        <w:t xml:space="preserve">level via a multiplier bootstrap.</w:t>
      </w:r>
    </w:p>
    <w:bookmarkStart w:id="331" w:name="panel-construction-2"/>
    <w:p>
      <w:pPr>
        <w:pStyle w:val="Heading2"/>
      </w:pPr>
      <w:r>
        <w:t xml:space="preserve">47.1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31"/>
    <w:bookmarkStart w:id="336" w:name="sec-c-cs-attgt"/>
    <w:p>
      <w:pPr>
        <w:pStyle w:val="Heading2"/>
      </w:pPr>
      <w:r>
        <w:t xml:space="preserve">47.2 Group-time ATT</w:t>
      </w:r>
    </w:p>
    <w:tbl>
      <w:tblPr>
        <w:tblStyle w:val="Table"/>
        <w:tblW w:type="pct" w:w="5000"/>
        <w:tblLayout w:type="fixed"/>
        <w:tblLook w:firstRow="0" w:lastRow="0" w:firstColumn="0" w:lastColumn="0" w:noHBand="0" w:noVBand="0" w:val="0000"/>
      </w:tblPr>
      <w:tblGrid>
        <w:gridCol w:w="7920"/>
      </w:tblGrid>
      <w:tr>
        <w:tc>
          <w:tcPr/>
          <w:bookmarkStart w:id="335" w:name="fig-cs-attgt"/>
          <w:p>
            <w:pPr>
              <w:pStyle w:val="Compact"/>
              <w:jc w:val="center"/>
            </w:pPr>
            <w:r>
              <w:drawing>
                <wp:inline>
                  <wp:extent cx="5334000" cy="3200400"/>
                  <wp:effectExtent b="0" l="0" r="0" t="0"/>
                  <wp:docPr descr="" title="" id="333" name="Picture"/>
                  <a:graphic>
                    <a:graphicData uri="http://schemas.openxmlformats.org/drawingml/2006/picture">
                      <pic:pic>
                        <pic:nvPicPr>
                          <pic:cNvPr descr="A3_robustness_files/figure-docx/fig-cs-attgt-1.png" id="334" name="Picture"/>
                          <pic:cNvPicPr>
                            <a:picLocks noChangeArrowheads="1" noChangeAspect="1"/>
                          </pic:cNvPicPr>
                        </pic:nvPicPr>
                        <pic:blipFill>
                          <a:blip r:embed="rId3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47.1: Callaway–Sant’Anna group-time ATT(g,t) estimates with simultaneous 95% confidence bands. Top panel: Marovoay cohort (g = 2003). Bottom panel: Alaotra cohort (g = 2008). Dashed vertical line marks exposure onset. Outcome: log OECD-equivalised income.</w:t>
            </w:r>
          </w:p>
          <w:bookmarkEnd w:id="335"/>
        </w:tc>
      </w:tr>
    </w:tbl>
    <w:bookmarkEnd w:id="336"/>
    <w:bookmarkStart w:id="341" w:name="sec-c-cs-dyn"/>
    <w:p>
      <w:pPr>
        <w:pStyle w:val="Heading2"/>
      </w:pPr>
      <w:r>
        <w:t xml:space="preserve">47.3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40" w:name="fig-cs-dyn"/>
          <w:p>
            <w:pPr>
              <w:pStyle w:val="Compact"/>
              <w:jc w:val="center"/>
            </w:pPr>
            <w:r>
              <w:drawing>
                <wp:inline>
                  <wp:extent cx="5334000" cy="2963333"/>
                  <wp:effectExtent b="0" l="0" r="0" t="0"/>
                  <wp:docPr descr="" title="" id="338" name="Picture"/>
                  <a:graphic>
                    <a:graphicData uri="http://schemas.openxmlformats.org/drawingml/2006/picture">
                      <pic:pic>
                        <pic:nvPicPr>
                          <pic:cNvPr descr="A3_robustness_files/figure-docx/fig-cs-dyn-1.png" id="339" name="Picture"/>
                          <pic:cNvPicPr>
                            <a:picLocks noChangeArrowheads="1" noChangeAspect="1"/>
                          </pic:cNvPicPr>
                        </pic:nvPicPr>
                        <pic:blipFill>
                          <a:blip r:embed="rId33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47.2: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40"/>
        </w:tc>
      </w:tr>
    </w:tbl>
    <w:bookmarkEnd w:id="341"/>
    <w:bookmarkStart w:id="345" w:name="cohort-specific-att"/>
    <w:p>
      <w:pPr>
        <w:pStyle w:val="Heading2"/>
      </w:pPr>
      <w:r>
        <w:t xml:space="preserve">47.4 Cohort-specific ATT</w:t>
      </w:r>
    </w:p>
    <w:tbl>
      <w:tblPr>
        <w:tblStyle w:val="Table"/>
        <w:tblW w:type="pct" w:w="5000"/>
        <w:tblLayout w:type="fixed"/>
        <w:tblLook w:firstRow="0" w:lastRow="0" w:firstColumn="0" w:lastColumn="0" w:noHBand="0" w:noVBand="0" w:val="0000"/>
      </w:tblPr>
      <w:tblGrid>
        <w:gridCol w:w="7920"/>
      </w:tblGrid>
      <w:tr>
        <w:tc>
          <w:tcPr/>
          <w:bookmarkStart w:id="342" w:name="tbl-cs-group"/>
          <w:p>
            <w:pPr>
              <w:jc w:val="center"/>
            </w:pPr>
            <w:pPr>
              <w:jc w:val="left"/>
              <w:spacing w:before="200"/>
              <w:pStyle w:val="ImageCaption"/>
            </w:pPr>
            <w:r>
              <w:t xml:space="preserve">Table 47.1: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42"/>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C:\Program Files\Quarto\share\formats\docx\note.png" id="3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45"/>
    <w:bookmarkEnd w:id="346"/>
    <w:bookmarkStart w:id="348" w:name="sec-c-summary"/>
    <w:p>
      <w:pPr>
        <w:pStyle w:val="Heading1"/>
      </w:pPr>
      <w:r>
        <w:t xml:space="preserve">48. Summary of robustness</w:t>
      </w:r>
    </w:p>
    <w:tbl>
      <w:tblPr>
        <w:tblStyle w:val="Table"/>
        <w:tblW w:type="pct" w:w="5000"/>
        <w:tblLayout w:type="fixed"/>
        <w:tblLook w:firstRow="0" w:lastRow="0" w:firstColumn="0" w:lastColumn="0" w:noHBand="0" w:noVBand="0" w:val="0000"/>
      </w:tblPr>
      <w:tblGrid>
        <w:gridCol w:w="7920"/>
      </w:tblGrid>
      <w:tr>
        <w:tc>
          <w:tcPr/>
          <w:bookmarkStart w:id="347" w:name="tbl-robustness-summary"/>
          <w:p>
            <w:pPr>
              <w:jc w:val="center"/>
            </w:pPr>
            <w:pPr>
              <w:jc w:val="left"/>
              <w:spacing w:before="200"/>
              <w:pStyle w:val="ImageCaption"/>
            </w:pPr>
            <w:r>
              <w:t xml:space="preserve">Table 48.1: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47"/>
        </w:tc>
      </w:tr>
    </w:tbl>
    <w:p>
      <w:pPr>
        <w:pStyle w:val="BodyText"/>
      </w:pPr>
      <w:r>
        <w:t xml:space="preserve">Three key findings:</w:t>
      </w:r>
    </w:p>
    <w:p>
      <w:pPr>
        <w:pStyle w:val="Compact"/>
        <w:numPr>
          <w:ilvl w:val="0"/>
          <w:numId w:val="1041"/>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41"/>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41"/>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48"/>
    <w:bookmarkStart w:id="349" w:name="appendix-d-methodology"/>
    <w:p>
      <w:pPr>
        <w:pStyle w:val="Heading1"/>
      </w:pPr>
      <w:r>
        <w:t xml:space="preserve">49. Appendix D: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49"/>
    <w:bookmarkStart w:id="355" w:name="sec-d-gsynth"/>
    <w:p>
      <w:pPr>
        <w:pStyle w:val="Heading1"/>
      </w:pPr>
      <w:r>
        <w:t xml:space="preserve">50. Generalised synthetic control</w:t>
      </w:r>
    </w:p>
    <w:bookmarkStart w:id="350" w:name="interactive-fixed-effects-model"/>
    <w:p>
      <w:pPr>
        <w:pStyle w:val="Heading2"/>
      </w:pPr>
      <w:r>
        <w:t xml:space="preserve">50.1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50"/>
    <w:bookmarkStart w:id="351" w:name="estimation"/>
    <w:p>
      <w:pPr>
        <w:pStyle w:val="Heading2"/>
      </w:pPr>
      <w:r>
        <w:t xml:space="preserve">50.2 Estimation</w:t>
      </w:r>
    </w:p>
    <w:p>
      <w:pPr>
        <w:pStyle w:val="FirstParagraph"/>
      </w:pPr>
      <w:r>
        <w:t xml:space="preserve">The algorithm proceeds in three steps:</w:t>
      </w:r>
    </w:p>
    <w:p>
      <w:pPr>
        <w:numPr>
          <w:ilvl w:val="0"/>
          <w:numId w:val="1042"/>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42"/>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42"/>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51"/>
    <w:bookmarkStart w:id="352" w:name="cross-validation-for-factor-selection"/>
    <w:p>
      <w:pPr>
        <w:pStyle w:val="Heading2"/>
      </w:pPr>
      <w:r>
        <w:t xml:space="preserve">50.3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52"/>
    <w:bookmarkStart w:id="353" w:name="inference"/>
    <w:p>
      <w:pPr>
        <w:pStyle w:val="Heading2"/>
      </w:pPr>
      <w:r>
        <w:t xml:space="preserve">50.4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53"/>
    <w:bookmarkStart w:id="354" w:name="X9f7c559506f1f6df1626b13d35dbc302ae02bf5"/>
    <w:p>
      <w:pPr>
        <w:pStyle w:val="Heading2"/>
      </w:pPr>
      <w:r>
        <w:t xml:space="preserve">50.5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54"/>
    <w:bookmarkEnd w:id="355"/>
    <w:bookmarkStart w:id="360" w:name="sec-d-csdid"/>
    <w:p>
      <w:pPr>
        <w:pStyle w:val="Heading1"/>
      </w:pPr>
      <w:r>
        <w:t xml:space="preserve">51. Callaway–Sant’Anna staggered DiD</w:t>
      </w:r>
    </w:p>
    <w:bookmarkStart w:id="356" w:name="group-time-att-framework"/>
    <w:p>
      <w:pPr>
        <w:pStyle w:val="Heading2"/>
      </w:pPr>
      <w:r>
        <w:t xml:space="preserve">51.1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43"/>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43"/>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56"/>
    <w:bookmarkStart w:id="357" w:name="repeated-cross-sections"/>
    <w:p>
      <w:pPr>
        <w:pStyle w:val="Heading2"/>
      </w:pPr>
      <w:r>
        <w:t xml:space="preserve">51.2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57"/>
    <w:bookmarkStart w:id="358" w:name="aggregation"/>
    <w:p>
      <w:pPr>
        <w:pStyle w:val="Heading2"/>
      </w:pPr>
      <w:r>
        <w:t xml:space="preserve">51.3 Aggregation</w:t>
      </w:r>
    </w:p>
    <w:p>
      <w:pPr>
        <w:pStyle w:val="FirstParagraph"/>
      </w:pPr>
      <w:r>
        <w:t xml:space="preserve">Group-time ATTs can be aggregated into:</w:t>
      </w:r>
    </w:p>
    <w:p>
      <w:pPr>
        <w:pStyle w:val="Compact"/>
        <w:numPr>
          <w:ilvl w:val="0"/>
          <w:numId w:val="1044"/>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44"/>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44"/>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58"/>
    <w:bookmarkStart w:id="359" w:name="implementation-planned-for-2026-data"/>
    <w:p>
      <w:pPr>
        <w:pStyle w:val="Heading2"/>
      </w:pPr>
      <w:r>
        <w:t xml:space="preserve">51.4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59"/>
    <w:bookmarkEnd w:id="360"/>
    <w:bookmarkStart w:id="364" w:name="sec-d-sdid"/>
    <w:p>
      <w:pPr>
        <w:pStyle w:val="Heading1"/>
      </w:pPr>
      <w:r>
        <w:t xml:space="preserve">52. Synthetic Difference-in-Differences</w:t>
      </w:r>
    </w:p>
    <w:bookmarkStart w:id="361" w:name="framework"/>
    <w:p>
      <w:pPr>
        <w:pStyle w:val="Heading2"/>
      </w:pPr>
      <w:r>
        <w:t xml:space="preserve">52.1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61"/>
    <w:bookmarkStart w:id="362" w:name="comparison-with-gsynth"/>
    <w:p>
      <w:pPr>
        <w:pStyle w:val="Heading2"/>
      </w:pPr>
      <w:r>
        <w:t xml:space="preserve">52.2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62"/>
    <w:bookmarkStart w:id="363" w:name="inference-1"/>
    <w:p>
      <w:pPr>
        <w:pStyle w:val="Heading2"/>
      </w:pPr>
      <w:r>
        <w:t xml:space="preserve">52.3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63"/>
    <w:bookmarkEnd w:id="364"/>
    <w:bookmarkStart w:id="367" w:name="sec-d-inference"/>
    <w:p>
      <w:pPr>
        <w:pStyle w:val="Heading1"/>
      </w:pPr>
      <w:r>
        <w:t xml:space="preserve">53. Inference with few clusters</w:t>
      </w:r>
    </w:p>
    <w:bookmarkStart w:id="365" w:name="the-power-problem"/>
    <w:p>
      <w:pPr>
        <w:pStyle w:val="Heading2"/>
      </w:pPr>
      <w:r>
        <w:t xml:space="preserve">53.1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45"/>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45"/>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45"/>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65"/>
    <w:bookmarkStart w:id="366" w:name="practical-implications"/>
    <w:p>
      <w:pPr>
        <w:pStyle w:val="Heading2"/>
      </w:pPr>
      <w:r>
        <w:t xml:space="preserve">53.2 Practical implications</w:t>
      </w:r>
    </w:p>
    <w:p>
      <w:pPr>
        <w:pStyle w:val="FirstParagraph"/>
      </w:pPr>
      <w:r>
        <w:t xml:space="preserve">The power constraints imply that:</w:t>
      </w:r>
    </w:p>
    <w:p>
      <w:pPr>
        <w:pStyle w:val="Compact"/>
        <w:numPr>
          <w:ilvl w:val="0"/>
          <w:numId w:val="1046"/>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46"/>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46"/>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66"/>
    <w:bookmarkEnd w:id="367"/>
    <w:bookmarkStart w:id="400" w:name="references-1"/>
    <w:p>
      <w:pPr>
        <w:pStyle w:val="Heading1"/>
      </w:pPr>
      <w:r>
        <w:t xml:space="preserve">References</w:t>
      </w:r>
    </w:p>
    <w:bookmarkStart w:id="399" w:name="refs"/>
    <w:bookmarkStart w:id="369"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368">
        <w:r>
          <w:rPr>
            <w:rStyle w:val="Hyperlink"/>
          </w:rPr>
          <w:t xml:space="preserve">https://doi.org/10.1198/jasa.2009.ap08746</w:t>
        </w:r>
      </w:hyperlink>
      <w:r>
        <w:t xml:space="preserve">.</w:t>
      </w:r>
    </w:p>
    <w:bookmarkEnd w:id="369"/>
    <w:bookmarkStart w:id="370"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370"/>
    <w:bookmarkStart w:id="372"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371">
        <w:r>
          <w:rPr>
            <w:rStyle w:val="Hyperlink"/>
          </w:rPr>
          <w:t xml:space="preserve">https://doi.org/10.1073/pnas.0914177107</w:t>
        </w:r>
      </w:hyperlink>
      <w:r>
        <w:t xml:space="preserve">.</w:t>
      </w:r>
    </w:p>
    <w:bookmarkEnd w:id="372"/>
    <w:bookmarkStart w:id="373"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373"/>
    <w:bookmarkStart w:id="375"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374">
        <w:r>
          <w:rPr>
            <w:rStyle w:val="Hyperlink"/>
          </w:rPr>
          <w:t xml:space="preserve">https://doi.org/10.1257/aer.20190159</w:t>
        </w:r>
      </w:hyperlink>
      <w:r>
        <w:t xml:space="preserve">.</w:t>
      </w:r>
    </w:p>
    <w:bookmarkEnd w:id="375"/>
    <w:bookmarkStart w:id="376"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376"/>
    <w:bookmarkStart w:id="378"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377">
        <w:r>
          <w:rPr>
            <w:rStyle w:val="Hyperlink"/>
          </w:rPr>
          <w:t xml:space="preserve">https://doi.org/10.1016/j.jeconom.2020.12.001</w:t>
        </w:r>
      </w:hyperlink>
      <w:r>
        <w:t xml:space="preserve">.</w:t>
      </w:r>
    </w:p>
    <w:bookmarkEnd w:id="378"/>
    <w:bookmarkStart w:id="380"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379">
        <w:r>
          <w:rPr>
            <w:rStyle w:val="Hyperlink"/>
          </w:rPr>
          <w:t xml:space="preserve">https://doi.org/10.1162/rest.90.3.414</w:t>
        </w:r>
      </w:hyperlink>
      <w:r>
        <w:t xml:space="preserve">.</w:t>
      </w:r>
    </w:p>
    <w:bookmarkEnd w:id="380"/>
    <w:bookmarkStart w:id="381"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381"/>
    <w:bookmarkStart w:id="383"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382">
        <w:r>
          <w:rPr>
            <w:rStyle w:val="Hyperlink"/>
          </w:rPr>
          <w:t xml:space="preserve">https://doi.org/10.1016/j.jeem.2011.01.012</w:t>
        </w:r>
      </w:hyperlink>
      <w:r>
        <w:t xml:space="preserve">.</w:t>
      </w:r>
    </w:p>
    <w:bookmarkEnd w:id="383"/>
    <w:bookmarkStart w:id="384"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384"/>
    <w:bookmarkStart w:id="385"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385"/>
    <w:bookmarkStart w:id="387"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386">
        <w:r>
          <w:rPr>
            <w:rStyle w:val="Hyperlink"/>
          </w:rPr>
          <w:t xml:space="preserve">https://doi.org/10.1126/sciadv.aav3006</w:t>
        </w:r>
      </w:hyperlink>
      <w:r>
        <w:t xml:space="preserve">.</w:t>
      </w:r>
    </w:p>
    <w:bookmarkEnd w:id="387"/>
    <w:bookmarkStart w:id="389"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388">
        <w:r>
          <w:rPr>
            <w:rStyle w:val="Hyperlink"/>
          </w:rPr>
          <w:t xml:space="preserve">https://doi.org/10.1111/cobi.12568</w:t>
        </w:r>
      </w:hyperlink>
      <w:r>
        <w:t xml:space="preserve">.</w:t>
      </w:r>
    </w:p>
    <w:bookmarkEnd w:id="389"/>
    <w:bookmarkStart w:id="390"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390"/>
    <w:bookmarkStart w:id="392"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391">
        <w:r>
          <w:rPr>
            <w:rStyle w:val="Hyperlink"/>
          </w:rPr>
          <w:t xml:space="preserve">https://doi.org/10.1016/j.jeconom.2020.06.003</w:t>
        </w:r>
      </w:hyperlink>
      <w:r>
        <w:t xml:space="preserve">.</w:t>
      </w:r>
    </w:p>
    <w:bookmarkEnd w:id="392"/>
    <w:bookmarkStart w:id="394"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393">
        <w:r>
          <w:rPr>
            <w:rStyle w:val="Hyperlink"/>
          </w:rPr>
          <w:t xml:space="preserve">https://doi.org/10.1016/j.jeem.2009.10.003</w:t>
        </w:r>
      </w:hyperlink>
      <w:r>
        <w:t xml:space="preserve">.</w:t>
      </w:r>
    </w:p>
    <w:bookmarkEnd w:id="394"/>
    <w:bookmarkStart w:id="396"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395">
        <w:r>
          <w:rPr>
            <w:rStyle w:val="Hyperlink"/>
          </w:rPr>
          <w:t xml:space="preserve">https://doi.org/10.1016/j.jeconom.2020.09.006</w:t>
        </w:r>
      </w:hyperlink>
      <w:r>
        <w:t xml:space="preserve">.</w:t>
      </w:r>
    </w:p>
    <w:bookmarkEnd w:id="396"/>
    <w:bookmarkStart w:id="398"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397">
        <w:r>
          <w:rPr>
            <w:rStyle w:val="Hyperlink"/>
          </w:rPr>
          <w:t xml:space="preserve">https://doi.org/10.1017/pan.2016.2</w:t>
        </w:r>
      </w:hyperlink>
      <w:r>
        <w:t xml:space="preserve">.</w:t>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38" Target="media/rId238.png" /><Relationship Type="http://schemas.openxmlformats.org/officeDocument/2006/relationships/image" Id="rId245" Target="media/rId245.png" /><Relationship Type="http://schemas.openxmlformats.org/officeDocument/2006/relationships/image" Id="rId255" Target="media/rId255.png" /><Relationship Type="http://schemas.openxmlformats.org/officeDocument/2006/relationships/image" Id="rId296" Target="media/rId296.png" /><Relationship Type="http://schemas.openxmlformats.org/officeDocument/2006/relationships/image" Id="rId289" Target="media/rId289.png" /><Relationship Type="http://schemas.openxmlformats.org/officeDocument/2006/relationships/image" Id="rId284" Target="media/rId284.png" /><Relationship Type="http://schemas.openxmlformats.org/officeDocument/2006/relationships/image" Id="rId275" Target="media/rId275.png" /><Relationship Type="http://schemas.openxmlformats.org/officeDocument/2006/relationships/image" Id="rId332" Target="media/rId332.png" /><Relationship Type="http://schemas.openxmlformats.org/officeDocument/2006/relationships/image" Id="rId337" Target="media/rId337.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03" Target="media/rId303.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53" Target="https://cnlegis.gov.mg" TargetMode="External" /><Relationship Type="http://schemas.openxmlformats.org/officeDocument/2006/relationships/hyperlink" Id="rId391" Target="https://doi.org/10.1016/j.jeconom.2020.06.003" TargetMode="External" /><Relationship Type="http://schemas.openxmlformats.org/officeDocument/2006/relationships/hyperlink" Id="rId395" Target="https://doi.org/10.1016/j.jeconom.2020.09.006" TargetMode="External" /><Relationship Type="http://schemas.openxmlformats.org/officeDocument/2006/relationships/hyperlink" Id="rId377" Target="https://doi.org/10.1016/j.jeconom.2020.12.001" TargetMode="External" /><Relationship Type="http://schemas.openxmlformats.org/officeDocument/2006/relationships/hyperlink" Id="rId393" Target="https://doi.org/10.1016/j.jeem.2009.10.003" TargetMode="External" /><Relationship Type="http://schemas.openxmlformats.org/officeDocument/2006/relationships/hyperlink" Id="rId382" Target="https://doi.org/10.1016/j.jeem.2011.01.012" TargetMode="External" /><Relationship Type="http://schemas.openxmlformats.org/officeDocument/2006/relationships/hyperlink" Id="rId397"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371" Target="https://doi.org/10.1073/pnas.0914177107" TargetMode="External" /><Relationship Type="http://schemas.openxmlformats.org/officeDocument/2006/relationships/hyperlink" Id="rId388" Target="https://doi.org/10.1111/cobi.12568" TargetMode="External" /><Relationship Type="http://schemas.openxmlformats.org/officeDocument/2006/relationships/hyperlink" Id="rId386" Target="https://doi.org/10.1126/sciadv.aav3006" TargetMode="External" /><Relationship Type="http://schemas.openxmlformats.org/officeDocument/2006/relationships/hyperlink" Id="rId379" Target="https://doi.org/10.1162/rest.90.3.414" TargetMode="External" /><Relationship Type="http://schemas.openxmlformats.org/officeDocument/2006/relationships/hyperlink" Id="rId368" Target="https://doi.org/10.1198/jasa.2009.ap08746" TargetMode="External" /><Relationship Type="http://schemas.openxmlformats.org/officeDocument/2006/relationships/hyperlink" Id="rId374"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53" Target="https://cnlegis.gov.mg" TargetMode="External" /><Relationship Type="http://schemas.openxmlformats.org/officeDocument/2006/relationships/hyperlink" Id="rId391" Target="https://doi.org/10.1016/j.jeconom.2020.06.003" TargetMode="External" /><Relationship Type="http://schemas.openxmlformats.org/officeDocument/2006/relationships/hyperlink" Id="rId395" Target="https://doi.org/10.1016/j.jeconom.2020.09.006" TargetMode="External" /><Relationship Type="http://schemas.openxmlformats.org/officeDocument/2006/relationships/hyperlink" Id="rId377" Target="https://doi.org/10.1016/j.jeconom.2020.12.001" TargetMode="External" /><Relationship Type="http://schemas.openxmlformats.org/officeDocument/2006/relationships/hyperlink" Id="rId393" Target="https://doi.org/10.1016/j.jeem.2009.10.003" TargetMode="External" /><Relationship Type="http://schemas.openxmlformats.org/officeDocument/2006/relationships/hyperlink" Id="rId382" Target="https://doi.org/10.1016/j.jeem.2011.01.012" TargetMode="External" /><Relationship Type="http://schemas.openxmlformats.org/officeDocument/2006/relationships/hyperlink" Id="rId397"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371" Target="https://doi.org/10.1073/pnas.0914177107" TargetMode="External" /><Relationship Type="http://schemas.openxmlformats.org/officeDocument/2006/relationships/hyperlink" Id="rId388" Target="https://doi.org/10.1111/cobi.12568" TargetMode="External" /><Relationship Type="http://schemas.openxmlformats.org/officeDocument/2006/relationships/hyperlink" Id="rId386" Target="https://doi.org/10.1126/sciadv.aav3006" TargetMode="External" /><Relationship Type="http://schemas.openxmlformats.org/officeDocument/2006/relationships/hyperlink" Id="rId379" Target="https://doi.org/10.1162/rest.90.3.414" TargetMode="External" /><Relationship Type="http://schemas.openxmlformats.org/officeDocument/2006/relationships/hyperlink" Id="rId368" Target="https://doi.org/10.1198/jasa.2009.ap08746" TargetMode="External" /><Relationship Type="http://schemas.openxmlformats.org/officeDocument/2006/relationships/hyperlink" Id="rId374"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2026-04-27T21:50:08Z</dcterms:created>
  <dcterms:modified xsi:type="dcterms:W3CDTF">2026-04-27T21:50:08Z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2026-04-27</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Long-Run Evidence from Rural Observatory Surveys (1995–2025)</vt:lpwstr>
  </property>
  <property fmtid="{D5CDD505-2E9C-101B-9397-08002B2CF9AE}" pid="18" name="template-partials">
    <vt:lpwstr/>
  </property>
  <property fmtid="{D5CDD505-2E9C-101B-9397-08002B2CF9AE}" pid="19" name="toc-title">
    <vt:lpwstr>Table of contents</vt:lpwstr>
  </property>
</Properties>
</file>