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2026-10-16</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WDPCA baseline and consolidating them into temporal states.</w:t>
      </w:r>
    </w:p>
    <w:p>
      <w:pPr>
        <w:pStyle w:val="BodyText"/>
      </w:pPr>
      <w:r>
        <w:t xml:space="preserve">This paper presents three contributions. First, a reusable temporal data model that represents protected-area histories as time-bounded amendments to a current WDPCA baseline, including changes in external boundaries, legal status and internal zoning. Second, an application of this model to the 123 protected-area identities represented in Madagascar’s SAPM dataset over 2000–2025, reconstructed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WDPCA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t xml:space="preserve"> </w:t>
      </w:r>
      <w:r>
        <w:t xml:space="preserve">Goodman et al. (2018)</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possible to identify the source actually used from sources that were consulted only during curation.</w:t>
      </w:r>
      <w:r>
        <w:t xml:space="preserve"> </w:t>
      </w:r>
      <w:r>
        <w:t xml:space="preserve">Additional historical context was drawn from</w:t>
      </w:r>
      <w:r>
        <w:t xml:space="preserve"> </w:t>
      </w:r>
      <w:r>
        <w:t xml:space="preserve">Waeber et al. (2020)</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w:t>
      </w:r>
      <w:r>
        <w:t xml:space="preserve"> </w:t>
      </w:r>
      <w:r>
        <w:rPr>
          <w:rStyle w:val="VerbatimChar"/>
        </w:rPr>
        <w:t xml:space="preserve">dynamic_wdpa.parquet</w:t>
      </w:r>
      <w:r>
        <w:t xml:space="preserve">, and together with</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information in distinct formats suited respectively to GIS software, R, and a broader range of data analysis solutions.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WDPCA Data License, which prohibits commercial use of WDPCA materials and derivative works without prior written permission from UNEP-WCMC</w:t>
      </w:r>
      <w:r>
        <w:t xml:space="preserve"> </w:t>
      </w:r>
      <w:r>
        <w:t xml:space="preserve">(UNEP-WCMC 2026)</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unless explicitly amended</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unless explicitly amended</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protected-area identities represented in SAPM until beginning of 2026. The consolidated files additionally preserve the complete Madagascar WDPCA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 from SAPM, up to early 2026</w:t>
            </w:r>
          </w:p>
          <w:bookmarkEnd w:id="27"/>
        </w:tc>
      </w:tr>
    </w:tbl>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WDPCA baseline.</w:t>
      </w:r>
    </w:p>
    <w:bookmarkEnd w:id="28"/>
    <w:bookmarkStart w:id="33" w:name="technical-validation"/>
    <w:p>
      <w:pPr>
        <w:pStyle w:val="Heading1"/>
      </w:pPr>
      <w:r>
        <w:t xml:space="preserve">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Curated amendment geometries were checked during processing and spatial review. Baseline WDPCA geometries are retained without silently modifying their topology, in order to preserve source fidelity.</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WDPCA-based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WDPCA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WDPCA material or works derived from it requires prior written permission from UNEP-WCMC</w:t>
      </w:r>
      <w:r>
        <w:t xml:space="preserve"> </w:t>
      </w:r>
      <w:r>
        <w:t xml:space="preserve">(UNEP-WCMC 2026)</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t xml:space="preserve"> </w:t>
      </w:r>
      <w:r>
        <w:t xml:space="preserve">(Bédécarrats et al. 2026)</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WDPCA release. UNEP-WCMC has provided written authorization for redistribution of these Madagascar-specific derived outputs for this non-commercial use case. Commercial use of WDPCA material or derivative works requires prior written permission from UNEP-WCMC</w:t>
      </w:r>
      <w:r>
        <w:t xml:space="preserve"> </w:t>
      </w:r>
      <w:r>
        <w:t xml:space="preserve">(UNEP-WCMC 2026)</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41" w:name="funding-1"/>
    <w:p>
      <w:pPr>
        <w:pStyle w:val="Heading1"/>
      </w:pPr>
      <w:r>
        <w:t xml:space="preserve">Funding</w:t>
      </w:r>
    </w:p>
    <w:p>
      <w:pPr>
        <w:pStyle w:val="FirstParagraph"/>
      </w:pPr>
      <w:r>
        <w:t xml:space="preserve">BETSAKA project, supported by KfW, Agence Française de Développement (AFD), Institut de Recherche pour le Développement (IRD), and Agence Nationale de la Recherche (ANR).</w:t>
      </w:r>
    </w:p>
    <w:bookmarkEnd w:id="41"/>
    <w:bookmarkStart w:id="57" w:name="references"/>
    <w:p>
      <w:pPr>
        <w:pStyle w:val="Heading1"/>
      </w:pPr>
      <w:r>
        <w:t xml:space="preserve">References</w:t>
      </w:r>
    </w:p>
    <w:bookmarkStart w:id="56" w:name="refs"/>
    <w:bookmarkStart w:id="43" w:name="ref-bedecarrats2026dataset"/>
    <w:p>
      <w:pPr>
        <w:pStyle w:val="Bibliography"/>
      </w:pPr>
      <w:r>
        <w:t xml:space="preserve">Bédécarrats F, Ramanantsoa S, Andrianambinina OD (2026)</w:t>
      </w:r>
      <w:r>
        <w:t xml:space="preserve"> </w:t>
      </w:r>
      <w:hyperlink r:id="rId42">
        <w:r>
          <w:rPr>
            <w:rStyle w:val="Hyperlink"/>
          </w:rPr>
          <w:t xml:space="preserve">Dynamic spatial conservation boundaries and internal zoning of madagascar from 2000 to 2025</w:t>
        </w:r>
      </w:hyperlink>
    </w:p>
    <w:bookmarkEnd w:id="43"/>
    <w:bookmarkStart w:id="44"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4"/>
    <w:bookmarkStart w:id="45"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5"/>
    <w:bookmarkStart w:id="46"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6"/>
    <w:bookmarkStart w:id="47"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7"/>
    <w:bookmarkStart w:id="48" w:name="ref-lewisDynamicsGlobalProtectedarea2019"/>
    <w:p>
      <w:pPr>
        <w:pStyle w:val="Bibliography"/>
      </w:pPr>
      <w:r>
        <w:t xml:space="preserve">Lewis E, MacSharry B, Juffe-Bignoli D, et al (2019) Dynamics in the global protected-area estate since 2004. Conservation Biology 33:570–579</w:t>
      </w:r>
    </w:p>
    <w:bookmarkEnd w:id="48"/>
    <w:bookmarkStart w:id="49" w:name="ref-Maxwell2020"/>
    <w:p>
      <w:pPr>
        <w:pStyle w:val="Bibliography"/>
      </w:pPr>
      <w:r>
        <w:t xml:space="preserve">Maxwell SL, Cazalis V, Dudley N, et al (2020) Area-based conservation in the twenty-first century. Nature 586:217–227</w:t>
      </w:r>
    </w:p>
    <w:bookmarkEnd w:id="49"/>
    <w:bookmarkStart w:id="50"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0"/>
    <w:bookmarkStart w:id="52" w:name="ref-unepwcmcWDPCAlicense"/>
    <w:p>
      <w:pPr>
        <w:pStyle w:val="Bibliography"/>
      </w:pPr>
      <w:r>
        <w:t xml:space="preserve">UNEP-WCMC (2026)</w:t>
      </w:r>
      <w:r>
        <w:t xml:space="preserve"> </w:t>
      </w:r>
      <w:hyperlink r:id="rId51">
        <w:r>
          <w:rPr>
            <w:rStyle w:val="Hyperlink"/>
          </w:rPr>
          <w:t xml:space="preserve">WDPCA data license</w:t>
        </w:r>
      </w:hyperlink>
    </w:p>
    <w:bookmarkEnd w:id="52"/>
    <w:bookmarkStart w:id="53" w:name="ref-unep2024"/>
    <w:p>
      <w:pPr>
        <w:pStyle w:val="Bibliography"/>
      </w:pPr>
      <w:r>
        <w:t xml:space="preserve">UNEP-WCMC and IUCN (2024) Protected planet report 2024. UNEP-WCMC; IUCN, Cambridge, United Kingdom; Gland, Switzerland</w:t>
      </w:r>
    </w:p>
    <w:bookmarkEnd w:id="53"/>
    <w:bookmarkStart w:id="55"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4">
        <w:r>
          <w:rPr>
            <w:rStyle w:val="Hyperlink"/>
          </w:rPr>
          <w:t xml:space="preserve">http://dx.doi.org/10.5772/intechopen.85348</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2026-10-16T12:01:56Z</dcterms:created>
  <dcterms:modified xsi:type="dcterms:W3CDTF">2026-10-16T12:01:56Z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2026-10-16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