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BodyText"/>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r>
        <w:t xml:space="preserve"> </w:t>
      </w:r>
      <w:r>
        <w:t xml:space="preserve">Additional historical context was drawn from Waeber et al.</w:t>
      </w:r>
      <w:r>
        <w:rPr>
          <w:vertAlign w:val="superscript"/>
        </w:rPr>
        <w:t xml:space="preserve">8</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compared with protected-area boundaries.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 and</w:t>
      </w:r>
      <w:r>
        <w:t xml:space="preserve"> </w:t>
      </w:r>
      <w:r>
        <w:rPr>
          <w:rStyle w:val="VerbatimChar"/>
        </w:rP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rPr>
          <w:rStyle w:val="VerbatimChar"/>
        </w:rPr>
        <w:t xml:space="preserve">amendments.zip</w:t>
      </w:r>
      <w:r>
        <w:t xml:space="preserve"> </w:t>
      </w:r>
      <w:r>
        <w:t xml:space="preserve">contains a snapshot of the version-controlled YAML amendment registry and associated GeoJSON geometries.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BodyText"/>
      </w:pPr>
      <w:r>
        <w:t xml:space="preserve">The temporal reconstruction changes the inferred evolution of protected-area extent. Figure</w:t>
      </w:r>
      <w:r>
        <w:t xml:space="preserve"> </w:t>
      </w:r>
      <w:hyperlink w:anchor="fig-area-comparison">
        <w:r>
          <w:rPr>
            <w:rStyle w:val="Hyperlink"/>
          </w:rPr>
          <w:t xml:space="preserve">Figure 4</w:t>
        </w:r>
      </w:hyperlink>
      <w:r>
        <w:t xml:space="preserve"> </w:t>
      </w:r>
      <w:r>
        <w:t xml:space="preserve">compares the annual national protected-area extent obtained by back-projecting the November 2025 WDPA through</w:t>
      </w:r>
      <w:r>
        <w:t xml:space="preserve"> </w:t>
      </w:r>
      <w:r>
        <w:rPr>
          <w:rStyle w:val="VerbatimChar"/>
        </w:rP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267200" cy="26670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2672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rPr>
                <w:rStyle w:val="VerbatimChar"/>
              </w:rPr>
              <w:t xml:space="preserve">STATUS_YR</w:t>
            </w:r>
            <w:r>
              <w:t xml:space="preserve">; records with an unreported status year are excluded. The temporally extended series uses the external-boundary state in force at the end of each year.</w:t>
            </w:r>
          </w:p>
          <w:bookmarkEnd w:id="31"/>
        </w:tc>
      </w:tr>
    </w:tbl>
    <w:p>
      <w:pPr>
        <w:pStyle w:val="BodyText"/>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Heading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BodyText"/>
      </w:pPr>
      <w:r>
        <w:t xml:space="preserve">Curated amendment geometries were checked during processing and spatial review. Baseline WDPA geometries are retained without silently modifying their topology, in order to preserve source fidelity.</w:t>
      </w:r>
    </w:p>
    <w:p>
      <w:pPr>
        <w:pStyle w:val="BodyText"/>
      </w:pPr>
      <w:hyperlink w:anchor="fig-amendments">
        <w:r>
          <w:rPr>
            <w:rStyle w:val="Hyperlink"/>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3733800" cy="2133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and counts of amendments documented in the YAML registry</w:t>
            </w:r>
          </w:p>
          <w:bookmarkEnd w:id="36"/>
        </w:tc>
      </w:tr>
    </w:tbl>
    <w:bookmarkEnd w:id="37"/>
    <w:bookmarkStart w:id="38"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8"/>
    <w:bookmarkStart w:id="39"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4"/>
    <w:bookmarkStart w:id="60" w:name="references"/>
    <w:p>
      <w:pPr>
        <w:pStyle w:val="Heading1"/>
      </w:pPr>
      <w:r>
        <w:t xml:space="preserve">References</w:t>
      </w:r>
    </w:p>
    <w:bookmarkStart w:id="59" w:name="refs"/>
    <w:bookmarkStart w:id="45" w:name="ref-bingham2019b"/>
    <w:p>
      <w:pPr>
        <w:pStyle w:val="Bibliography"/>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y"/>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y"/>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y"/>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y"/>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y"/>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y"/>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y"/>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Hyperlink"/>
          </w:rPr>
          <w:t xml:space="preserve">http://dx.doi.org/10.5772/intechopen.85348</w:t>
        </w:r>
      </w:hyperlink>
      <w:r>
        <w:t xml:space="preserve">.</w:t>
      </w:r>
    </w:p>
    <w:bookmarkEnd w:id="53"/>
    <w:bookmarkStart w:id="54" w:name="ref-Goodman2018"/>
    <w:p>
      <w:pPr>
        <w:pStyle w:val="Bibliography"/>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y"/>
      </w:pPr>
      <w:r>
        <w:t xml:space="preserve">10.</w:t>
      </w:r>
      <w:r>
        <w:t xml:space="preserve"> </w:t>
      </w:r>
      <w:r>
        <w:t xml:space="preserve">	</w:t>
      </w:r>
      <w:r>
        <w:t xml:space="preserve">UNEP-WCMC.</w:t>
      </w:r>
      <w:r>
        <w:t xml:space="preserve"> </w:t>
      </w:r>
      <w:hyperlink r:id="rId55">
        <w:r>
          <w:rPr>
            <w:rStyle w:val="Hyperlink"/>
          </w:rPr>
          <w:t xml:space="preserve">WDPCA data license</w:t>
        </w:r>
      </w:hyperlink>
      <w:r>
        <w:t xml:space="preserve">. (2026).</w:t>
      </w:r>
    </w:p>
    <w:bookmarkEnd w:id="56"/>
    <w:bookmarkStart w:id="58" w:name="ref-bedecarrats2026dataset"/>
    <w:p>
      <w:pPr>
        <w:pStyle w:val="Bibliography"/>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Hyperlink"/>
          </w:rPr>
          <w:t xml:space="preserve">https://doi.org/10.23708/VN2TWC</w:t>
        </w:r>
      </w:hyperlink>
      <w:r>
        <w:t xml:space="preserve"> </w:t>
      </w:r>
      <w:r>
        <w:t xml:space="preserve">(2026).</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2026-10-20T05:22:51Z</dcterms:created>
  <dcterms:modified xsi:type="dcterms:W3CDTF">2026-10-20T05:22:51Z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