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0.png" ContentType="image/png"/>
  <Override PartName="/word/media/rId1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2026-05-14</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w:t>
      </w:r>
    </w:p>
    <w:p>
      <w:pPr>
        <w:pStyle w:val="FirstParagraph"/>
      </w:pPr>
      <w:r>
        <w:rPr>
          <w:i/>
          <w:iCs/>
        </w:rPr>
        <w:t xml:space="preserve">Corresponding author: Florent Bédécarrats (florent.bedecarrats@ird.fr)</w:t>
      </w:r>
    </w:p>
    <w:bookmarkStart w:id="9" w:name="background-summary"/>
    <w:p>
      <w:pPr>
        <w:pStyle w:val="Heading1"/>
      </w:pPr>
      <w:r>
        <w:t xml:space="preserve">1. 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temporal data model we present here is designed to be generalizable to any country where complementary sources can supplement the WDPA baseline.</w:t>
      </w:r>
    </w:p>
    <w:p>
      <w:pPr>
        <w:pStyle w:val="BodyText"/>
      </w:pPr>
      <w:r>
        <w:t xml:space="preserve">This paper presents three contributions. First, a temporal data model that extends the WDPA with time-bounded states, validity periods, legal source references, and secondary zoning, applicable to any national context. Second, a demonstration dataset covering 123 terrestrial protected areas in Madagascar from 2000 to 2025. Third, an open collaborative infrastructure consisting of a YAML amendment registry and a deterministic consolidation engine that enables other researchers to audit, correct, and extend the dataset through standard version control workflows. An interactive companion website allows visual exploration and verification of the data.</w:t>
      </w:r>
    </w:p>
    <w:bookmarkEnd w:id="9"/>
    <w:bookmarkStart w:id="22" w:name="methods"/>
    <w:p>
      <w:pPr>
        <w:pStyle w:val="Heading1"/>
      </w:pPr>
      <w:r>
        <w:t xml:space="preserve">2. 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methodology is documented in a reproducible notebook accompanying this paper (see supplementary material).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bookmarkStart w:id="14" w:name="input-data"/>
    <w:p>
      <w:pPr>
        <w:pStyle w:val="Heading2"/>
      </w:pPr>
      <w:r>
        <w:t xml:space="preserve">2.1 Input data</w:t>
      </w:r>
    </w:p>
    <w:p>
      <w:pPr>
        <w:pStyle w:val="FirstParagraph"/>
      </w:pPr>
      <w:r>
        <w:t xml:space="preserve">Four categories of input data were assembled: national data from the Madagascar Protected Area System (SAPM), historical snapshots of the WDPA, legal decisions from the national legislative database (CNLEGIS), and expert literature providing historical context and boundary information.</w:t>
      </w:r>
      <w:r>
        <w:t xml:space="preserve"> </w:t>
      </w:r>
      <w:r>
        <w:t xml:space="preserve">Eight successive spatial datasets from SAPM were harmonized:</w:t>
      </w:r>
    </w:p>
    <w:p>
      <w:pPr>
        <w:pStyle w:val="Compact"/>
        <w:numPr>
          <w:ilvl w:val="0"/>
          <w:numId w:val="1001"/>
        </w:numPr>
      </w:pPr>
      <w:r>
        <w:t xml:space="preserve">ANGAP 2002: From the then-only protected area management agency (Agence nationale de gestion des aires protégées)</w:t>
      </w:r>
    </w:p>
    <w:p>
      <w:pPr>
        <w:pStyle w:val="Compact"/>
        <w:numPr>
          <w:ilvl w:val="0"/>
          <w:numId w:val="1001"/>
        </w:numPr>
      </w:pPr>
      <w:r>
        <w:t xml:space="preserve">MNP 2010: dataset produced by Madagascar National Parks (MNP), the name adopted by ANGAP (Agence Nationale pour la Gestion des Aires Protégées) in 2008 as part of an institutional and strategic reorientation aimed in particular at strengthening its long-term financial sustainability, in a context marked by the emergence of new actors — notably national and international conservation NGOs — in the co-management of newly established protected areas under the Durban Vision expansion</w:t>
      </w:r>
    </w:p>
    <w:p>
      <w:pPr>
        <w:pStyle w:val="Compact"/>
        <w:numPr>
          <w:ilvl w:val="0"/>
          <w:numId w:val="1001"/>
        </w:numPr>
      </w:pPr>
      <w:r>
        <w:t xml:space="preserve">SAPM evolution series (2001–2011): from the coordination body that gathered the conservation actors</w:t>
      </w:r>
    </w:p>
    <w:p>
      <w:pPr>
        <w:pStyle w:val="Compact"/>
        <w:numPr>
          <w:ilvl w:val="0"/>
          <w:numId w:val="1001"/>
        </w:numPr>
      </w:pPr>
      <w:r>
        <w:t xml:space="preserve">Vahatra 2017: a complementary source curated in the framework of the Goodman et al.</w:t>
      </w:r>
      <w:r>
        <w:t xml:space="preserve"> </w:t>
      </w:r>
      <w:r>
        <w:t xml:space="preserve">(2018)</w:t>
      </w:r>
      <w:r>
        <w:t xml:space="preserve"> </w:t>
      </w:r>
      <w:r>
        <w:t xml:space="preserve">monograph, which provides curated boundaries and status of 98 terrestrial protected areas up to date in 2015;</w:t>
      </w:r>
    </w:p>
    <w:p>
      <w:pPr>
        <w:pStyle w:val="Compact"/>
        <w:numPr>
          <w:ilvl w:val="0"/>
          <w:numId w:val="1001"/>
        </w:numPr>
      </w:pPr>
      <w:r>
        <w:t xml:space="preserve">SAPM 2017 and 2024 : dataset produced by Madagascar National Parks (MNP), the name adopted by ANGAP (Agence Nationale pour la Gestion des Aires Protégées) in 2008 as part of an institutional and strategic reorientation aimed in particular at strengthening its long-term financial sustainability, in a context marked by the emergence of new actors — notably national and international conservation NGOs — in the co-management of newly established protected areas under the Durban Vision expansionMadagascar is the new name of ANGAP, at a time where new management agencies emerged (international or local NGOs)</w:t>
      </w:r>
      <w:r>
        <w:t xml:space="preserve"> </w:t>
      </w:r>
      <w:r>
        <w:t xml:space="preserve">• SAPM evolution series (2001–2011): from the coordination body that gathered the conservation actors</w:t>
      </w:r>
      <w:r>
        <w:t xml:space="preserve"> </w:t>
      </w:r>
      <w:r>
        <w:t xml:space="preserve">• Vahatra 2017: a complementary source curated in the framework of the Goodman et al. (2018) monograph, which provides curated boundaries and status of 98 terrestrial protected areas up to date in 2015;</w:t>
      </w:r>
      <w:r>
        <w:t xml:space="preserve"> </w:t>
      </w:r>
      <w:r>
        <w:t xml:space="preserve">• SAPM 2017 and 2024: Updated datasets coordinated by the Ministry of Environment and Sustainable Development (MEDD), which has ensured the overall governance and coordination of the protected area system, while working with multiple management entities including Madagascar National Parks and conservation NGOs</w:t>
      </w:r>
    </w:p>
    <w:p>
      <w:pPr>
        <w:pStyle w:val="Compact"/>
        <w:numPr>
          <w:ilvl w:val="0"/>
          <w:numId w:val="1001"/>
        </w:numPr>
      </w:pPr>
      <w:r>
        <w:t xml:space="preserve">Complementary sources identified through an archive searching and manual curation by MNP.</w:t>
      </w:r>
    </w:p>
    <w:p>
      <w:pPr>
        <w:pStyle w:val="FirstParagraph"/>
      </w:pPr>
      <w:r>
        <w:t xml:space="preserve">Each dataset was reprojected, geometries were repaired, and attributes were standardized to a common schema.</w:t>
      </w:r>
    </w:p>
    <w:p>
      <w:pPr>
        <w:pStyle w:val="BodyText"/>
      </w:pPr>
      <w:r>
        <w:t xml:space="preserve">The WDPA historical archive provided 15 annual snapshots (2010–2024) obtained from the AWS Open Data registry and Google Earth Engine monthly archives, serving primarily to establish the baseline attributes and geometries for each protected area and to track schema evolution across versions. The Madagascar subset was extracted and reprojected to the Laborde projection (EPSG:29702), and Blake3 hashing was used to deduplicate identical geometries across snapshots.</w:t>
      </w:r>
    </w:p>
    <w:p>
      <w:pPr>
        <w:pStyle w:val="BodyText"/>
      </w:pPr>
      <w:r>
        <w:t xml:space="preserve">Approximately 200 legal decisions (decrees, ministerial orders, interministerial orders) related to protected areas were extracted from the Centre National de Légistique (CNLEGIS), Madagascar’s official legislative database. An automated pipeline combining web scraping, regular expression classification by decision type, and fuzzy string matching (Levenshtein distance) linked each decision to a WDPAID. This automated processing was complemented by systematic manual reading of legal texts to extract boundary descriptions, effective dates, and status changes not captured by the automated methods.</w:t>
      </w:r>
    </w:p>
    <w:p>
      <w:pPr>
        <w:pStyle w:val="BodyText"/>
      </w:pPr>
      <w:r>
        <w:t xml:space="preserve">Additional historical context was drawn from the three-volume monograph by Goodman et al.</w:t>
      </w:r>
      <w:r>
        <w:t xml:space="preserve"> </w:t>
      </w:r>
      <w:r>
        <w:t xml:space="preserve">(2018)</w:t>
      </w:r>
      <w:r>
        <w:t xml:space="preserve">, which provides creation dates, historical boundaries, and status changes for 98 terrestrial protected areas, and from Waeber et al.</w:t>
      </w:r>
      <w:r>
        <w:t xml:space="preserve"> </w:t>
      </w:r>
      <w:r>
        <w:t xml:space="preserve">(2020)</w:t>
      </w:r>
      <w:r>
        <w:t xml:space="preserve">.</w:t>
      </w:r>
    </w:p>
    <w:bookmarkEnd w:id="14"/>
    <w:bookmarkStart w:id="19" w:name="consolidation-and-verification"/>
    <w:p>
      <w:pPr>
        <w:pStyle w:val="Heading2"/>
      </w:pPr>
      <w:r>
        <w:t xml:space="preserve">2.2 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2.3 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2.4 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9" w:name="data-records"/>
    <w:p>
      <w:pPr>
        <w:pStyle w:val="Heading1"/>
      </w:pPr>
      <w:r>
        <w:t xml:space="preserve">3. Data Records</w:t>
      </w:r>
    </w:p>
    <w:p>
      <w:pPr>
        <w:pStyle w:val="FirstParagraph"/>
      </w:pPr>
      <w:r>
        <w:t xml:space="preserve">The dataset is currently deposited on DataSuds, the institutional research data repository of the Institut de Recherche pour le Développement (IRD), which assigns a persistent DOI. The official reference is:</w:t>
      </w:r>
    </w:p>
    <w:p>
      <w:pPr>
        <w:pStyle w:val="BlockText"/>
      </w:pPr>
      <w:r>
        <w:t xml:space="preserve">Bedecarrats, Florent, Ramanantsoa, Seheno, Andrianambinina, Ollier D. , 2026,</w:t>
      </w:r>
      <w:r>
        <w:t xml:space="preserve"> </w:t>
      </w:r>
      <w:r>
        <w:t xml:space="preserve">“Dynamic spatial conservation boundaries and internal zoning of Madagascar from 2000 to 2025”</w:t>
      </w:r>
      <w:r>
        <w:t xml:space="preserve">, https://doi.org/10.23708/VN2TWC, DataSuds, VERSION PROVISOIRE</w:t>
      </w:r>
    </w:p>
    <w:p>
      <w:pPr>
        <w:pStyle w:val="FirstParagraph"/>
      </w:pPr>
      <w:r>
        <w:t xml:space="preserve">For the peer-review process, the consolidated dataset (</w:t>
      </w:r>
      <w:r>
        <w:rPr>
          <w:rStyle w:val="VerbatimChar"/>
        </w:rPr>
        <w:t xml:space="preserve">.gpkg</w:t>
      </w:r>
      <w:r>
        <w:t xml:space="preserve"> </w:t>
      </w:r>
      <w:r>
        <w:t xml:space="preserve">and</w:t>
      </w:r>
      <w:r>
        <w:t xml:space="preserve"> </w:t>
      </w:r>
      <w:r>
        <w:rPr>
          <w:rStyle w:val="VerbatimChar"/>
        </w:rPr>
        <w:t xml:space="preserve">.parquet</w:t>
      </w:r>
      <w:r>
        <w:t xml:space="preserve">) is currently available via a temporary secure cloud storage link or requires replicating via the source code, pending final permission from UNEP-WCMC for public redistribution of the derived WDPA geometries. The source code is hosted on GitHub at</w:t>
      </w:r>
      <w:r>
        <w:t xml:space="preserve"> </w:t>
      </w:r>
      <w:hyperlink r:id="rId23">
        <w:r>
          <w:rPr>
            <w:rStyle w:val="Hyperlink"/>
          </w:rPr>
          <w:t xml:space="preserve">https://github.com/BETSAKA/conservation-dynamic-madagascar</w:t>
        </w:r>
      </w:hyperlink>
      <w:r>
        <w:t xml:space="preserve"> </w:t>
      </w:r>
      <w:r>
        <w:t xml:space="preserve">and archived via Software Heritage for long-term preservation and persistent identification.</w:t>
      </w:r>
    </w:p>
    <w:p>
      <w:pPr>
        <w:pStyle w:val="BodyText"/>
      </w:pPr>
      <w:r>
        <w:t xml:space="preserve">The dataset is distributed in three complementary forms. The first is a GeoPackage file (</w:t>
      </w:r>
      <w:r>
        <w:rPr>
          <w:rStyle w:val="VerbatimChar"/>
        </w:rPr>
        <w:t xml:space="preserve">dynamic_wdpa_madagascar.gpkg</w:t>
      </w:r>
      <w:r>
        <w:t xml:space="preserve">), an OGC standard format directly compatible with QGIS, ArcGIS, R, and Python. The second is a GeoParquet file (</w:t>
      </w:r>
      <w:r>
        <w:rPr>
          <w:rStyle w:val="VerbatimChar"/>
        </w:rPr>
        <w:t xml:space="preserve">dynamic_wdpa_madagascar.parquet</w:t>
      </w:r>
      <w:r>
        <w:t xml:space="preserve">), a columnar geospatial format optimized for analytical workflows and now also supported by QGIS and ArcGIS in addition to Arrow-based tools in R and Python. The third is the YAML amendment registry (</w:t>
      </w:r>
      <w:r>
        <w:rPr>
          <w:rStyle w:val="VerbatimChar"/>
        </w:rPr>
        <w:t xml:space="preserve">amendments/</w:t>
      </w:r>
      <w:r>
        <w:t xml:space="preserve">), containing per-protected-area YAML files documenting each amendment with its legal source, effective date, and type, accompanied by GeoJSON geometry files where boundaries differ from the WDPA baseline. YAML is a human-readable data serialization format used in this project to systematically document each protected area amendment in a text-based, version-controlled manner.</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4"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Integer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this state’s validity period</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this state’s validity period</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Zone type:</w:t>
                  </w:r>
                  <w:r>
                    <w:t xml:space="preserve"> </w:t>
                  </w:r>
                  <w:r>
                    <w:rPr>
                      <w:rStyle w:val="VerbatimChar"/>
                    </w:rPr>
                    <w:t xml:space="preserve">external_boundary</w:t>
                  </w:r>
                  <w:r>
                    <w:t xml:space="preserve">,</w:t>
                  </w:r>
                  <w:r>
                    <w:t xml:space="preserve"> </w:t>
                  </w:r>
                  <w:r>
                    <w:rPr>
                      <w:rStyle w:val="VerbatimChar"/>
                    </w:rPr>
                    <w:t xml:space="preserve">core_zone</w:t>
                  </w:r>
                  <w:r>
                    <w:t xml:space="preserve">,</w:t>
                  </w:r>
                  <w:r>
                    <w:t xml:space="preserve"> </w:t>
                  </w:r>
                  <w:r>
                    <w:rPr>
                      <w:rStyle w:val="VerbatimChar"/>
                    </w:rPr>
                    <w:t xml:space="preserve">internal_buffer_zone</w:t>
                  </w:r>
                  <w:r>
                    <w:t xml:space="preserve">, or</w:t>
                  </w:r>
                  <w:r>
                    <w:t xml:space="preserve"> </w:t>
                  </w:r>
                  <w:r>
                    <w:rPr>
                      <w:rStyle w:val="VerbatimChar"/>
                    </w:rPr>
                    <w:t xml:space="preserve">external_buffer_zone</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of the zone, if applicable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t xml:space="preserve">Reference to the YAML amendment file or</w:t>
                  </w:r>
                  <w:r>
                    <w:t xml:space="preserve"> </w:t>
                  </w:r>
                  <w:r>
                    <w:rPr>
                      <w:rStyle w:val="VerbatimChar"/>
                    </w:rPr>
                    <w:t xml:space="preserve">"wdpa_baseline"</w:t>
                  </w:r>
                </w:p>
              </w:tc>
            </w:tr>
          </w:tbl>
          <w:bookmarkEnd w:id="24"/>
          <w:p/>
        </w:tc>
      </w:tr>
    </w:tbl>
    <w:p>
      <w:pPr>
        <w:pStyle w:val="BodyText"/>
      </w:pPr>
      <w:r>
        <w:t xml:space="preserve">The dataset covers 123 terrestrial protected areas in Madagascar with a temporal span from 2000 to 2025. Protected areas have between one and several temporal states depending on the documented amendments. Secondary zones are included for 73 protected areas where validated core zone shapefiles were available.</w:t>
      </w:r>
      <w:r>
        <w:t xml:space="preserve"> </w:t>
      </w:r>
      <w:hyperlink w:anchor="fig-map">
        <w:r>
          <w:rPr>
            <w:rStyle w:val="Hyperlink"/>
          </w:rPr>
          <w:t xml:space="preserve">Figure 3</w:t>
        </w:r>
      </w:hyperlink>
      <w:r>
        <w:t xml:space="preserve"> </w:t>
      </w:r>
      <w:r>
        <w:t xml:space="preserve">shows the spatial distribution of protected areas colored by the number of documented temporal states, illustrating where the dataset adds information relative to the static WDPA.</w:t>
      </w:r>
    </w:p>
    <w:tbl>
      <w:tblPr>
        <w:tblStyle w:val="Table"/>
        <w:tblW w:type="pct" w:w="5000"/>
        <w:tblLayout w:type="fixed"/>
        <w:tblLook w:firstRow="0" w:lastRow="0" w:firstColumn="0" w:lastColumn="0" w:noHBand="0" w:noVBand="0" w:val="0000"/>
      </w:tblPr>
      <w:tblGrid>
        <w:gridCol w:w="7920"/>
      </w:tblGrid>
      <w:tr>
        <w:tc>
          <w:tcPr/>
          <w:bookmarkStart w:id="28" w:name="fig-map"/>
          <w:p>
            <w:pPr>
              <w:pStyle w:val="Compact"/>
              <w:jc w:val="center"/>
            </w:pPr>
            <w:r>
              <w:drawing>
                <wp:inline>
                  <wp:extent cx="3733800" cy="7382570"/>
                  <wp:effectExtent b="0" l="0" r="0" t="0"/>
                  <wp:docPr descr="" title="" id="26" name="Picture"/>
                  <a:graphic>
                    <a:graphicData uri="http://schemas.openxmlformats.org/drawingml/2006/picture">
                      <pic:pic>
                        <pic:nvPicPr>
                          <pic:cNvPr descr="figures/fig_map.png" id="27" name="Picture"/>
                          <pic:cNvPicPr>
                            <a:picLocks noChangeArrowheads="1" noChangeAspect="1"/>
                          </pic:cNvPicPr>
                        </pic:nvPicPr>
                        <pic:blipFill>
                          <a:blip r:embed="rId25"/>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w:t>
            </w:r>
          </w:p>
          <w:bookmarkEnd w:id="28"/>
        </w:tc>
      </w:tr>
    </w:tbl>
    <w:p>
      <w:pPr>
        <w:pStyle w:val="BodyText"/>
      </w:pPr>
      <w:r>
        <w:t xml:space="preserve">The data model and the associated infrastructure are designed to be generalizable to any country or region where complementary sources can supplement the WDPA baseline, and extensible to the full diversity of protected area modifications including boundary changes, status reclassifications, governance changes, temporary protections, and any form of internal zoning.</w:t>
      </w:r>
    </w:p>
    <w:bookmarkEnd w:id="29"/>
    <w:bookmarkStart w:id="34" w:name="technical-validation"/>
    <w:p>
      <w:pPr>
        <w:pStyle w:val="Heading1"/>
      </w:pPr>
      <w:r>
        <w:t xml:space="preserve">4. 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All geometries were validated using</w:t>
      </w:r>
      <w:r>
        <w:t xml:space="preserve"> </w:t>
      </w:r>
      <w:r>
        <w:rPr>
          <w:rStyle w:val="VerbatimChar"/>
        </w:rPr>
        <w:t xml:space="preserve">sf::st_make_valid()</w:t>
      </w:r>
      <w:r>
        <w:t xml:space="preserve"> </w:t>
      </w:r>
      <w:r>
        <w:t xml:space="preserve">in R. Core zones were verified to fall within their parent protected area’s external boundaries using spatial containment checks. Coordinate reference system consistency was enforced across all source datasets.</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3" w:name="fig-amendments"/>
          <w:p>
            <w:pPr>
              <w:pStyle w:val="Compact"/>
              <w:jc w:val="center"/>
            </w:pPr>
            <w:r>
              <w:drawing>
                <wp:inline>
                  <wp:extent cx="3733800" cy="2133600"/>
                  <wp:effectExtent b="0" l="0" r="0" t="0"/>
                  <wp:docPr descr="" title="" id="31" name="Picture"/>
                  <a:graphic>
                    <a:graphicData uri="http://schemas.openxmlformats.org/drawingml/2006/picture">
                      <pic:pic>
                        <pic:nvPicPr>
                          <pic:cNvPr descr="figures/fig_amendments.png" id="32" name="Picture"/>
                          <pic:cNvPicPr>
                            <a:picLocks noChangeArrowheads="1" noChangeAspect="1"/>
                          </pic:cNvPicPr>
                        </pic:nvPicPr>
                        <pic:blipFill>
                          <a:blip r:embed="rId30"/>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3"/>
        </w:tc>
      </w:tr>
    </w:tbl>
    <w:bookmarkEnd w:id="34"/>
    <w:bookmarkStart w:id="36" w:name="usage-notes"/>
    <w:p>
      <w:pPr>
        <w:pStyle w:val="Heading1"/>
      </w:pPr>
      <w:r>
        <w:t xml:space="preserve">5. Usage Notes</w:t>
      </w:r>
    </w:p>
    <w:p>
      <w:pPr>
        <w:pStyle w:val="FirstParagraph"/>
      </w:pPr>
      <w:r>
        <w:t xml:space="preserve">The GeoPackage and GeoParquet files can be opened directly in QGIS, ArcGIS, R (with the sf or arrow packages), or Python (with geopandas or pyarrow). The WDPAID field enables direct linkage with global WDPA analyses, allowing users to enrich the standard database with temporal information for Madagascar.</w:t>
      </w:r>
    </w:p>
    <w:p>
      <w:pPr>
        <w:pStyle w:val="BodyText"/>
      </w:pPr>
      <w:r>
        <w:t xml:space="preserve">In the event that pre-compiled datasets cannot be distributed publicly due to WDPA licensing restrictions, users can easily generate the consolidated dataset themselves. By downloading the WDPA baseline directly from Protected Planet (</w:t>
      </w:r>
      <w:hyperlink r:id="rId35">
        <w:r>
          <w:rPr>
            <w:rStyle w:val="Hyperlink"/>
          </w:rPr>
          <w:t xml:space="preserve">https://www.protectedplanet.net/</w:t>
        </w:r>
      </w:hyperlink>
      <w:r>
        <w:t xml:space="preserve">) to their local environment, users can run the open-source Consolidation and Auditing Rules (CAR) R scripts provided in our repository. These automatically apply all YAML amendments to compile the exact same historical spatio-temporal dataset locally.</w:t>
      </w:r>
    </w:p>
    <w:p>
      <w:pPr>
        <w:pStyle w:val="BodyText"/>
      </w:pPr>
      <w:r>
        <w:t xml:space="preserve">For temporal queries, users can filter states by</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w:t>
      </w:r>
      <w:r>
        <w:t xml:space="preserve">to retrieve the configuration of any protected area at a given date. The</w:t>
      </w:r>
      <w:r>
        <w:t xml:space="preserve"> </w:t>
      </w:r>
      <w:r>
        <w:rPr>
          <w:rStyle w:val="VerbatimChar"/>
        </w:rPr>
        <w:t xml:space="preserve">zone_type</w:t>
      </w:r>
      <w:r>
        <w:t xml:space="preserve"> </w:t>
      </w:r>
      <w:r>
        <w:t xml:space="preserve">field distinguishes external boundaries from internal zones, enabling analyses at different spatial scales.</w:t>
      </w:r>
    </w:p>
    <w:p>
      <w:pPr>
        <w:pStyle w:val="BodyText"/>
      </w:pPr>
      <w:r>
        <w:t xml:space="preserve">The YAML amendment registry is designed for collaborative extension. Researchers with access to complementary sources — additional legal texts, historical maps, field boundary surveys — can propose new amendments via GitHub pull requests. The CAR engine will automatically integrate validated amendments into subsequent dataset releases.</w:t>
      </w:r>
    </w:p>
    <w:p>
      <w:pPr>
        <w:pStyle w:val="BodyText"/>
      </w:pPr>
      <w:r>
        <w:t xml:space="preserve">Users should note that the WDPA baseline attributes are subject to UNEP-WCMC licensing terms regarding commercial use. The amendments and the temporal data model itself are released under a CC-BY 4.0 license. An interactive companion website provides visual exploration of the dataset, enabling users to browse individual protected areas, view their temporal trajectories, and compare boundaries across sources and time periods.</w:t>
      </w:r>
    </w:p>
    <w:bookmarkEnd w:id="36"/>
    <w:bookmarkStart w:id="39" w:name="data-availability-statement"/>
    <w:p>
      <w:pPr>
        <w:pStyle w:val="Heading1"/>
      </w:pPr>
      <w:r>
        <w:t xml:space="preserve">6. Data Availability Statement</w:t>
      </w:r>
    </w:p>
    <w:p>
      <w:pPr>
        <w:pStyle w:val="FirstParagraph"/>
      </w:pPr>
      <w:r>
        <w:t xml:space="preserve">The amendment registry (YAML and GeoJSON files) along with the source metadata is deposited on DataSuds, the institutional research data repository of the Institut de Recherche pour le Développement (IRD), under the provisional DOI:</w:t>
      </w:r>
      <w:r>
        <w:t xml:space="preserve"> </w:t>
      </w:r>
      <w:hyperlink r:id="rId37">
        <w:r>
          <w:rPr>
            <w:rStyle w:val="Hyperlink"/>
          </w:rPr>
          <w:t xml:space="preserve">https://doi.org/10.23708/VN2TWC</w:t>
        </w:r>
      </w:hyperlink>
      <w:r>
        <w:t xml:space="preserve">.</w:t>
      </w:r>
    </w:p>
    <w:p>
      <w:pPr>
        <w:pStyle w:val="BodyText"/>
      </w:pPr>
      <w:r>
        <w:t xml:space="preserve">For the purpose of peer review, the fully consolidated datasets (</w:t>
      </w:r>
      <w:r>
        <w:rPr>
          <w:rStyle w:val="VerbatimChar"/>
        </w:rPr>
        <w:t xml:space="preserve">dynamic_wdpa.gpkg</w:t>
      </w:r>
      <w:r>
        <w:t xml:space="preserve"> </w:t>
      </w:r>
      <w:r>
        <w:t xml:space="preserve">and</w:t>
      </w:r>
      <w:r>
        <w:t xml:space="preserve"> </w:t>
      </w:r>
      <w:r>
        <w:rPr>
          <w:rStyle w:val="VerbatimChar"/>
        </w:rPr>
        <w:t xml:space="preserve">dynamic_wdpa.parquet</w:t>
      </w:r>
      <w:r>
        <w:t xml:space="preserve">) and the source amendment registry are provided via a secure, anonymous institutional drive. Reviewers can instantly and anonymously download the data without any login or password requirements at the following temporary link:</w:t>
      </w:r>
      <w:r>
        <w:t xml:space="preserve"> </w:t>
      </w:r>
      <w:hyperlink r:id="rId38">
        <w:r>
          <w:rPr>
            <w:rStyle w:val="Hyperlink"/>
          </w:rPr>
          <w:t xml:space="preserve">https://drive.ird.fr/s/cqo3bZr8RSA2LAM</w:t>
        </w:r>
      </w:hyperlink>
    </w:p>
    <w:p>
      <w:pPr>
        <w:pStyle w:val="BodyText"/>
      </w:pPr>
      <w:r>
        <w:t xml:space="preserve">This dual-hosting arrangement is maintained pending final permission from UNEP-WCMC to publicly redistribute geometries derived from the WDPA baseline. Once permission is secured, the compiled geodata will be integrated directly into the DataSuds repository.</w:t>
      </w:r>
    </w:p>
    <w:bookmarkEnd w:id="39"/>
    <w:bookmarkStart w:id="40" w:name="code-availability"/>
    <w:p>
      <w:pPr>
        <w:pStyle w:val="Heading1"/>
      </w:pPr>
      <w:r>
        <w:t xml:space="preserve">7. Code Availability</w:t>
      </w:r>
    </w:p>
    <w:p>
      <w:pPr>
        <w:pStyle w:val="FirstParagraph"/>
      </w:pPr>
      <w:r>
        <w:t xml:space="preserve">All source code is available at</w:t>
      </w:r>
      <w:r>
        <w:t xml:space="preserve"> </w:t>
      </w:r>
      <w:hyperlink r:id="rId23">
        <w:r>
          <w:rPr>
            <w:rStyle w:val="Hyperlink"/>
          </w:rPr>
          <w:t xml:space="preserve">https://github.com/BETSAKA/conservation-dynamic-madagascar</w:t>
        </w:r>
      </w:hyperlink>
      <w:r>
        <w:t xml:space="preserve"> </w:t>
      </w:r>
      <w:r>
        <w:t xml:space="preserve">under a CC-BY 4.0 license. The repository contains the complete Quarto book documenting all processing steps across nine chapters, the Shiny verification application, and the CAR consolidation engine. The code is archived via Software Heritage for long-term preservation, providing a persistent software identifier (SWHID).</w:t>
      </w:r>
    </w:p>
    <w:bookmarkEnd w:id="40"/>
    <w:bookmarkStart w:id="41" w:name="acknowledgements"/>
    <w:p>
      <w:pPr>
        <w:pStyle w:val="Heading1"/>
      </w:pPr>
      <w:r>
        <w:t xml:space="preserve">8. 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Heading1"/>
      </w:pPr>
      <w:r>
        <w:t xml:space="preserve">9. 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Heading1"/>
      </w:pPr>
      <w:r>
        <w:t xml:space="preserve">10. 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Heading1"/>
      </w:pPr>
      <w:r>
        <w:t xml:space="preserve">11. 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4"/>
    <w:bookmarkStart w:id="45" w:name="funding-1"/>
    <w:p>
      <w:pPr>
        <w:pStyle w:val="Heading1"/>
      </w:pPr>
      <w:r>
        <w:t xml:space="preserve">12. Funding</w:t>
      </w:r>
    </w:p>
    <w:p>
      <w:pPr>
        <w:pStyle w:val="FirstParagraph"/>
      </w:pPr>
      <w:r>
        <w:t xml:space="preserve">BETSAKA project, supported by KfW, Agence Française de Développement (AFD), Institut de Recherche pour le Développement (IRD), and Agence Nationale de la Recherche (ANR).</w:t>
      </w:r>
    </w:p>
    <w:bookmarkEnd w:id="45"/>
    <w:bookmarkStart w:id="57" w:name="references"/>
    <w:p>
      <w:pPr>
        <w:pStyle w:val="Heading1"/>
      </w:pPr>
      <w:r>
        <w:t xml:space="preserve">13. References</w:t>
      </w:r>
    </w:p>
    <w:bookmarkStart w:id="56" w:name="refs"/>
    <w:bookmarkStart w:id="46"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6"/>
    <w:bookmarkStart w:id="47"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7"/>
    <w:bookmarkStart w:id="48"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8"/>
    <w:bookmarkStart w:id="49"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9"/>
    <w:bookmarkStart w:id="50" w:name="ref-lewisDynamicsGlobalProtectedarea2019"/>
    <w:p>
      <w:pPr>
        <w:pStyle w:val="Bibliography"/>
      </w:pPr>
      <w:r>
        <w:t xml:space="preserve">Lewis E, MacSharry B, Juffe-Bignoli D, et al (2019) Dynamics in the global protected-area estate since 2004. Conservation Biology 33:570–579</w:t>
      </w:r>
    </w:p>
    <w:bookmarkEnd w:id="50"/>
    <w:bookmarkStart w:id="51" w:name="ref-Maxwell2020"/>
    <w:p>
      <w:pPr>
        <w:pStyle w:val="Bibliography"/>
      </w:pPr>
      <w:r>
        <w:t xml:space="preserve">Maxwell SL, Cazalis V, Dudley N, et al (2020) Area-based conservation in the twenty-first century. Nature 586:217–227</w:t>
      </w:r>
    </w:p>
    <w:bookmarkEnd w:id="51"/>
    <w:bookmarkStart w:id="52"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2"/>
    <w:bookmarkStart w:id="53" w:name="ref-unep2024"/>
    <w:p>
      <w:pPr>
        <w:pStyle w:val="Bibliography"/>
      </w:pPr>
      <w:r>
        <w:t xml:space="preserve">UNEP-WCMC and IUCN (2024) Protected planet report 2024. UNEP-WCMC; IUCN, Cambridge, United Kingdom; Gland, Switzerland</w:t>
      </w:r>
    </w:p>
    <w:bookmarkEnd w:id="53"/>
    <w:bookmarkStart w:id="55"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4">
        <w:r>
          <w:rPr>
            <w:rStyle w:val="Hyperlink"/>
          </w:rPr>
          <w:t xml:space="preserve">http://dx.doi.org/10.5772/intechopen.85348</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hyperlink" Id="rId54" Target="http://dx.doi.org/10.5772/intechopen.85348" TargetMode="External" /><Relationship Type="http://schemas.openxmlformats.org/officeDocument/2006/relationships/hyperlink" Id="rId37" Target="https://doi.org/10.23708/VN2TWC" TargetMode="External" /><Relationship Type="http://schemas.openxmlformats.org/officeDocument/2006/relationships/hyperlink" Id="rId38" Target="https://drive.ird.fr/s/cqo3bZr8RSA2LAM" TargetMode="External" /><Relationship Type="http://schemas.openxmlformats.org/officeDocument/2006/relationships/hyperlink" Id="rId23" Target="https://github.com/BETSAKA/conservation-dynamic-madagascar" TargetMode="External" /><Relationship Type="http://schemas.openxmlformats.org/officeDocument/2006/relationships/hyperlink" Id="rId35" Target="https://www.protectedplanet.net/" TargetMode="External" /></Relationships>
</file>

<file path=word/_rels/footnotes.xml.rels><?xml version="1.0" encoding="UTF-8"?><Relationships xmlns="http://schemas.openxmlformats.org/package/2006/relationships"><Relationship Type="http://schemas.openxmlformats.org/officeDocument/2006/relationships/hyperlink" Id="rId54" Target="http://dx.doi.org/10.5772/intechopen.85348" TargetMode="External" /><Relationship Type="http://schemas.openxmlformats.org/officeDocument/2006/relationships/hyperlink" Id="rId37" Target="https://doi.org/10.23708/VN2TWC" TargetMode="External" /><Relationship Type="http://schemas.openxmlformats.org/officeDocument/2006/relationships/hyperlink" Id="rId38" Target="https://drive.ird.fr/s/cqo3bZr8RSA2LAM" TargetMode="External" /><Relationship Type="http://schemas.openxmlformats.org/officeDocument/2006/relationships/hyperlink" Id="rId23" Target="https://github.com/BETSAKA/conservation-dynamic-madagascar" TargetMode="External" /><Relationship Type="http://schemas.openxmlformats.org/officeDocument/2006/relationships/hyperlink" Id="rId35" Target="https://www.protectedplane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2026-05-14T12:43:28Z</dcterms:created>
  <dcterms:modified xsi:type="dcterms:W3CDTF">2026-05-14T12:43:28Z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2026-05-14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