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170E" w14:textId="77777777" w:rsidR="004E3978" w:rsidRDefault="00000000">
      <w:pPr>
        <w:pStyle w:val="Title"/>
      </w:pPr>
      <w:r>
        <w:t>A replicable temporal extension of protected area geodata applied to 123 sites in Madagascar</w:t>
      </w:r>
    </w:p>
    <w:p w14:paraId="5C0C5318" w14:textId="77777777" w:rsidR="004E3978" w:rsidRDefault="00000000">
      <w:pPr>
        <w:pStyle w:val="Author"/>
      </w:pPr>
      <w:r>
        <w:t>Florent Bédécarrats</w:t>
      </w:r>
    </w:p>
    <w:p w14:paraId="5FDCA5D8" w14:textId="77777777" w:rsidR="004E3978" w:rsidRDefault="00000000">
      <w:pPr>
        <w:pStyle w:val="Author"/>
      </w:pPr>
      <w:r>
        <w:t>Seheno Ramanantsoa</w:t>
      </w:r>
    </w:p>
    <w:p w14:paraId="2ED33F6A" w14:textId="77777777" w:rsidR="004E3978" w:rsidRDefault="00000000">
      <w:pPr>
        <w:pStyle w:val="Author"/>
      </w:pPr>
      <w:r>
        <w:t>Ollier D. Andrianambinina</w:t>
      </w:r>
    </w:p>
    <w:p w14:paraId="79348737" w14:textId="77777777" w:rsidR="004E3978" w:rsidRDefault="00000000">
      <w:pPr>
        <w:pStyle w:val="Date"/>
      </w:pPr>
      <w:r>
        <w:t>2026-05-14</w:t>
      </w:r>
    </w:p>
    <w:p w14:paraId="6F3454A5" w14:textId="77777777" w:rsidR="004E3978" w:rsidRDefault="00000000">
      <w:pPr>
        <w:pStyle w:val="AbstractTitle"/>
      </w:pPr>
      <w:r>
        <w:t>Abstract</w:t>
      </w:r>
    </w:p>
    <w:p w14:paraId="45A02DF6" w14:textId="77777777" w:rsidR="004E3978" w:rsidRDefault="00000000">
      <w:pPr>
        <w:pStyle w:val="Abstract"/>
      </w:pPr>
      <w:r>
        <w:t>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14:paraId="2D0FFF20" w14:textId="77777777" w:rsidR="004E3978" w:rsidRDefault="00000000">
      <w:pPr>
        <w:pStyle w:val="FirstParagraph"/>
      </w:pPr>
      <w:r>
        <w:rPr>
          <w:i/>
          <w:iCs/>
        </w:rPr>
        <w:t>Corresponding author: Florent Bédécarrats (florent.bedecarrats@ird.fr)</w:t>
      </w:r>
    </w:p>
    <w:p w14:paraId="59BB3069" w14:textId="77777777" w:rsidR="004E3978" w:rsidRDefault="00000000">
      <w:pPr>
        <w:pStyle w:val="Heading1"/>
      </w:pPr>
      <w:bookmarkStart w:id="0" w:name="background-summary"/>
      <w:r>
        <w:t>1. Background &amp; Summary</w:t>
      </w:r>
    </w:p>
    <w:p w14:paraId="7D3D186A" w14:textId="77777777" w:rsidR="004E3978" w:rsidRDefault="00000000">
      <w:pPr>
        <w:pStyle w:val="FirstParagraph"/>
      </w:pPr>
      <w:r>
        <w:t>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 (Bingham et al. 2019b).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 (Maxwell et al. 2020).</w:t>
      </w:r>
    </w:p>
    <w:p w14:paraId="2BDE8668" w14:textId="77777777" w:rsidR="004E3978" w:rsidRDefault="00000000">
      <w:pPr>
        <w:pStyle w:val="BodyText"/>
      </w:pPr>
      <w:r>
        <w:lastRenderedPageBreak/>
        <w:t>The WDPA, however, was designed as a snapshot database. It records the current state of each protected area, and when boundaries or designations change, the previous configuration is overwritten. The WDPA user manual itself warns against using the STATUS_YR field for historical analysis, and degazetted sites are simply removed from the database (Bingham et al. 2019a). This structural limitation has been recognized in the literature on protected area downgrading, downsizing, and degazettement (PADDD). Symes et al. (2016) examined the factors driving PADDD events in the tropics and subtropics, showing that protected areas are not permanent — they can be reduced, reclassified, or revoked entirely. Lewis et al. (2019) 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14:paraId="12D70CD7" w14:textId="77777777" w:rsidR="004E3978" w:rsidRDefault="00000000">
      <w:pPr>
        <w:pStyle w:val="BodyText"/>
      </w:pPr>
      <w:r>
        <w:t>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14:paraId="5F144B67" w14:textId="77777777" w:rsidR="004E3978" w:rsidRDefault="00000000">
      <w:pPr>
        <w:pStyle w:val="BodyText"/>
      </w:pPr>
      <w:r>
        <w:t>A further dimension that static snapshot databases fail to capture is the internal zoning of protected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internal buffer zones where regulated resource use by surrounding communities may be permitted. The term “buffer zone” is used in the literature to refer both to areas surrounding core zones within protected areas and to areas surrounding the external boundary of protected areas (Ebregt and De Greve 2000). To avoid ambiguity, we distinguish throughout this manuscript and dataset between “internal buffer zones” and “external buffer zones.”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p>
    <w:p w14:paraId="289D8A35" w14:textId="77777777" w:rsidR="004E3978" w:rsidRDefault="00000000">
      <w:pPr>
        <w:pStyle w:val="BodyText"/>
      </w:pPr>
      <w:r>
        <w:lastRenderedPageBreak/>
        <w:t>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biais in their results. It is also relevant for policymakers, as protected areas have become a major instrument of spatial planning, with global terrestrial coverage exceeding 17% in 2023 (UNEP-WCMC and IUCN 2024). It also matters for conservation practitioners and local stakeholders, because shared spatial references support more transparent and equitable management.</w:t>
      </w:r>
    </w:p>
    <w:p w14:paraId="3ECBDA49" w14:textId="77777777" w:rsidR="004E3978" w:rsidRDefault="00000000">
      <w:pPr>
        <w:pStyle w:val="BodyText"/>
      </w:pPr>
      <w:r>
        <w:t>Madagascar offers a particularly instructive demonstration case. The island is one of the world’s foremost biodiversity hotspots, with forests sheltering over 80% of its biodiversity and endemism rates exceeding 80% across many taxonomic groups (Waeber et al. 2020). Its conservation history spans colonial-era strict nature reserves, post-independence national parks, and a rapid expansion following the 2003 Durban Vision, in which the government committed to tripling the protected surface to six million hectares (Waeber et al. 2020). This complex trajectory has been meticulously documented by Goodman et al. (2018) 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14:paraId="2D8203DA" w14:textId="77777777" w:rsidR="004E3978" w:rsidRDefault="00000000">
      <w:pPr>
        <w:pStyle w:val="BodyText"/>
      </w:pPr>
      <w:r>
        <w:t>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14:paraId="6FDA9A29" w14:textId="77777777" w:rsidR="004E3978" w:rsidRDefault="00000000">
      <w:pPr>
        <w:pStyle w:val="BodyText"/>
      </w:pPr>
      <w:r>
        <w:t>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p w14:paraId="3058FA2D" w14:textId="77777777" w:rsidR="004E3978" w:rsidRDefault="00000000">
      <w:pPr>
        <w:pStyle w:val="Heading1"/>
      </w:pPr>
      <w:bookmarkStart w:id="1" w:name="methods"/>
      <w:bookmarkEnd w:id="0"/>
      <w:r>
        <w:t>2. Methods</w:t>
      </w:r>
    </w:p>
    <w:p w14:paraId="60825DBF" w14:textId="77777777" w:rsidR="004E3978" w:rsidRDefault="00000000">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Access to institutional datasets and validation processes was </w:t>
      </w:r>
      <w:r>
        <w:lastRenderedPageBreak/>
        <w:t>facilitated through close collaboration with national authorities, ensuring consistency with official records and operational practices.</w:t>
      </w:r>
    </w:p>
    <w:p w14:paraId="04535A95" w14:textId="77777777" w:rsidR="004E3978" w:rsidRDefault="00000000">
      <w:pPr>
        <w:pStyle w:val="BodyText"/>
      </w:pPr>
      <w:r>
        <w:t xml:space="preserve">The complete methodology is documented in a reproducible notebook accompanying this paper (see supplementary material). We summarize the key steps below and illustrate the overall workflow in </w:t>
      </w:r>
      <w:hyperlink w:anchor="fig-workflow">
        <w:r>
          <w:rPr>
            <w:rStyle w:val="Hyperlink"/>
          </w:rPr>
          <w:t>Figure 1</w:t>
        </w:r>
      </w:hyperlink>
      <w:r>
        <w:t>.</w:t>
      </w:r>
    </w:p>
    <w:tbl>
      <w:tblPr>
        <w:tblStyle w:val="Table"/>
        <w:tblW w:w="5000" w:type="pct"/>
        <w:tblLayout w:type="fixed"/>
        <w:tblLook w:val="0000" w:firstRow="0" w:lastRow="0" w:firstColumn="0" w:lastColumn="0" w:noHBand="0" w:noVBand="0"/>
      </w:tblPr>
      <w:tblGrid>
        <w:gridCol w:w="9360"/>
      </w:tblGrid>
      <w:tr w:rsidR="004E3978" w14:paraId="753AA8A1" w14:textId="77777777">
        <w:tc>
          <w:tcPr>
            <w:tcW w:w="7920" w:type="dxa"/>
          </w:tcPr>
          <w:p w14:paraId="0CC6B2B7" w14:textId="77777777" w:rsidR="004E3978" w:rsidRDefault="00000000">
            <w:pPr>
              <w:pStyle w:val="Compact"/>
              <w:jc w:val="center"/>
            </w:pPr>
            <w:bookmarkStart w:id="2" w:name="fig-workflow"/>
            <w:r>
              <w:rPr>
                <w:noProof/>
              </w:rPr>
              <w:drawing>
                <wp:inline distT="0" distB="0" distL="0" distR="0" wp14:anchorId="57807B19" wp14:editId="76FF46B8">
                  <wp:extent cx="5334000" cy="287156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Data_preparation_workflow.drawio.png"/>
                          <pic:cNvPicPr>
                            <a:picLocks noChangeAspect="1" noChangeArrowheads="1"/>
                          </pic:cNvPicPr>
                        </pic:nvPicPr>
                        <pic:blipFill>
                          <a:blip r:embed="rId7"/>
                          <a:stretch>
                            <a:fillRect/>
                          </a:stretch>
                        </pic:blipFill>
                        <pic:spPr bwMode="auto">
                          <a:xfrm>
                            <a:off x="0" y="0"/>
                            <a:ext cx="5334000" cy="2871560"/>
                          </a:xfrm>
                          <a:prstGeom prst="rect">
                            <a:avLst/>
                          </a:prstGeom>
                          <a:noFill/>
                          <a:ln w="9525">
                            <a:noFill/>
                            <a:headEnd/>
                            <a:tailEnd/>
                          </a:ln>
                        </pic:spPr>
                      </pic:pic>
                    </a:graphicData>
                  </a:graphic>
                </wp:inline>
              </w:drawing>
            </w:r>
          </w:p>
          <w:p w14:paraId="3DC2CCE1" w14:textId="77777777" w:rsidR="004E3978" w:rsidRDefault="00000000">
            <w:pPr>
              <w:pStyle w:val="ImageCaption"/>
              <w:spacing w:before="200"/>
            </w:pPr>
            <w:r>
              <w:t>Figure 1: Workflow diagram of the data processing pipeline</w:t>
            </w:r>
          </w:p>
        </w:tc>
        <w:bookmarkEnd w:id="2"/>
      </w:tr>
    </w:tbl>
    <w:p w14:paraId="666420F9" w14:textId="77777777" w:rsidR="004E3978" w:rsidRDefault="00000000">
      <w:pPr>
        <w:pStyle w:val="Heading2"/>
      </w:pPr>
      <w:bookmarkStart w:id="3" w:name="input-data"/>
      <w:r>
        <w:t>2.1 Input data</w:t>
      </w:r>
    </w:p>
    <w:p w14:paraId="2A51CD4B" w14:textId="77777777" w:rsidR="004E3978" w:rsidRDefault="00000000">
      <w:pPr>
        <w:pStyle w:val="FirstParagraph"/>
      </w:pPr>
      <w:r>
        <w:t>Four categories of input data were assembled: national data from the Madagascar Protected Area System (SAPM), historical snapshots of the WDPA, legal decisions from the national legislative database (CNLEGIS), and expert literature providing historical context and boundary information. Eight successive spatial datasets from SAPM were harmonized:</w:t>
      </w:r>
    </w:p>
    <w:p w14:paraId="1F3D921C" w14:textId="77777777" w:rsidR="004E3978" w:rsidRDefault="00000000">
      <w:pPr>
        <w:pStyle w:val="Compact"/>
        <w:numPr>
          <w:ilvl w:val="0"/>
          <w:numId w:val="2"/>
        </w:numPr>
      </w:pPr>
      <w:r>
        <w:t>ANGAP 2002: From the then-only protected area management agency (Agence nationale de gestion des aires protégées)</w:t>
      </w:r>
    </w:p>
    <w:p w14:paraId="181B0A2D" w14:textId="77777777" w:rsidR="004E3978" w:rsidRDefault="00000000">
      <w:pPr>
        <w:pStyle w:val="Compact"/>
        <w:numPr>
          <w:ilvl w:val="0"/>
          <w:numId w:val="2"/>
        </w:numPr>
      </w:pPr>
      <w:r>
        <w:t>MNP 2010: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p>
    <w:p w14:paraId="60621732" w14:textId="77777777" w:rsidR="004E3978" w:rsidRDefault="00000000">
      <w:pPr>
        <w:pStyle w:val="Compact"/>
        <w:numPr>
          <w:ilvl w:val="0"/>
          <w:numId w:val="2"/>
        </w:numPr>
      </w:pPr>
      <w:r>
        <w:t>SAPM evolution series (2001–2011): from the coordination body that gathered the conservation actors</w:t>
      </w:r>
    </w:p>
    <w:p w14:paraId="2E20B182" w14:textId="77777777" w:rsidR="004E3978" w:rsidRDefault="00000000">
      <w:pPr>
        <w:pStyle w:val="Compact"/>
        <w:numPr>
          <w:ilvl w:val="0"/>
          <w:numId w:val="2"/>
        </w:numPr>
      </w:pPr>
      <w:r>
        <w:lastRenderedPageBreak/>
        <w:t>Vahatra 2017: a complementary source curated in the framework of the Goodman et al. (2018) monograph, which provides curated boundaries and status of 98 terrestrial protected areas up to date in 2015;</w:t>
      </w:r>
    </w:p>
    <w:p w14:paraId="3746819F" w14:textId="77777777" w:rsidR="004E3978" w:rsidRDefault="00000000">
      <w:pPr>
        <w:pStyle w:val="Compact"/>
        <w:numPr>
          <w:ilvl w:val="0"/>
          <w:numId w:val="2"/>
        </w:numPr>
      </w:pPr>
      <w:r>
        <w:t>SAPM 2017 and 2024 :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expansionMadagascar is the new name of ANGAP, at a time where new management agencies emerged (international or local NGOs) • SAPM evolution series (2001–2011): from the coordination body that gathered the conservation actors • Vahatra 2017: a complementary source curated in the framework of the Goodman et al. (2018) monograph, which provides curated boundaries and status of 98 terrestrial protected areas up to date in 2015; • SAPM 2017 and 2024: Updated datasets coordinated by the Ministry of Environment and Sustainable Development (MEDD), which has ensured the overall governance and coordination of the protected area system, while working with multiple management entities including Madagascar National Parks and conservation NGOs</w:t>
      </w:r>
    </w:p>
    <w:p w14:paraId="26E78FD9" w14:textId="77777777" w:rsidR="004E3978" w:rsidRDefault="00000000">
      <w:pPr>
        <w:pStyle w:val="Compact"/>
        <w:numPr>
          <w:ilvl w:val="0"/>
          <w:numId w:val="2"/>
        </w:numPr>
      </w:pPr>
      <w:r>
        <w:t>Complementary sources identified through an archive searching and manual curation by MNP.</w:t>
      </w:r>
    </w:p>
    <w:p w14:paraId="1C863E91" w14:textId="77777777" w:rsidR="004E3978" w:rsidRDefault="00000000">
      <w:pPr>
        <w:pStyle w:val="FirstParagraph"/>
      </w:pPr>
      <w:r>
        <w:t>Each dataset was reprojected, geometries were repaired, and attributes were standardized to a common schema.</w:t>
      </w:r>
    </w:p>
    <w:p w14:paraId="651B0622" w14:textId="77777777" w:rsidR="004E3978" w:rsidRDefault="00000000">
      <w:pPr>
        <w:pStyle w:val="BodyText"/>
      </w:pPr>
      <w:r>
        <w:t>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14:paraId="58C72ECD" w14:textId="77777777" w:rsidR="004E3978" w:rsidRDefault="00000000">
      <w:pPr>
        <w:pStyle w:val="BodyText"/>
      </w:pPr>
      <w:r>
        <w:t>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14:paraId="6C5B5040" w14:textId="77777777" w:rsidR="004E3978" w:rsidRDefault="00000000">
      <w:pPr>
        <w:pStyle w:val="BodyText"/>
      </w:pPr>
      <w:r>
        <w:t>Additional historical context was drawn from the three-volume monograph by Goodman et al. (2018), which provides creation dates, historical boundaries, and status changes for 98 terrestrial protected areas, and from Waeber et al. (2020).</w:t>
      </w:r>
    </w:p>
    <w:p w14:paraId="0622A908" w14:textId="77777777" w:rsidR="004E3978" w:rsidRDefault="00000000">
      <w:pPr>
        <w:pStyle w:val="Heading2"/>
      </w:pPr>
      <w:bookmarkStart w:id="4" w:name="consolidation-and-verification"/>
      <w:bookmarkEnd w:id="3"/>
      <w:r>
        <w:lastRenderedPageBreak/>
        <w:t>2.2 Consolidation and verification</w:t>
      </w:r>
    </w:p>
    <w:p w14:paraId="7ABB3C18" w14:textId="77777777" w:rsidR="004E3978" w:rsidRDefault="00000000">
      <w:pPr>
        <w:pStyle w:val="FirstParagraph"/>
      </w:pPr>
      <w:r>
        <w:t>Records from all four sources were matched to WDPA identifiers through a combination of spatial matching (centroid distance and polygon overlap ratios) and string-distance matching on protected area names. This step resolved name variants and multi-polygon entities.</w:t>
      </w:r>
    </w:p>
    <w:p w14:paraId="7BFD5AA7" w14:textId="77777777" w:rsidR="004E3978" w:rsidRDefault="00000000">
      <w:pPr>
        <w:pStyle w:val="BodyText"/>
      </w:pPr>
      <w:r>
        <w:t>A Shiny web application was developed and deployed for domain expert review. domain expert review. The validation involved protected area managers, GIS specialists from MEDD and Madagascar National Parks, and researchers with long-term experience on Madagascar’s protected area system.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14:paraId="418BB546" w14:textId="77777777" w:rsidR="004E3978" w:rsidRDefault="00000000">
      <w:pPr>
        <w:pStyle w:val="BodyText"/>
      </w:pPr>
      <w:r>
        <w:t>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14:paraId="27B61AF8" w14:textId="77777777" w:rsidR="004E3978" w:rsidRDefault="00000000">
      <w:pPr>
        <w:pStyle w:val="BodyText"/>
      </w:pPr>
      <w:r>
        <w:t xml:space="preserve">For approximately 25 protected areas with complex histories, a detailed case-by-case review was conducted, cross-referencing legal decisions, historical boundaries from Goodman et al. (2018), and successive SAPM datasets. </w:t>
      </w:r>
      <w:hyperlink w:anchor="fig-examples">
        <w:r>
          <w:rPr>
            <w:rStyle w:val="Hyperlink"/>
          </w:rPr>
          <w:t>Figure 2</w:t>
        </w:r>
      </w:hyperlink>
      <w:r>
        <w:t xml:space="preserve"> illustrates three such cases. Amendments were documented in Spatial Amendment Tables (SAT) for geometries and Feature Attribute Tables (FAT) for attributes, then exported to the canonical YAML format.</w:t>
      </w:r>
    </w:p>
    <w:tbl>
      <w:tblPr>
        <w:tblStyle w:val="Table"/>
        <w:tblW w:w="5000" w:type="pct"/>
        <w:tblLayout w:type="fixed"/>
        <w:tblLook w:val="0000" w:firstRow="0" w:lastRow="0" w:firstColumn="0" w:lastColumn="0" w:noHBand="0" w:noVBand="0"/>
      </w:tblPr>
      <w:tblGrid>
        <w:gridCol w:w="9360"/>
      </w:tblGrid>
      <w:tr w:rsidR="004E3978" w14:paraId="134BE440" w14:textId="77777777">
        <w:tc>
          <w:tcPr>
            <w:tcW w:w="7920" w:type="dxa"/>
          </w:tcPr>
          <w:p w14:paraId="10355C16" w14:textId="77777777" w:rsidR="004E3978" w:rsidRDefault="00000000">
            <w:pPr>
              <w:pStyle w:val="Compact"/>
              <w:jc w:val="center"/>
            </w:pPr>
            <w:bookmarkStart w:id="5" w:name="fig-examples"/>
            <w:r>
              <w:rPr>
                <w:noProof/>
              </w:rPr>
              <w:lastRenderedPageBreak/>
              <w:drawing>
                <wp:inline distT="0" distB="0" distL="0" distR="0" wp14:anchorId="3A48FC7A" wp14:editId="1D0AA313">
                  <wp:extent cx="5334000" cy="466725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es/fig_examples.png"/>
                          <pic:cNvPicPr>
                            <a:picLocks noChangeAspect="1" noChangeArrowheads="1"/>
                          </pic:cNvPicPr>
                        </pic:nvPicPr>
                        <pic:blipFill>
                          <a:blip r:embed="rId8"/>
                          <a:stretch>
                            <a:fillRect/>
                          </a:stretch>
                        </pic:blipFill>
                        <pic:spPr bwMode="auto">
                          <a:xfrm>
                            <a:off x="0" y="0"/>
                            <a:ext cx="5334000" cy="4667250"/>
                          </a:xfrm>
                          <a:prstGeom prst="rect">
                            <a:avLst/>
                          </a:prstGeom>
                          <a:noFill/>
                          <a:ln w="9525">
                            <a:noFill/>
                            <a:headEnd/>
                            <a:tailEnd/>
                          </a:ln>
                        </pic:spPr>
                      </pic:pic>
                    </a:graphicData>
                  </a:graphic>
                </wp:inline>
              </w:drawing>
            </w:r>
          </w:p>
          <w:p w14:paraId="6A1A701C" w14:textId="77777777" w:rsidR="004E3978" w:rsidRDefault="00000000">
            <w:pPr>
              <w:pStyle w:val="ImageCaption"/>
              <w:spacing w:before="200"/>
            </w:pPr>
            <w:r>
              <w:t>Figure 2: Temporal reconstruction for three protected areas</w:t>
            </w:r>
          </w:p>
        </w:tc>
        <w:bookmarkEnd w:id="5"/>
      </w:tr>
    </w:tbl>
    <w:p w14:paraId="61802B50" w14:textId="77777777" w:rsidR="004E3978" w:rsidRDefault="00000000">
      <w:pPr>
        <w:pStyle w:val="Heading2"/>
      </w:pPr>
      <w:bookmarkStart w:id="6" w:name="yaml-amendment-registry"/>
      <w:bookmarkEnd w:id="4"/>
      <w:r>
        <w:t>2.3 YAML amendment registry</w:t>
      </w:r>
    </w:p>
    <w:p w14:paraId="0D0A8185" w14:textId="77777777" w:rsidR="004E3978" w:rsidRDefault="00000000">
      <w:pPr>
        <w:pStyle w:val="FirstParagraph"/>
      </w:pPr>
      <w:r>
        <w:t>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14:paraId="67177C8B" w14:textId="77777777" w:rsidR="004E3978" w:rsidRDefault="00000000">
      <w:pPr>
        <w:pStyle w:val="BodyText"/>
      </w:pPr>
      <w:r>
        <w:t>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p w14:paraId="0B11C74D" w14:textId="77777777" w:rsidR="004E3978" w:rsidRDefault="00000000">
      <w:pPr>
        <w:pStyle w:val="Heading2"/>
      </w:pPr>
      <w:bookmarkStart w:id="7" w:name="consolidation-and-auditing-rules"/>
      <w:bookmarkEnd w:id="6"/>
      <w:r>
        <w:lastRenderedPageBreak/>
        <w:t>2.4 Consolidation and Auditing Rules</w:t>
      </w:r>
    </w:p>
    <w:p w14:paraId="4417908A" w14:textId="77777777" w:rsidR="004E3978" w:rsidRDefault="00000000">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 </w:t>
      </w:r>
      <w:r>
        <w:rPr>
          <w:rStyle w:val="VerbatimChar"/>
        </w:rPr>
        <w:t>generate_timeline()</w:t>
      </w:r>
      <w:r>
        <w:t xml:space="preserve"> identifies temporal breakpoints from all amendments for a given WDPAID, </w:t>
      </w:r>
      <w:r>
        <w:rPr>
          <w:rStyle w:val="VerbatimChar"/>
        </w:rPr>
        <w:t>find_active_amendments()</w:t>
      </w:r>
      <w:r>
        <w:t xml:space="preserve"> determines which amendments are active at each time point, and </w:t>
      </w:r>
      <w:r>
        <w:rPr>
          <w:rStyle w:val="VerbatimChar"/>
        </w:rPr>
        <w:t>consolidate_pa_states()</w:t>
      </w:r>
      <w:r>
        <w:t xml:space="preserve"> merges baseline attributes with active amendments to produce each temporal state. Because the rules are coded explicitly and the inputs are versioned, the entire transformation is reproducible and auditable.</w:t>
      </w:r>
    </w:p>
    <w:p w14:paraId="5710E77B" w14:textId="77777777" w:rsidR="004E3978" w:rsidRDefault="00000000">
      <w:pPr>
        <w:pStyle w:val="Heading1"/>
      </w:pPr>
      <w:bookmarkStart w:id="8" w:name="data-records"/>
      <w:bookmarkEnd w:id="1"/>
      <w:bookmarkEnd w:id="7"/>
      <w:r>
        <w:t>3. Data Records</w:t>
      </w:r>
    </w:p>
    <w:p w14:paraId="3E8D425C" w14:textId="77777777" w:rsidR="004E3978" w:rsidRDefault="00000000">
      <w:pPr>
        <w:pStyle w:val="FirstParagraph"/>
      </w:pPr>
      <w:r>
        <w:t>The dataset is currently deposited on DataSuds, the institutional research data repository of the Institut de Recherche pour le Développement (IRD), which assigns a persistent DOI. The official reference is:</w:t>
      </w:r>
    </w:p>
    <w:p w14:paraId="4C3793BF" w14:textId="77777777" w:rsidR="004E3978" w:rsidRDefault="00000000">
      <w:pPr>
        <w:pStyle w:val="BlockText"/>
      </w:pPr>
      <w:r>
        <w:t>Bedecarrats, Florent, Ramanantsoa, Seheno, Andrianambinina, Ollier D. , 2026, “Dynamic spatial conservation boundaries and internal zoning of Madagascar from 2000 to 2025”, https://doi.org/10.23708/VN2TWC, DataSuds, VERSION PROVISOIRE</w:t>
      </w:r>
    </w:p>
    <w:p w14:paraId="0B2BD571" w14:textId="77777777" w:rsidR="004E3978" w:rsidRDefault="00000000">
      <w:pPr>
        <w:pStyle w:val="FirstParagraph"/>
      </w:pPr>
      <w:r>
        <w:t>For the peer-review process, the consolidated dataset (</w:t>
      </w:r>
      <w:r>
        <w:rPr>
          <w:rStyle w:val="VerbatimChar"/>
        </w:rPr>
        <w:t>.gpkg</w:t>
      </w:r>
      <w:r>
        <w:t xml:space="preserve"> and </w:t>
      </w:r>
      <w:r>
        <w:rPr>
          <w:rStyle w:val="VerbatimChar"/>
        </w:rPr>
        <w:t>.parquet</w:t>
      </w:r>
      <w:r>
        <w:t xml:space="preserve">) is currently available via a temporary secure cloud storage link or requires replicating via the source code, pending final permission from UNEP-WCMC for public redistribution of the derived WDPA geometries. The source code is hosted on GitHub at </w:t>
      </w:r>
      <w:hyperlink r:id="rId9">
        <w:r>
          <w:rPr>
            <w:rStyle w:val="Hyperlink"/>
          </w:rPr>
          <w:t>https://github.com/BETSAKA/conservation-dynamic-</w:t>
        </w:r>
        <w:r>
          <w:rPr>
            <w:rStyle w:val="Hyperlink"/>
          </w:rPr>
          <w:t>m</w:t>
        </w:r>
        <w:r>
          <w:rPr>
            <w:rStyle w:val="Hyperlink"/>
          </w:rPr>
          <w:t>adagascar</w:t>
        </w:r>
      </w:hyperlink>
      <w:r>
        <w:t xml:space="preserve"> and archived via Software Heritage for long-term preservation and persistent identification.</w:t>
      </w:r>
    </w:p>
    <w:p w14:paraId="2BA7F55E" w14:textId="77777777" w:rsidR="004E3978" w:rsidRDefault="00000000">
      <w:pPr>
        <w:pStyle w:val="BodyText"/>
      </w:pPr>
      <w:r>
        <w:t>The dataset is distributed in three complementary forms. The first is a GeoPackage file (</w:t>
      </w:r>
      <w:r>
        <w:rPr>
          <w:rStyle w:val="VerbatimChar"/>
        </w:rPr>
        <w:t>dynamic_wdpa_madagascar.gpkg</w:t>
      </w:r>
      <w:r>
        <w:t>), an OGC standard format directly compatible with QGIS, ArcGIS, R, and Python. The second is a GeoParquet file (</w:t>
      </w:r>
      <w:r>
        <w:rPr>
          <w:rStyle w:val="VerbatimChar"/>
        </w:rPr>
        <w:t>dynamic_wdpa_madagascar.parquet</w:t>
      </w:r>
      <w:r>
        <w:t>), a columnar geospatial format optimized for analytical workflows and now also supported by QGIS and ArcGIS in addition to Arrow-based tools in R and Python. The third is the YAML amendment registry (</w:t>
      </w:r>
      <w:r>
        <w:rPr>
          <w:rStyle w:val="VerbatimChar"/>
        </w:rPr>
        <w:t>amendments/</w:t>
      </w:r>
      <w:r>
        <w:t>), containing per-protected-area YAML files documenting each amendment with its legal source, effective date, and type, accompanied by GeoJSON geometry files where boundaries differ from the WDPA baseline. YAML is a human-readable data serialization format used in this project to systematically document each protected area amendment in a text-based, version-controlled manner.</w:t>
      </w:r>
    </w:p>
    <w:p w14:paraId="657CDC28" w14:textId="77777777" w:rsidR="004E3978" w:rsidRDefault="00000000">
      <w:pPr>
        <w:pStyle w:val="BodyText"/>
      </w:pPr>
      <w:r>
        <w:lastRenderedPageBreak/>
        <w:t xml:space="preserve">Each row in the output dataset represents one zone in one temporal state. A protected area with boundary changes and internal zoning will have multiple rows across time periods. </w:t>
      </w:r>
      <w:hyperlink w:anchor="tbl-schema">
        <w:r>
          <w:rPr>
            <w:rStyle w:val="Hyperlink"/>
          </w:rPr>
          <w:t>Table 1</w:t>
        </w:r>
      </w:hyperlink>
      <w:r>
        <w:t xml:space="preserve"> describes the fields.</w:t>
      </w:r>
    </w:p>
    <w:tbl>
      <w:tblPr>
        <w:tblStyle w:val="Table"/>
        <w:tblW w:w="5000" w:type="pct"/>
        <w:tblLayout w:type="fixed"/>
        <w:tblLook w:val="0000" w:firstRow="0" w:lastRow="0" w:firstColumn="0" w:lastColumn="0" w:noHBand="0" w:noVBand="0"/>
      </w:tblPr>
      <w:tblGrid>
        <w:gridCol w:w="9360"/>
      </w:tblGrid>
      <w:tr w:rsidR="004E3978" w14:paraId="7F93F071" w14:textId="77777777">
        <w:tc>
          <w:tcPr>
            <w:tcW w:w="7920" w:type="dxa"/>
          </w:tcPr>
          <w:p w14:paraId="0216CF8A" w14:textId="77777777" w:rsidR="004E3978" w:rsidRDefault="00000000">
            <w:pPr>
              <w:pStyle w:val="ImageCaption"/>
              <w:spacing w:before="200"/>
            </w:pPr>
            <w:bookmarkStart w:id="9" w:name="tbl-schema"/>
            <w:r>
              <w:t>Table 1: Schema of the temporal states dataset.</w:t>
            </w:r>
          </w:p>
          <w:tbl>
            <w:tblPr>
              <w:tblStyle w:val="Table"/>
              <w:tblW w:w="5000" w:type="pct"/>
              <w:tblLayout w:type="fixed"/>
              <w:tblLook w:val="0020" w:firstRow="1" w:lastRow="0" w:firstColumn="0" w:lastColumn="0" w:noHBand="0" w:noVBand="0"/>
            </w:tblPr>
            <w:tblGrid>
              <w:gridCol w:w="3048"/>
              <w:gridCol w:w="3048"/>
              <w:gridCol w:w="3048"/>
            </w:tblGrid>
            <w:tr w:rsidR="004E3978" w14:paraId="005CAB8A" w14:textId="77777777" w:rsidTr="004E397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248EEA" w14:textId="77777777" w:rsidR="004E3978" w:rsidRDefault="00000000">
                  <w:pPr>
                    <w:pStyle w:val="Compact"/>
                    <w:jc w:val="center"/>
                  </w:pPr>
                  <w:r>
                    <w:t>Field</w:t>
                  </w:r>
                </w:p>
              </w:tc>
              <w:tc>
                <w:tcPr>
                  <w:tcW w:w="2640" w:type="dxa"/>
                </w:tcPr>
                <w:p w14:paraId="558B802D" w14:textId="77777777" w:rsidR="004E3978" w:rsidRDefault="00000000">
                  <w:pPr>
                    <w:pStyle w:val="Compact"/>
                    <w:jc w:val="center"/>
                  </w:pPr>
                  <w:r>
                    <w:t>Type</w:t>
                  </w:r>
                </w:p>
              </w:tc>
              <w:tc>
                <w:tcPr>
                  <w:tcW w:w="2640" w:type="dxa"/>
                </w:tcPr>
                <w:p w14:paraId="63C10EAB" w14:textId="77777777" w:rsidR="004E3978" w:rsidRDefault="00000000">
                  <w:pPr>
                    <w:pStyle w:val="Compact"/>
                    <w:jc w:val="center"/>
                  </w:pPr>
                  <w:r>
                    <w:t>Description</w:t>
                  </w:r>
                </w:p>
              </w:tc>
            </w:tr>
            <w:tr w:rsidR="004E3978" w14:paraId="3CF22F5D" w14:textId="77777777">
              <w:tc>
                <w:tcPr>
                  <w:tcW w:w="2640" w:type="dxa"/>
                </w:tcPr>
                <w:p w14:paraId="7E2D7272" w14:textId="77777777" w:rsidR="004E3978" w:rsidRDefault="00000000">
                  <w:pPr>
                    <w:pStyle w:val="Compact"/>
                    <w:jc w:val="center"/>
                  </w:pPr>
                  <w:r>
                    <w:rPr>
                      <w:rStyle w:val="VerbatimChar"/>
                    </w:rPr>
                    <w:t>state_id</w:t>
                  </w:r>
                </w:p>
              </w:tc>
              <w:tc>
                <w:tcPr>
                  <w:tcW w:w="2640" w:type="dxa"/>
                </w:tcPr>
                <w:p w14:paraId="308C6ACA" w14:textId="77777777" w:rsidR="004E3978" w:rsidRDefault="00000000">
                  <w:pPr>
                    <w:pStyle w:val="Compact"/>
                    <w:jc w:val="center"/>
                  </w:pPr>
                  <w:r>
                    <w:t>Character</w:t>
                  </w:r>
                </w:p>
              </w:tc>
              <w:tc>
                <w:tcPr>
                  <w:tcW w:w="2640" w:type="dxa"/>
                </w:tcPr>
                <w:p w14:paraId="15E9947D" w14:textId="77777777" w:rsidR="004E3978" w:rsidRDefault="00000000">
                  <w:pPr>
                    <w:pStyle w:val="Compact"/>
                    <w:jc w:val="center"/>
                  </w:pPr>
                  <w:r>
                    <w:t>Unique identifier for each temporal state</w:t>
                  </w:r>
                </w:p>
              </w:tc>
            </w:tr>
            <w:tr w:rsidR="004E3978" w14:paraId="32E1A4AE" w14:textId="77777777">
              <w:tc>
                <w:tcPr>
                  <w:tcW w:w="2640" w:type="dxa"/>
                </w:tcPr>
                <w:p w14:paraId="320FE637" w14:textId="77777777" w:rsidR="004E3978" w:rsidRDefault="00000000">
                  <w:pPr>
                    <w:pStyle w:val="Compact"/>
                    <w:jc w:val="center"/>
                  </w:pPr>
                  <w:r>
                    <w:rPr>
                      <w:rStyle w:val="VerbatimChar"/>
                    </w:rPr>
                    <w:t>WDPAID</w:t>
                  </w:r>
                </w:p>
              </w:tc>
              <w:tc>
                <w:tcPr>
                  <w:tcW w:w="2640" w:type="dxa"/>
                </w:tcPr>
                <w:p w14:paraId="26FFA73F" w14:textId="77777777" w:rsidR="004E3978" w:rsidRDefault="00000000">
                  <w:pPr>
                    <w:pStyle w:val="Compact"/>
                    <w:jc w:val="center"/>
                  </w:pPr>
                  <w:r>
                    <w:t>Integer</w:t>
                  </w:r>
                </w:p>
              </w:tc>
              <w:tc>
                <w:tcPr>
                  <w:tcW w:w="2640" w:type="dxa"/>
                </w:tcPr>
                <w:p w14:paraId="38BFD881" w14:textId="77777777" w:rsidR="004E3978" w:rsidRDefault="00000000">
                  <w:pPr>
                    <w:pStyle w:val="Compact"/>
                    <w:jc w:val="center"/>
                  </w:pPr>
                  <w:r>
                    <w:t>WDPA identifier, enabling cross-reference with the global database</w:t>
                  </w:r>
                </w:p>
              </w:tc>
            </w:tr>
            <w:tr w:rsidR="004E3978" w14:paraId="52291CB0" w14:textId="77777777">
              <w:tc>
                <w:tcPr>
                  <w:tcW w:w="2640" w:type="dxa"/>
                </w:tcPr>
                <w:p w14:paraId="15777C8F" w14:textId="77777777" w:rsidR="004E3978" w:rsidRDefault="00000000">
                  <w:pPr>
                    <w:pStyle w:val="Compact"/>
                    <w:jc w:val="center"/>
                  </w:pPr>
                  <w:r>
                    <w:rPr>
                      <w:rStyle w:val="VerbatimChar"/>
                    </w:rPr>
                    <w:t>valid_from</w:t>
                  </w:r>
                </w:p>
              </w:tc>
              <w:tc>
                <w:tcPr>
                  <w:tcW w:w="2640" w:type="dxa"/>
                </w:tcPr>
                <w:p w14:paraId="23F22928" w14:textId="77777777" w:rsidR="004E3978" w:rsidRDefault="00000000">
                  <w:pPr>
                    <w:pStyle w:val="Compact"/>
                    <w:jc w:val="center"/>
                  </w:pPr>
                  <w:r>
                    <w:t>Date</w:t>
                  </w:r>
                </w:p>
              </w:tc>
              <w:tc>
                <w:tcPr>
                  <w:tcW w:w="2640" w:type="dxa"/>
                </w:tcPr>
                <w:p w14:paraId="1C21A7A5" w14:textId="77777777" w:rsidR="004E3978" w:rsidRDefault="00000000">
                  <w:pPr>
                    <w:pStyle w:val="Compact"/>
                    <w:jc w:val="center"/>
                  </w:pPr>
                  <w:r>
                    <w:t>Start date of this state’s validity period</w:t>
                  </w:r>
                </w:p>
              </w:tc>
            </w:tr>
            <w:tr w:rsidR="004E3978" w14:paraId="01643F17" w14:textId="77777777">
              <w:tc>
                <w:tcPr>
                  <w:tcW w:w="2640" w:type="dxa"/>
                </w:tcPr>
                <w:p w14:paraId="0E3E6B2D" w14:textId="77777777" w:rsidR="004E3978" w:rsidRDefault="00000000">
                  <w:pPr>
                    <w:pStyle w:val="Compact"/>
                    <w:jc w:val="center"/>
                  </w:pPr>
                  <w:r>
                    <w:rPr>
                      <w:rStyle w:val="VerbatimChar"/>
                    </w:rPr>
                    <w:t>valid_to</w:t>
                  </w:r>
                </w:p>
              </w:tc>
              <w:tc>
                <w:tcPr>
                  <w:tcW w:w="2640" w:type="dxa"/>
                </w:tcPr>
                <w:p w14:paraId="0BA24BA8" w14:textId="77777777" w:rsidR="004E3978" w:rsidRDefault="00000000">
                  <w:pPr>
                    <w:pStyle w:val="Compact"/>
                    <w:jc w:val="center"/>
                  </w:pPr>
                  <w:r>
                    <w:t>Date</w:t>
                  </w:r>
                </w:p>
              </w:tc>
              <w:tc>
                <w:tcPr>
                  <w:tcW w:w="2640" w:type="dxa"/>
                </w:tcPr>
                <w:p w14:paraId="6C3D293F" w14:textId="77777777" w:rsidR="004E3978" w:rsidRDefault="00000000">
                  <w:pPr>
                    <w:pStyle w:val="Compact"/>
                    <w:jc w:val="center"/>
                  </w:pPr>
                  <w:r>
                    <w:t>End date of this state’s validity period</w:t>
                  </w:r>
                </w:p>
              </w:tc>
            </w:tr>
            <w:tr w:rsidR="004E3978" w14:paraId="271A3E5B" w14:textId="77777777">
              <w:tc>
                <w:tcPr>
                  <w:tcW w:w="2640" w:type="dxa"/>
                </w:tcPr>
                <w:p w14:paraId="7DD509BA" w14:textId="77777777" w:rsidR="004E3978" w:rsidRDefault="00000000">
                  <w:pPr>
                    <w:pStyle w:val="Compact"/>
                    <w:jc w:val="center"/>
                  </w:pPr>
                  <w:r>
                    <w:rPr>
                      <w:rStyle w:val="VerbatimChar"/>
                    </w:rPr>
                    <w:t>zone_type</w:t>
                  </w:r>
                </w:p>
              </w:tc>
              <w:tc>
                <w:tcPr>
                  <w:tcW w:w="2640" w:type="dxa"/>
                </w:tcPr>
                <w:p w14:paraId="70E3237F" w14:textId="77777777" w:rsidR="004E3978" w:rsidRDefault="00000000">
                  <w:pPr>
                    <w:pStyle w:val="Compact"/>
                    <w:jc w:val="center"/>
                  </w:pPr>
                  <w:r>
                    <w:t>Character</w:t>
                  </w:r>
                </w:p>
              </w:tc>
              <w:tc>
                <w:tcPr>
                  <w:tcW w:w="2640" w:type="dxa"/>
                </w:tcPr>
                <w:p w14:paraId="54D5BF57" w14:textId="77777777" w:rsidR="004E3978" w:rsidRDefault="00000000">
                  <w:pPr>
                    <w:pStyle w:val="Compact"/>
                    <w:jc w:val="center"/>
                  </w:pPr>
                  <w:r>
                    <w:t xml:space="preserve">Zone type: </w:t>
                  </w:r>
                  <w:r>
                    <w:rPr>
                      <w:rStyle w:val="VerbatimChar"/>
                    </w:rPr>
                    <w:t>external_boundary</w:t>
                  </w:r>
                  <w:r>
                    <w:t xml:space="preserve">, </w:t>
                  </w:r>
                  <w:r>
                    <w:rPr>
                      <w:rStyle w:val="VerbatimChar"/>
                    </w:rPr>
                    <w:t>core_zone</w:t>
                  </w:r>
                  <w:r>
                    <w:t xml:space="preserve">, </w:t>
                  </w:r>
                  <w:r>
                    <w:rPr>
                      <w:rStyle w:val="VerbatimChar"/>
                    </w:rPr>
                    <w:t>internal_buffer_zone</w:t>
                  </w:r>
                  <w:r>
                    <w:t xml:space="preserve">, or </w:t>
                  </w:r>
                  <w:r>
                    <w:rPr>
                      <w:rStyle w:val="VerbatimChar"/>
                    </w:rPr>
                    <w:t>external_buffer_zone</w:t>
                  </w:r>
                </w:p>
              </w:tc>
            </w:tr>
            <w:tr w:rsidR="004E3978" w14:paraId="0A84D3EC" w14:textId="77777777">
              <w:tc>
                <w:tcPr>
                  <w:tcW w:w="2640" w:type="dxa"/>
                </w:tcPr>
                <w:p w14:paraId="34D6E30E" w14:textId="77777777" w:rsidR="004E3978" w:rsidRDefault="00000000">
                  <w:pPr>
                    <w:pStyle w:val="Compact"/>
                    <w:jc w:val="center"/>
                  </w:pPr>
                  <w:r>
                    <w:rPr>
                      <w:rStyle w:val="VerbatimChar"/>
                    </w:rPr>
                    <w:t>zone_name</w:t>
                  </w:r>
                </w:p>
              </w:tc>
              <w:tc>
                <w:tcPr>
                  <w:tcW w:w="2640" w:type="dxa"/>
                </w:tcPr>
                <w:p w14:paraId="32D15A31" w14:textId="77777777" w:rsidR="004E3978" w:rsidRDefault="00000000">
                  <w:pPr>
                    <w:pStyle w:val="Compact"/>
                    <w:jc w:val="center"/>
                  </w:pPr>
                  <w:r>
                    <w:t>Character</w:t>
                  </w:r>
                </w:p>
              </w:tc>
              <w:tc>
                <w:tcPr>
                  <w:tcW w:w="2640" w:type="dxa"/>
                </w:tcPr>
                <w:p w14:paraId="247DD5EE" w14:textId="77777777" w:rsidR="004E3978" w:rsidRDefault="00000000">
                  <w:pPr>
                    <w:pStyle w:val="Compact"/>
                    <w:jc w:val="center"/>
                  </w:pPr>
                  <w:r>
                    <w:t>Name of the zone, if applicable</w:t>
                  </w:r>
                </w:p>
              </w:tc>
            </w:tr>
            <w:tr w:rsidR="004E3978" w14:paraId="35724FF5" w14:textId="77777777">
              <w:tc>
                <w:tcPr>
                  <w:tcW w:w="2640" w:type="dxa"/>
                </w:tcPr>
                <w:p w14:paraId="24C2AAA6" w14:textId="77777777" w:rsidR="004E3978" w:rsidRDefault="00000000">
                  <w:pPr>
                    <w:pStyle w:val="Compact"/>
                    <w:jc w:val="center"/>
                  </w:pPr>
                  <w:r>
                    <w:rPr>
                      <w:rStyle w:val="VerbatimChar"/>
                    </w:rPr>
                    <w:t>geometry</w:t>
                  </w:r>
                </w:p>
              </w:tc>
              <w:tc>
                <w:tcPr>
                  <w:tcW w:w="2640" w:type="dxa"/>
                </w:tcPr>
                <w:p w14:paraId="5B1978B2" w14:textId="77777777" w:rsidR="004E3978" w:rsidRDefault="00000000">
                  <w:pPr>
                    <w:pStyle w:val="Compact"/>
                    <w:jc w:val="center"/>
                  </w:pPr>
                  <w:r>
                    <w:t>Geometry</w:t>
                  </w:r>
                </w:p>
              </w:tc>
              <w:tc>
                <w:tcPr>
                  <w:tcW w:w="2640" w:type="dxa"/>
                </w:tcPr>
                <w:p w14:paraId="7B382F0F" w14:textId="77777777" w:rsidR="004E3978" w:rsidRDefault="00000000">
                  <w:pPr>
                    <w:pStyle w:val="Compact"/>
                    <w:jc w:val="center"/>
                  </w:pPr>
                  <w:r>
                    <w:t>Polygon or multipolygon in WGS84 (EPSG:4326)</w:t>
                  </w:r>
                </w:p>
              </w:tc>
            </w:tr>
            <w:tr w:rsidR="004E3978" w14:paraId="26FEC0B3" w14:textId="77777777">
              <w:tc>
                <w:tcPr>
                  <w:tcW w:w="2640" w:type="dxa"/>
                </w:tcPr>
                <w:p w14:paraId="7D722711" w14:textId="77777777" w:rsidR="004E3978" w:rsidRDefault="00000000">
                  <w:pPr>
                    <w:pStyle w:val="Compact"/>
                    <w:jc w:val="center"/>
                  </w:pPr>
                  <w:r>
                    <w:rPr>
                      <w:rStyle w:val="VerbatimChar"/>
                    </w:rPr>
                    <w:t>NAME</w:t>
                  </w:r>
                </w:p>
              </w:tc>
              <w:tc>
                <w:tcPr>
                  <w:tcW w:w="2640" w:type="dxa"/>
                </w:tcPr>
                <w:p w14:paraId="1F51B8CE" w14:textId="77777777" w:rsidR="004E3978" w:rsidRDefault="00000000">
                  <w:pPr>
                    <w:pStyle w:val="Compact"/>
                    <w:jc w:val="center"/>
                  </w:pPr>
                  <w:r>
                    <w:t>Character</w:t>
                  </w:r>
                </w:p>
              </w:tc>
              <w:tc>
                <w:tcPr>
                  <w:tcW w:w="2640" w:type="dxa"/>
                </w:tcPr>
                <w:p w14:paraId="1D2B739B" w14:textId="77777777" w:rsidR="004E3978" w:rsidRDefault="00000000">
                  <w:pPr>
                    <w:pStyle w:val="Compact"/>
                    <w:jc w:val="center"/>
                  </w:pPr>
                  <w:r>
                    <w:t>Protected area name</w:t>
                  </w:r>
                </w:p>
              </w:tc>
            </w:tr>
            <w:tr w:rsidR="004E3978" w14:paraId="64888977" w14:textId="77777777">
              <w:tc>
                <w:tcPr>
                  <w:tcW w:w="2640" w:type="dxa"/>
                </w:tcPr>
                <w:p w14:paraId="16336022" w14:textId="77777777" w:rsidR="004E3978" w:rsidRDefault="00000000">
                  <w:pPr>
                    <w:pStyle w:val="Compact"/>
                    <w:jc w:val="center"/>
                  </w:pPr>
                  <w:r>
                    <w:rPr>
                      <w:rStyle w:val="VerbatimChar"/>
                    </w:rPr>
                    <w:t>DESIG</w:t>
                  </w:r>
                </w:p>
              </w:tc>
              <w:tc>
                <w:tcPr>
                  <w:tcW w:w="2640" w:type="dxa"/>
                </w:tcPr>
                <w:p w14:paraId="4BFBA84E" w14:textId="77777777" w:rsidR="004E3978" w:rsidRDefault="00000000">
                  <w:pPr>
                    <w:pStyle w:val="Compact"/>
                    <w:jc w:val="center"/>
                  </w:pPr>
                  <w:r>
                    <w:t>Character</w:t>
                  </w:r>
                </w:p>
              </w:tc>
              <w:tc>
                <w:tcPr>
                  <w:tcW w:w="2640" w:type="dxa"/>
                </w:tcPr>
                <w:p w14:paraId="10749BC5" w14:textId="77777777" w:rsidR="004E3978" w:rsidRDefault="00000000">
                  <w:pPr>
                    <w:pStyle w:val="Compact"/>
                    <w:jc w:val="center"/>
                  </w:pPr>
                  <w:r>
                    <w:t>Designation type</w:t>
                  </w:r>
                </w:p>
              </w:tc>
            </w:tr>
            <w:tr w:rsidR="004E3978" w14:paraId="2F57C8C4" w14:textId="77777777">
              <w:tc>
                <w:tcPr>
                  <w:tcW w:w="2640" w:type="dxa"/>
                </w:tcPr>
                <w:p w14:paraId="650E7D35" w14:textId="77777777" w:rsidR="004E3978" w:rsidRDefault="00000000">
                  <w:pPr>
                    <w:pStyle w:val="Compact"/>
                    <w:jc w:val="center"/>
                  </w:pPr>
                  <w:r>
                    <w:rPr>
                      <w:rStyle w:val="VerbatimChar"/>
                    </w:rPr>
                    <w:t>IUCN_CAT</w:t>
                  </w:r>
                </w:p>
              </w:tc>
              <w:tc>
                <w:tcPr>
                  <w:tcW w:w="2640" w:type="dxa"/>
                </w:tcPr>
                <w:p w14:paraId="77E6586E" w14:textId="77777777" w:rsidR="004E3978" w:rsidRDefault="00000000">
                  <w:pPr>
                    <w:pStyle w:val="Compact"/>
                    <w:jc w:val="center"/>
                  </w:pPr>
                  <w:r>
                    <w:t>Character</w:t>
                  </w:r>
                </w:p>
              </w:tc>
              <w:tc>
                <w:tcPr>
                  <w:tcW w:w="2640" w:type="dxa"/>
                </w:tcPr>
                <w:p w14:paraId="5ADB6FAB" w14:textId="77777777" w:rsidR="004E3978" w:rsidRDefault="00000000">
                  <w:pPr>
                    <w:pStyle w:val="Compact"/>
                    <w:jc w:val="center"/>
                  </w:pPr>
                  <w:r>
                    <w:t>IUCN management category</w:t>
                  </w:r>
                </w:p>
              </w:tc>
            </w:tr>
            <w:tr w:rsidR="004E3978" w14:paraId="510A80DF" w14:textId="77777777">
              <w:tc>
                <w:tcPr>
                  <w:tcW w:w="2640" w:type="dxa"/>
                </w:tcPr>
                <w:p w14:paraId="55BDD248" w14:textId="77777777" w:rsidR="004E3978" w:rsidRDefault="00000000">
                  <w:pPr>
                    <w:pStyle w:val="Compact"/>
                    <w:jc w:val="center"/>
                  </w:pPr>
                  <w:r>
                    <w:rPr>
                      <w:rStyle w:val="VerbatimChar"/>
                    </w:rPr>
                    <w:t>STATUS</w:t>
                  </w:r>
                </w:p>
              </w:tc>
              <w:tc>
                <w:tcPr>
                  <w:tcW w:w="2640" w:type="dxa"/>
                </w:tcPr>
                <w:p w14:paraId="6E38EE25" w14:textId="77777777" w:rsidR="004E3978" w:rsidRDefault="00000000">
                  <w:pPr>
                    <w:pStyle w:val="Compact"/>
                    <w:jc w:val="center"/>
                  </w:pPr>
                  <w:r>
                    <w:t>Character</w:t>
                  </w:r>
                </w:p>
              </w:tc>
              <w:tc>
                <w:tcPr>
                  <w:tcW w:w="2640" w:type="dxa"/>
                </w:tcPr>
                <w:p w14:paraId="1914E10D" w14:textId="77777777" w:rsidR="004E3978" w:rsidRDefault="00000000">
                  <w:pPr>
                    <w:pStyle w:val="Compact"/>
                    <w:jc w:val="center"/>
                  </w:pPr>
                  <w:r>
                    <w:t>Designation status</w:t>
                  </w:r>
                </w:p>
              </w:tc>
            </w:tr>
            <w:tr w:rsidR="004E3978" w14:paraId="0065F676" w14:textId="77777777">
              <w:tc>
                <w:tcPr>
                  <w:tcW w:w="2640" w:type="dxa"/>
                </w:tcPr>
                <w:p w14:paraId="1AFEB9FD" w14:textId="77777777" w:rsidR="004E3978" w:rsidRDefault="00000000">
                  <w:pPr>
                    <w:pStyle w:val="Compact"/>
                    <w:jc w:val="center"/>
                  </w:pPr>
                  <w:r>
                    <w:rPr>
                      <w:rStyle w:val="VerbatimChar"/>
                    </w:rPr>
                    <w:t>STATUS_YR</w:t>
                  </w:r>
                </w:p>
              </w:tc>
              <w:tc>
                <w:tcPr>
                  <w:tcW w:w="2640" w:type="dxa"/>
                </w:tcPr>
                <w:p w14:paraId="3931E39F" w14:textId="77777777" w:rsidR="004E3978" w:rsidRDefault="00000000">
                  <w:pPr>
                    <w:pStyle w:val="Compact"/>
                    <w:jc w:val="center"/>
                  </w:pPr>
                  <w:r>
                    <w:t>Integer</w:t>
                  </w:r>
                </w:p>
              </w:tc>
              <w:tc>
                <w:tcPr>
                  <w:tcW w:w="2640" w:type="dxa"/>
                </w:tcPr>
                <w:p w14:paraId="49F613E4" w14:textId="77777777" w:rsidR="004E3978" w:rsidRDefault="00000000">
                  <w:pPr>
                    <w:pStyle w:val="Compact"/>
                    <w:jc w:val="center"/>
                  </w:pPr>
                  <w:r>
                    <w:t>Year of current status</w:t>
                  </w:r>
                </w:p>
              </w:tc>
            </w:tr>
            <w:tr w:rsidR="004E3978" w14:paraId="04DC8E9D" w14:textId="77777777">
              <w:tc>
                <w:tcPr>
                  <w:tcW w:w="2640" w:type="dxa"/>
                </w:tcPr>
                <w:p w14:paraId="62ACBE2B" w14:textId="77777777" w:rsidR="004E3978" w:rsidRDefault="00000000">
                  <w:pPr>
                    <w:pStyle w:val="Compact"/>
                    <w:jc w:val="center"/>
                  </w:pPr>
                  <w:r>
                    <w:rPr>
                      <w:rStyle w:val="VerbatimChar"/>
                    </w:rPr>
                    <w:t>GOV_TYPE</w:t>
                  </w:r>
                </w:p>
              </w:tc>
              <w:tc>
                <w:tcPr>
                  <w:tcW w:w="2640" w:type="dxa"/>
                </w:tcPr>
                <w:p w14:paraId="18086565" w14:textId="77777777" w:rsidR="004E3978" w:rsidRDefault="00000000">
                  <w:pPr>
                    <w:pStyle w:val="Compact"/>
                    <w:jc w:val="center"/>
                  </w:pPr>
                  <w:r>
                    <w:t>Character</w:t>
                  </w:r>
                </w:p>
              </w:tc>
              <w:tc>
                <w:tcPr>
                  <w:tcW w:w="2640" w:type="dxa"/>
                </w:tcPr>
                <w:p w14:paraId="15269987" w14:textId="77777777" w:rsidR="004E3978" w:rsidRDefault="00000000">
                  <w:pPr>
                    <w:pStyle w:val="Compact"/>
                    <w:jc w:val="center"/>
                  </w:pPr>
                  <w:r>
                    <w:t>Governance type</w:t>
                  </w:r>
                </w:p>
              </w:tc>
            </w:tr>
            <w:tr w:rsidR="004E3978" w14:paraId="5162B3E4" w14:textId="77777777">
              <w:tc>
                <w:tcPr>
                  <w:tcW w:w="2640" w:type="dxa"/>
                </w:tcPr>
                <w:p w14:paraId="1C57C3DA" w14:textId="77777777" w:rsidR="004E3978" w:rsidRDefault="00000000">
                  <w:pPr>
                    <w:pStyle w:val="Compact"/>
                    <w:jc w:val="center"/>
                  </w:pPr>
                  <w:r>
                    <w:rPr>
                      <w:rStyle w:val="VerbatimChar"/>
                    </w:rPr>
                    <w:t>MANG_AUTH</w:t>
                  </w:r>
                </w:p>
              </w:tc>
              <w:tc>
                <w:tcPr>
                  <w:tcW w:w="2640" w:type="dxa"/>
                </w:tcPr>
                <w:p w14:paraId="6E01391E" w14:textId="77777777" w:rsidR="004E3978" w:rsidRDefault="00000000">
                  <w:pPr>
                    <w:pStyle w:val="Compact"/>
                    <w:jc w:val="center"/>
                  </w:pPr>
                  <w:r>
                    <w:t>Character</w:t>
                  </w:r>
                </w:p>
              </w:tc>
              <w:tc>
                <w:tcPr>
                  <w:tcW w:w="2640" w:type="dxa"/>
                </w:tcPr>
                <w:p w14:paraId="3FF91335" w14:textId="77777777" w:rsidR="004E3978" w:rsidRDefault="00000000">
                  <w:pPr>
                    <w:pStyle w:val="Compact"/>
                    <w:jc w:val="center"/>
                  </w:pPr>
                  <w:r>
                    <w:t>Management authority</w:t>
                  </w:r>
                </w:p>
              </w:tc>
            </w:tr>
            <w:tr w:rsidR="004E3978" w14:paraId="75A38D25" w14:textId="77777777">
              <w:tc>
                <w:tcPr>
                  <w:tcW w:w="2640" w:type="dxa"/>
                </w:tcPr>
                <w:p w14:paraId="529C1149" w14:textId="77777777" w:rsidR="004E3978" w:rsidRDefault="00000000">
                  <w:pPr>
                    <w:pStyle w:val="Compact"/>
                    <w:jc w:val="center"/>
                  </w:pPr>
                  <w:r>
                    <w:rPr>
                      <w:rStyle w:val="VerbatimChar"/>
                    </w:rPr>
                    <w:t>amendment_source</w:t>
                  </w:r>
                </w:p>
              </w:tc>
              <w:tc>
                <w:tcPr>
                  <w:tcW w:w="2640" w:type="dxa"/>
                </w:tcPr>
                <w:p w14:paraId="48500718" w14:textId="77777777" w:rsidR="004E3978" w:rsidRDefault="00000000">
                  <w:pPr>
                    <w:pStyle w:val="Compact"/>
                    <w:jc w:val="center"/>
                  </w:pPr>
                  <w:r>
                    <w:t>Character</w:t>
                  </w:r>
                </w:p>
              </w:tc>
              <w:tc>
                <w:tcPr>
                  <w:tcW w:w="2640" w:type="dxa"/>
                </w:tcPr>
                <w:p w14:paraId="412CFAEF" w14:textId="77777777" w:rsidR="004E3978" w:rsidRDefault="00000000">
                  <w:pPr>
                    <w:pStyle w:val="Compact"/>
                    <w:jc w:val="center"/>
                  </w:pPr>
                  <w:r>
                    <w:t xml:space="preserve">Reference to the YAML amendment file or </w:t>
                  </w:r>
                  <w:r>
                    <w:rPr>
                      <w:rStyle w:val="VerbatimChar"/>
                    </w:rPr>
                    <w:t>"wdpa_baseline"</w:t>
                  </w:r>
                </w:p>
              </w:tc>
            </w:tr>
            <w:bookmarkEnd w:id="9"/>
          </w:tbl>
          <w:p w14:paraId="1E6ABAFB" w14:textId="77777777" w:rsidR="004E3978" w:rsidRDefault="004E3978"/>
        </w:tc>
      </w:tr>
    </w:tbl>
    <w:p w14:paraId="697C2745" w14:textId="77777777" w:rsidR="004E3978" w:rsidRDefault="00000000">
      <w:pPr>
        <w:pStyle w:val="BodyText"/>
      </w:pPr>
      <w:r>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 </w:t>
      </w:r>
      <w:hyperlink w:anchor="fig-map">
        <w:r>
          <w:rPr>
            <w:rStyle w:val="Hyperlink"/>
          </w:rPr>
          <w:t>Figure 3</w:t>
        </w:r>
      </w:hyperlink>
      <w:r>
        <w:t xml:space="preserve"> shows the </w:t>
      </w:r>
      <w:r>
        <w:lastRenderedPageBreak/>
        <w:t>spatial distribution of protected areas colored by the number of documented temporal states, illustrating where the dataset adds information relative to the static WDPA.</w:t>
      </w:r>
    </w:p>
    <w:tbl>
      <w:tblPr>
        <w:tblStyle w:val="Table"/>
        <w:tblW w:w="5000" w:type="pct"/>
        <w:tblLayout w:type="fixed"/>
        <w:tblLook w:val="0000" w:firstRow="0" w:lastRow="0" w:firstColumn="0" w:lastColumn="0" w:noHBand="0" w:noVBand="0"/>
      </w:tblPr>
      <w:tblGrid>
        <w:gridCol w:w="9360"/>
      </w:tblGrid>
      <w:tr w:rsidR="004E3978" w14:paraId="6A09F958" w14:textId="77777777">
        <w:tc>
          <w:tcPr>
            <w:tcW w:w="7920" w:type="dxa"/>
          </w:tcPr>
          <w:p w14:paraId="5AFB6499" w14:textId="77777777" w:rsidR="004E3978" w:rsidRDefault="00000000">
            <w:pPr>
              <w:pStyle w:val="Compact"/>
              <w:jc w:val="center"/>
            </w:pPr>
            <w:bookmarkStart w:id="10" w:name="fig-map"/>
            <w:r>
              <w:rPr>
                <w:noProof/>
              </w:rPr>
              <w:drawing>
                <wp:inline distT="0" distB="0" distL="0" distR="0" wp14:anchorId="3C1EBFB5" wp14:editId="02AD5840">
                  <wp:extent cx="3733800" cy="738257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fig_map.png"/>
                          <pic:cNvPicPr>
                            <a:picLocks noChangeAspect="1" noChangeArrowheads="1"/>
                          </pic:cNvPicPr>
                        </pic:nvPicPr>
                        <pic:blipFill>
                          <a:blip r:embed="rId10"/>
                          <a:stretch>
                            <a:fillRect/>
                          </a:stretch>
                        </pic:blipFill>
                        <pic:spPr bwMode="auto">
                          <a:xfrm>
                            <a:off x="0" y="0"/>
                            <a:ext cx="3733800" cy="7382570"/>
                          </a:xfrm>
                          <a:prstGeom prst="rect">
                            <a:avLst/>
                          </a:prstGeom>
                          <a:noFill/>
                          <a:ln w="9525">
                            <a:noFill/>
                            <a:headEnd/>
                            <a:tailEnd/>
                          </a:ln>
                        </pic:spPr>
                      </pic:pic>
                    </a:graphicData>
                  </a:graphic>
                </wp:inline>
              </w:drawing>
            </w:r>
          </w:p>
          <w:p w14:paraId="794F15F3" w14:textId="77777777" w:rsidR="004E3978" w:rsidRDefault="00000000">
            <w:pPr>
              <w:pStyle w:val="ImageCaption"/>
              <w:spacing w:before="200"/>
            </w:pPr>
            <w:r>
              <w:lastRenderedPageBreak/>
              <w:t>Figure 3: Map of Madagascar’s 123 terrestrial protected areas</w:t>
            </w:r>
          </w:p>
        </w:tc>
        <w:bookmarkEnd w:id="10"/>
      </w:tr>
    </w:tbl>
    <w:p w14:paraId="1BAF9EBB" w14:textId="77777777" w:rsidR="004E3978" w:rsidRDefault="00000000">
      <w:pPr>
        <w:pStyle w:val="BodyText"/>
      </w:pPr>
      <w:r>
        <w:lastRenderedPageBreak/>
        <w:t>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p w14:paraId="3B6925C7" w14:textId="77777777" w:rsidR="004E3978" w:rsidRDefault="00000000">
      <w:pPr>
        <w:pStyle w:val="Heading1"/>
      </w:pPr>
      <w:bookmarkStart w:id="11" w:name="technical-validation"/>
      <w:bookmarkEnd w:id="8"/>
      <w:r>
        <w:t>4. Technical Validation</w:t>
      </w:r>
    </w:p>
    <w:p w14:paraId="4BDB25D3" w14:textId="77777777" w:rsidR="004E3978" w:rsidRDefault="00000000">
      <w:pPr>
        <w:pStyle w:val="FirstParagraph"/>
      </w:pPr>
      <w:r>
        <w:t>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14:paraId="3146E406" w14:textId="77777777" w:rsidR="004E3978" w:rsidRDefault="00000000">
      <w:pPr>
        <w:pStyle w:val="BodyText"/>
      </w:pPr>
      <w:r>
        <w:t>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14:paraId="07A681E4" w14:textId="77777777" w:rsidR="004E3978" w:rsidRDefault="00000000">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 </w:t>
      </w:r>
      <w:r>
        <w:rPr>
          <w:rStyle w:val="VerbatimChar"/>
        </w:rPr>
        <w:t>valid_from</w:t>
      </w:r>
      <w:r>
        <w:t xml:space="preserve"> is strictly earlier than </w:t>
      </w:r>
      <w:r>
        <w:rPr>
          <w:rStyle w:val="VerbatimChar"/>
        </w:rPr>
        <w:t>valid_to</w:t>
      </w:r>
      <w:r>
        <w:t xml:space="preserve"> for every state.</w:t>
      </w:r>
    </w:p>
    <w:p w14:paraId="19D1B4CA" w14:textId="77777777" w:rsidR="004E3978" w:rsidRDefault="00000000">
      <w:pPr>
        <w:pStyle w:val="BodyText"/>
      </w:pPr>
      <w:r>
        <w:t xml:space="preserve">All geometries were validated using </w:t>
      </w:r>
      <w:r>
        <w:rPr>
          <w:rStyle w:val="VerbatimChar"/>
        </w:rPr>
        <w:t>sf::st_make_valid()</w:t>
      </w:r>
      <w:r>
        <w:t xml:space="preserve"> in R. Core zones were verified to fall within their parent protected area’s external boundaries using spatial containment checks. Coordinate reference system consistency was enforced across all source datasets.</w:t>
      </w:r>
    </w:p>
    <w:p w14:paraId="1D115C43" w14:textId="77777777" w:rsidR="004E3978" w:rsidRDefault="00000000">
      <w:pPr>
        <w:pStyle w:val="BodyText"/>
      </w:pPr>
      <w:hyperlink w:anchor="fig-amendments">
        <w:r>
          <w:rPr>
            <w:rStyle w:val="Hyperlink"/>
          </w:rPr>
          <w:t>Figure 4</w:t>
        </w:r>
      </w:hyperlink>
      <w:r>
        <w:t xml:space="preserve"> summarizes the types and counts of amendments documented in the registry.</w:t>
      </w:r>
    </w:p>
    <w:tbl>
      <w:tblPr>
        <w:tblStyle w:val="Table"/>
        <w:tblW w:w="5000" w:type="pct"/>
        <w:tblLayout w:type="fixed"/>
        <w:tblLook w:val="0000" w:firstRow="0" w:lastRow="0" w:firstColumn="0" w:lastColumn="0" w:noHBand="0" w:noVBand="0"/>
      </w:tblPr>
      <w:tblGrid>
        <w:gridCol w:w="9360"/>
      </w:tblGrid>
      <w:tr w:rsidR="004E3978" w14:paraId="37016A47" w14:textId="77777777">
        <w:tc>
          <w:tcPr>
            <w:tcW w:w="7920" w:type="dxa"/>
          </w:tcPr>
          <w:p w14:paraId="3E0D36A1" w14:textId="77777777" w:rsidR="004E3978" w:rsidRDefault="00000000">
            <w:pPr>
              <w:pStyle w:val="Compact"/>
              <w:jc w:val="center"/>
            </w:pPr>
            <w:bookmarkStart w:id="12" w:name="fig-amendments"/>
            <w:r>
              <w:rPr>
                <w:noProof/>
              </w:rPr>
              <w:lastRenderedPageBreak/>
              <w:drawing>
                <wp:inline distT="0" distB="0" distL="0" distR="0" wp14:anchorId="4F1F4C64" wp14:editId="7EC27A8F">
                  <wp:extent cx="3733800" cy="2133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fig_amendments.png"/>
                          <pic:cNvPicPr>
                            <a:picLocks noChangeAspect="1" noChangeArrowheads="1"/>
                          </pic:cNvPicPr>
                        </pic:nvPicPr>
                        <pic:blipFill>
                          <a:blip r:embed="rId11"/>
                          <a:stretch>
                            <a:fillRect/>
                          </a:stretch>
                        </pic:blipFill>
                        <pic:spPr bwMode="auto">
                          <a:xfrm>
                            <a:off x="0" y="0"/>
                            <a:ext cx="3733800" cy="2133600"/>
                          </a:xfrm>
                          <a:prstGeom prst="rect">
                            <a:avLst/>
                          </a:prstGeom>
                          <a:noFill/>
                          <a:ln w="9525">
                            <a:noFill/>
                            <a:headEnd/>
                            <a:tailEnd/>
                          </a:ln>
                        </pic:spPr>
                      </pic:pic>
                    </a:graphicData>
                  </a:graphic>
                </wp:inline>
              </w:drawing>
            </w:r>
          </w:p>
          <w:p w14:paraId="1BF5927C" w14:textId="77777777" w:rsidR="004E3978" w:rsidRDefault="00000000">
            <w:pPr>
              <w:pStyle w:val="ImageCaption"/>
              <w:spacing w:before="200"/>
            </w:pPr>
            <w:r>
              <w:t>Figure 4: Type and counts of amendments documented in the YAML registry</w:t>
            </w:r>
          </w:p>
        </w:tc>
        <w:bookmarkEnd w:id="12"/>
      </w:tr>
    </w:tbl>
    <w:p w14:paraId="4C56E75B" w14:textId="77777777" w:rsidR="004E3978" w:rsidRDefault="00000000">
      <w:pPr>
        <w:pStyle w:val="Heading1"/>
      </w:pPr>
      <w:bookmarkStart w:id="13" w:name="usage-notes"/>
      <w:bookmarkEnd w:id="11"/>
      <w:r>
        <w:t>5. Usage Notes</w:t>
      </w:r>
    </w:p>
    <w:p w14:paraId="3CF6656D" w14:textId="77777777" w:rsidR="004E3978" w:rsidRDefault="00000000">
      <w:pPr>
        <w:pStyle w:val="FirstParagraph"/>
      </w:pPr>
      <w:r>
        <w:t>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14:paraId="539DD87E" w14:textId="77777777" w:rsidR="004E3978" w:rsidRDefault="00000000">
      <w:pPr>
        <w:pStyle w:val="BodyText"/>
      </w:pPr>
      <w:r>
        <w:t>In the event that pre-compiled datasets cannot be distributed publicly due to WDPA licensing restrictions, users can easily generate the consolidated dataset themselves. By downloading the WDPA baseline directly from Protected Planet (</w:t>
      </w:r>
      <w:hyperlink r:id="rId12">
        <w:r>
          <w:rPr>
            <w:rStyle w:val="Hyperlink"/>
          </w:rPr>
          <w:t>https://www.protectedplanet.net/</w:t>
        </w:r>
      </w:hyperlink>
      <w:r>
        <w:t>) to their local environment, users can run the open-source Consolidation and Auditing Rules (CAR) R scripts provided in our repository. These automatically apply all YAML amendments to compile the exact same historical spatio-temporal dataset locally.</w:t>
      </w:r>
    </w:p>
    <w:p w14:paraId="69874811" w14:textId="77777777" w:rsidR="004E3978" w:rsidRDefault="00000000">
      <w:pPr>
        <w:pStyle w:val="BodyText"/>
      </w:pPr>
      <w:r>
        <w:t xml:space="preserve">For temporal queries, users can filter states by </w:t>
      </w:r>
      <w:r>
        <w:rPr>
          <w:rStyle w:val="VerbatimChar"/>
        </w:rPr>
        <w:t>valid_from</w:t>
      </w:r>
      <w:r>
        <w:t xml:space="preserve"> and </w:t>
      </w:r>
      <w:r>
        <w:rPr>
          <w:rStyle w:val="VerbatimChar"/>
        </w:rPr>
        <w:t>valid_to</w:t>
      </w:r>
      <w:r>
        <w:t xml:space="preserve"> to retrieve the configuration of any protected area at a given date. The </w:t>
      </w:r>
      <w:r>
        <w:rPr>
          <w:rStyle w:val="VerbatimChar"/>
        </w:rPr>
        <w:t>zone_type</w:t>
      </w:r>
      <w:r>
        <w:t xml:space="preserve"> field distinguishes external boundaries from internal zones, enabling analyses at different spatial scales.</w:t>
      </w:r>
    </w:p>
    <w:p w14:paraId="05E49C68" w14:textId="77777777" w:rsidR="004E3978" w:rsidRDefault="00000000">
      <w:pPr>
        <w:pStyle w:val="BodyText"/>
      </w:pPr>
      <w:r>
        <w:t>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14:paraId="2E50E84C" w14:textId="77777777" w:rsidR="004E3978" w:rsidRDefault="00000000">
      <w:pPr>
        <w:pStyle w:val="BodyText"/>
      </w:pPr>
      <w:r>
        <w:t>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p w14:paraId="70EC6D05" w14:textId="77777777" w:rsidR="004E3978" w:rsidRDefault="00000000">
      <w:pPr>
        <w:pStyle w:val="Heading1"/>
      </w:pPr>
      <w:bookmarkStart w:id="14" w:name="data-availability-statement"/>
      <w:bookmarkEnd w:id="13"/>
      <w:r>
        <w:lastRenderedPageBreak/>
        <w:t>6. Data Availability Statement</w:t>
      </w:r>
    </w:p>
    <w:p w14:paraId="391F489C" w14:textId="77777777" w:rsidR="004E3978" w:rsidRDefault="00000000">
      <w:pPr>
        <w:pStyle w:val="FirstParagraph"/>
      </w:pPr>
      <w:r>
        <w:t xml:space="preserve">The amendment registry (YAML and GeoJSON files) along with the source metadata is deposited on DataSuds, the institutional research data repository of the Institut de Recherche pour le Développement (IRD), under the provisional DOI: </w:t>
      </w:r>
      <w:hyperlink r:id="rId13">
        <w:r>
          <w:rPr>
            <w:rStyle w:val="Hyperlink"/>
          </w:rPr>
          <w:t>https://doi.org/10.23708/VN2TWC</w:t>
        </w:r>
      </w:hyperlink>
      <w:r>
        <w:t>.</w:t>
      </w:r>
    </w:p>
    <w:p w14:paraId="003162D1" w14:textId="77777777" w:rsidR="004E3978" w:rsidRDefault="00000000">
      <w:pPr>
        <w:pStyle w:val="BodyText"/>
      </w:pPr>
      <w:r>
        <w:t>For the purpose of peer review, the fully consolidated datasets (</w:t>
      </w:r>
      <w:r>
        <w:rPr>
          <w:rStyle w:val="VerbatimChar"/>
        </w:rPr>
        <w:t>dynamic_wdpa.gpkg</w:t>
      </w:r>
      <w:r>
        <w:t xml:space="preserve"> and </w:t>
      </w:r>
      <w:r>
        <w:rPr>
          <w:rStyle w:val="VerbatimChar"/>
        </w:rPr>
        <w:t>dynamic_wdpa.parquet</w:t>
      </w:r>
      <w:r>
        <w:t xml:space="preserve">) and the source amendment registry are provided via a secure, anonymous institutional drive. Reviewers can instantly and anonymously download the data without any login or password requirements at the following temporary link: </w:t>
      </w:r>
      <w:hyperlink r:id="rId14">
        <w:r>
          <w:rPr>
            <w:rStyle w:val="Hyperlink"/>
          </w:rPr>
          <w:t>https://drive.ird.fr/s/cqo3bZr8RSA2LAM</w:t>
        </w:r>
      </w:hyperlink>
    </w:p>
    <w:p w14:paraId="01A88CC0" w14:textId="77777777" w:rsidR="004E3978" w:rsidRDefault="00000000">
      <w:pPr>
        <w:pStyle w:val="BodyText"/>
      </w:pPr>
      <w:r>
        <w:t>This dual-hosting arrangement is maintained pending final permission from UNEP-WCMC to publicly redistribute geometries derived from the WDPA baseline. Once permission is secured, the compiled geodata will be integrated directly into the DataSuds repository.</w:t>
      </w:r>
    </w:p>
    <w:p w14:paraId="3A2C444B" w14:textId="77777777" w:rsidR="004E3978" w:rsidRDefault="00000000">
      <w:pPr>
        <w:pStyle w:val="Heading1"/>
      </w:pPr>
      <w:bookmarkStart w:id="15" w:name="code-availability"/>
      <w:bookmarkEnd w:id="14"/>
      <w:r>
        <w:t>7. Code Availability</w:t>
      </w:r>
    </w:p>
    <w:p w14:paraId="4F44CF58" w14:textId="77777777" w:rsidR="004E3978" w:rsidRDefault="00000000">
      <w:pPr>
        <w:pStyle w:val="FirstParagraph"/>
      </w:pPr>
      <w:r>
        <w:t xml:space="preserve">All source code is available at </w:t>
      </w:r>
      <w:hyperlink r:id="rId15">
        <w:r>
          <w:rPr>
            <w:rStyle w:val="Hyperlink"/>
          </w:rPr>
          <w:t>https://github.c</w:t>
        </w:r>
        <w:r>
          <w:rPr>
            <w:rStyle w:val="Hyperlink"/>
          </w:rPr>
          <w:t>o</w:t>
        </w:r>
        <w:r>
          <w:rPr>
            <w:rStyle w:val="Hyperlink"/>
          </w:rPr>
          <w:t>m/BETSAKA/conservation-dynamic-madagascar</w:t>
        </w:r>
      </w:hyperlink>
      <w:r>
        <w:t xml:space="preserve"> 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p w14:paraId="1DD336D1" w14:textId="77777777" w:rsidR="004E3978" w:rsidRDefault="00000000">
      <w:pPr>
        <w:pStyle w:val="Heading1"/>
      </w:pPr>
      <w:bookmarkStart w:id="16" w:name="acknowledgements"/>
      <w:bookmarkEnd w:id="15"/>
      <w:r>
        <w:t>8. Acknowledgements</w:t>
      </w:r>
    </w:p>
    <w:p w14:paraId="4AEAAD37" w14:textId="77777777" w:rsidR="004E3978" w:rsidRDefault="00000000">
      <w:pPr>
        <w:pStyle w:val="FirstParagraph"/>
      </w:pPr>
      <w:r>
        <w:t>This work was conducted within the BETSAKA project, supported by KfW (grant BMZ 2018-68-538/KfW 108778), Agence Française de Développement (grant PAIRES-CZZ2557), Institut de Recherche pour le Développement (IRD) and Agence Nationale de la Recherche (grant ANR-22-CPJ1-0052-01).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p w14:paraId="28040726" w14:textId="77777777" w:rsidR="004E3978" w:rsidRDefault="00000000">
      <w:pPr>
        <w:pStyle w:val="Heading1"/>
      </w:pPr>
      <w:bookmarkStart w:id="17" w:name="funding"/>
      <w:bookmarkEnd w:id="16"/>
      <w:r>
        <w:t>9. Funding</w:t>
      </w:r>
    </w:p>
    <w:p w14:paraId="3D93136C" w14:textId="77777777" w:rsidR="004E3978" w:rsidRDefault="00000000">
      <w:pPr>
        <w:pStyle w:val="FirstParagraph"/>
      </w:pPr>
      <w:r>
        <w:t>This work was supported by KfW (grant number BMZ 2018-68-538 / KfW 108778), Agence Française de Développement (grant number PAIRES-CZZ2557), and Agence Nationale de la Recherche (grant number ANR-22-CPJ1-0052-01).</w:t>
      </w:r>
    </w:p>
    <w:p w14:paraId="4E5CEF2C" w14:textId="77777777" w:rsidR="004E3978" w:rsidRDefault="00000000">
      <w:pPr>
        <w:pStyle w:val="Heading1"/>
      </w:pPr>
      <w:bookmarkStart w:id="18" w:name="author-contributions"/>
      <w:bookmarkEnd w:id="17"/>
      <w:r>
        <w:lastRenderedPageBreak/>
        <w:t>10. Author Contributions</w:t>
      </w:r>
    </w:p>
    <w:p w14:paraId="5E505C20" w14:textId="77777777" w:rsidR="004E3978" w:rsidRDefault="00000000">
      <w:pPr>
        <w:pStyle w:val="FirstParagraph"/>
      </w:pPr>
      <w:r>
        <w:t>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p w14:paraId="4BEB1C1A" w14:textId="77777777" w:rsidR="004E3978" w:rsidRDefault="00000000">
      <w:pPr>
        <w:pStyle w:val="Heading1"/>
      </w:pPr>
      <w:bookmarkStart w:id="19" w:name="competing-interests"/>
      <w:bookmarkEnd w:id="18"/>
      <w:r>
        <w:t>11. Competing Interests</w:t>
      </w:r>
    </w:p>
    <w:p w14:paraId="15A2018A" w14:textId="77777777" w:rsidR="004E3978" w:rsidRDefault="00000000">
      <w:pPr>
        <w:pStyle w:val="FirstParagraph"/>
      </w:pPr>
      <w:r>
        <w:t>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p w14:paraId="0321DAC9" w14:textId="77777777" w:rsidR="004E3978" w:rsidRDefault="00000000">
      <w:pPr>
        <w:pStyle w:val="Heading1"/>
      </w:pPr>
      <w:bookmarkStart w:id="20" w:name="funding-1"/>
      <w:bookmarkEnd w:id="19"/>
      <w:r>
        <w:t>12. Funding</w:t>
      </w:r>
    </w:p>
    <w:p w14:paraId="44D307B8" w14:textId="77777777" w:rsidR="004E3978" w:rsidRDefault="00000000">
      <w:pPr>
        <w:pStyle w:val="FirstParagraph"/>
      </w:pPr>
      <w:r>
        <w:t>BETSAKA project, supported by KfW, Agence Française de Développement (AFD), Institut de Recherche pour le Développement (IRD), and Agence Nationale de la Recherche (ANR).</w:t>
      </w:r>
    </w:p>
    <w:p w14:paraId="6EDBE83F" w14:textId="77777777" w:rsidR="004E3978" w:rsidRDefault="00000000">
      <w:pPr>
        <w:pStyle w:val="Heading1"/>
      </w:pPr>
      <w:bookmarkStart w:id="21" w:name="references"/>
      <w:bookmarkEnd w:id="20"/>
      <w:r>
        <w:t>13. References</w:t>
      </w:r>
    </w:p>
    <w:p w14:paraId="0569B7E5" w14:textId="77777777" w:rsidR="004E3978" w:rsidRDefault="00000000">
      <w:pPr>
        <w:pStyle w:val="Bibliography"/>
      </w:pPr>
      <w:bookmarkStart w:id="22" w:name="ref-Bingham2019a"/>
      <w:bookmarkStart w:id="23" w:name="refs"/>
      <w:r>
        <w:t>Bingham HC, Deguignet M, Lewis E, et al (2019a) User Manual for the World Database on Protected Areas and world database on other effective area- based conservation measures: 1.6. UNEP-WCMC, Cambridge, UK</w:t>
      </w:r>
    </w:p>
    <w:p w14:paraId="43C07B2C" w14:textId="77777777" w:rsidR="004E3978" w:rsidRDefault="00000000">
      <w:pPr>
        <w:pStyle w:val="Bibliography"/>
      </w:pPr>
      <w:bookmarkStart w:id="24" w:name="ref-bingham2019b"/>
      <w:bookmarkEnd w:id="22"/>
      <w:r>
        <w:t>Bingham HC, Juffe Bignoli D, Lewis E, et al (2019b) Sixty years of tracking conservation progress using the World Database on Protected Areas. Nature Ecology &amp; Evolution 3:737–743</w:t>
      </w:r>
    </w:p>
    <w:p w14:paraId="4A421C8D" w14:textId="77777777" w:rsidR="004E3978" w:rsidRDefault="00000000">
      <w:pPr>
        <w:pStyle w:val="Bibliography"/>
      </w:pPr>
      <w:bookmarkStart w:id="25" w:name="ref-Ebregt2000"/>
      <w:bookmarkEnd w:id="24"/>
      <w:r>
        <w:t>Ebregt A, De Greve P (2000) Buffer Zones and their Management. Policy and Best Practices for terrestrial ecosystems in developing countries. Theme Studies Series 5, Forest, Forestry and Biological Support Group. National Reference Centre for Nature Management. International Agricultural Centre, The Netherlands, 64pp</w:t>
      </w:r>
    </w:p>
    <w:p w14:paraId="654E37B2" w14:textId="77777777" w:rsidR="004E3978" w:rsidRDefault="00000000">
      <w:pPr>
        <w:pStyle w:val="Bibliography"/>
      </w:pPr>
      <w:bookmarkStart w:id="26" w:name="ref-Goodman2018"/>
      <w:bookmarkEnd w:id="25"/>
      <w:r>
        <w:t>Goodman SM, Raherilalao MJ, Wohlhauser S, et al (2018) Les aires protégées terrestres de Madagascar: Leur histoire, description et biote. Association Vahatra</w:t>
      </w:r>
    </w:p>
    <w:p w14:paraId="04BB85C7" w14:textId="77777777" w:rsidR="004E3978" w:rsidRDefault="00000000">
      <w:pPr>
        <w:pStyle w:val="Bibliography"/>
      </w:pPr>
      <w:bookmarkStart w:id="27" w:name="ref-lewisDynamicsGlobalProtectedarea2019"/>
      <w:bookmarkEnd w:id="26"/>
      <w:r>
        <w:t>Lewis E, MacSharry B, Juffe-Bignoli D, et al (2019) Dynamics in the global protected-area estate since 2004. Conservation Biology 33:570–579</w:t>
      </w:r>
    </w:p>
    <w:p w14:paraId="2907DC2A" w14:textId="77777777" w:rsidR="004E3978" w:rsidRDefault="00000000">
      <w:pPr>
        <w:pStyle w:val="Bibliography"/>
      </w:pPr>
      <w:bookmarkStart w:id="28" w:name="ref-Maxwell2020"/>
      <w:bookmarkEnd w:id="27"/>
      <w:r>
        <w:t>Maxwell SL, Cazalis V, Dudley N, et al (2020) Area-based conservation in the twenty-first century. Nature 586:217–227</w:t>
      </w:r>
    </w:p>
    <w:p w14:paraId="2D960BEE" w14:textId="77777777" w:rsidR="004E3978" w:rsidRDefault="00000000">
      <w:pPr>
        <w:pStyle w:val="Bibliography"/>
      </w:pPr>
      <w:bookmarkStart w:id="29" w:name="ref-symesWhyWeLose2016"/>
      <w:bookmarkEnd w:id="28"/>
      <w:r>
        <w:lastRenderedPageBreak/>
        <w:t>Symes WS, Rao M, Mascia MB, Carrasco LR (2016) Why do we lose protected areas? Factors influencing protected area downgrading, downsizing and degazettement in the tropics and subtropics. Global Change Biology 22:656–665</w:t>
      </w:r>
    </w:p>
    <w:p w14:paraId="705466AD" w14:textId="77777777" w:rsidR="004E3978" w:rsidRDefault="00000000">
      <w:pPr>
        <w:pStyle w:val="Bibliography"/>
      </w:pPr>
      <w:bookmarkStart w:id="30" w:name="ref-unep2024"/>
      <w:bookmarkEnd w:id="29"/>
      <w:r>
        <w:t>UNEP-WCMC and IUCN (2024) Protected planet report 2024. UNEP-WCMC; IUCN, Cambridge, United Kingdom; Gland, Switzerland</w:t>
      </w:r>
    </w:p>
    <w:p w14:paraId="70F3E40B" w14:textId="77777777" w:rsidR="004E3978" w:rsidRDefault="00000000">
      <w:pPr>
        <w:pStyle w:val="Bibliography"/>
      </w:pPr>
      <w:bookmarkStart w:id="31" w:name="ref-Waeber2020"/>
      <w:bookmarkEnd w:id="30"/>
      <w:r>
        <w:t>Waeber PO, Rafanoharana S, Rasamuel HA, Wilmé L (2020) Parks and reserves in Madagascar: Managing biodiversity for a sustainable future. Protected Areas, National Parks and Sustainable Future AN Bakar and MN Suratman (eds) 89–108. https://doi.org/</w:t>
      </w:r>
      <w:hyperlink r:id="rId16">
        <w:r>
          <w:rPr>
            <w:rStyle w:val="Hyperlink"/>
          </w:rPr>
          <w:t>http://dx.doi.org/10.5772/intechopen.85348</w:t>
        </w:r>
      </w:hyperlink>
      <w:bookmarkEnd w:id="21"/>
      <w:bookmarkEnd w:id="23"/>
      <w:bookmarkEnd w:id="31"/>
    </w:p>
    <w:sectPr w:rsidR="004E3978" w:rsidSect="00E7174C">
      <w:footerReference w:type="default" r:id="rId17"/>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9CA1" w14:textId="77777777" w:rsidR="003F740E" w:rsidRDefault="003F740E" w:rsidP="00E7174C">
      <w:pPr>
        <w:spacing w:after="0"/>
      </w:pPr>
      <w:r>
        <w:separator/>
      </w:r>
    </w:p>
  </w:endnote>
  <w:endnote w:type="continuationSeparator" w:id="0">
    <w:p w14:paraId="73E62203" w14:textId="77777777" w:rsidR="003F740E" w:rsidRDefault="003F740E" w:rsidP="00E717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690499"/>
      <w:docPartObj>
        <w:docPartGallery w:val="Page Numbers (Bottom of Page)"/>
        <w:docPartUnique/>
      </w:docPartObj>
    </w:sdtPr>
    <w:sdtEndPr>
      <w:rPr>
        <w:noProof/>
      </w:rPr>
    </w:sdtEndPr>
    <w:sdtContent>
      <w:p w14:paraId="20E8F128" w14:textId="7C7BB5F8" w:rsidR="00E7174C" w:rsidRDefault="00E717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A50656" w14:textId="77777777" w:rsidR="00E7174C" w:rsidRDefault="00E71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EE22" w14:textId="77777777" w:rsidR="003F740E" w:rsidRDefault="003F740E" w:rsidP="00E7174C">
      <w:pPr>
        <w:spacing w:after="0"/>
      </w:pPr>
      <w:r>
        <w:separator/>
      </w:r>
    </w:p>
  </w:footnote>
  <w:footnote w:type="continuationSeparator" w:id="0">
    <w:p w14:paraId="58CF38DC" w14:textId="77777777" w:rsidR="003F740E" w:rsidRDefault="003F740E" w:rsidP="00E717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AC04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5E9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4520157">
    <w:abstractNumId w:val="0"/>
  </w:num>
  <w:num w:numId="2" w16cid:durableId="1517383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78"/>
    <w:rsid w:val="00022E90"/>
    <w:rsid w:val="003F740E"/>
    <w:rsid w:val="004E3978"/>
    <w:rsid w:val="007618A8"/>
    <w:rsid w:val="00E71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A246"/>
  <w15:docId w15:val="{3055763A-490D-4FE3-928E-1813EBBB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E7174C"/>
    <w:pPr>
      <w:tabs>
        <w:tab w:val="center" w:pos="4513"/>
        <w:tab w:val="right" w:pos="9026"/>
      </w:tabs>
      <w:spacing w:after="0"/>
    </w:pPr>
  </w:style>
  <w:style w:type="character" w:customStyle="1" w:styleId="HeaderChar">
    <w:name w:val="Header Char"/>
    <w:basedOn w:val="DefaultParagraphFont"/>
    <w:link w:val="Header"/>
    <w:rsid w:val="00E7174C"/>
  </w:style>
  <w:style w:type="paragraph" w:styleId="Footer">
    <w:name w:val="footer"/>
    <w:basedOn w:val="Normal"/>
    <w:link w:val="FooterChar"/>
    <w:uiPriority w:val="99"/>
    <w:rsid w:val="00E7174C"/>
    <w:pPr>
      <w:tabs>
        <w:tab w:val="center" w:pos="4513"/>
        <w:tab w:val="right" w:pos="9026"/>
      </w:tabs>
      <w:spacing w:after="0"/>
    </w:pPr>
  </w:style>
  <w:style w:type="character" w:customStyle="1" w:styleId="FooterChar">
    <w:name w:val="Footer Char"/>
    <w:basedOn w:val="DefaultParagraphFont"/>
    <w:link w:val="Footer"/>
    <w:uiPriority w:val="99"/>
    <w:rsid w:val="00E7174C"/>
  </w:style>
  <w:style w:type="character" w:styleId="LineNumber">
    <w:name w:val="line number"/>
    <w:basedOn w:val="DefaultParagraphFont"/>
    <w:rsid w:val="00E7174C"/>
  </w:style>
  <w:style w:type="character" w:styleId="FollowedHyperlink">
    <w:name w:val="FollowedHyperlink"/>
    <w:basedOn w:val="DefaultParagraphFont"/>
    <w:rsid w:val="00022E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media/image3.png" Type="http://schemas.openxmlformats.org/officeDocument/2006/relationships/image"/><Relationship Id="rId11" Target="media/image4.png" Type="http://schemas.openxmlformats.org/officeDocument/2006/relationships/image"/><Relationship Id="rId12" Target="https://www.protectedplanet.net/" TargetMode="External" Type="http://schemas.openxmlformats.org/officeDocument/2006/relationships/hyperlink"/><Relationship Id="rId13" Target="https://doi.org/10.23708/VN2TWC" TargetMode="External" Type="http://schemas.openxmlformats.org/officeDocument/2006/relationships/hyperlink"/><Relationship Id="rId14" Target="https://drive.ird.fr/s/cqo3bZr8RSA2LAM" TargetMode="External" Type="http://schemas.openxmlformats.org/officeDocument/2006/relationships/hyperlink"/><Relationship Id="rId15" Target="https://github.com/BETSAKA/conservation-dynamic-madagascar" TargetMode="External" Type="http://schemas.openxmlformats.org/officeDocument/2006/relationships/hyperlink"/><Relationship Id="rId16" Target="http://dx.doi.org/10.5772/intechopen.85348" TargetMode="External" Type="http://schemas.openxmlformats.org/officeDocument/2006/relationships/hyperlink"/><Relationship Id="rId17" Target="footer1.xml" Type="http://schemas.openxmlformats.org/officeDocument/2006/relationships/footer"/><Relationship Id="rId18" Target="fontTable.xml" Type="http://schemas.openxmlformats.org/officeDocument/2006/relationships/fontTable"/><Relationship Id="rId19"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https://github.com/BETSAKA/conservation-dynamic-madagascar"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4465</Words>
  <Characters>25454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 replicable temporal extension of protected area geodata applied to 123 sites in Madagascar</vt:lpstr>
    </vt:vector>
  </TitlesOfParts>
  <Company/>
  <LinksUpToDate>false</LinksUpToDate>
  <CharactersWithSpaces>29860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2026-06-18T10:40:00Z</dcterms:created>
  <dcterms:modified xsi:type="dcterms:W3CDTF">2026-06-18T10:40:00Z</dcterms:modified>
  <cp:revision>2</cp:revision>
  <dc:title>A replicable temporal extension of protected area geodata applied to 123 sites in Madagascar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references/springer-basic-author-date.csl</vt:lpwstr>
  </property>
  <property fmtid="{D5CDD505-2E9C-101B-9397-08002B2CF9AE}" pid="10" name="date">
    <vt:lpwstr>2026-05-14</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