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0.png" ContentType="image/png"/>
  <Override PartName="/word/media/rId15.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replicable temporal extension of protected area geodata applied to 123 sites in Madagascar</w:t>
      </w:r>
    </w:p>
    <w:p>
      <w:pPr>
        <w:pStyle w:val="Author"/>
      </w:pPr>
      <w:r>
        <w:t xml:space="preserve">Florent Bédécarrats</w:t>
      </w:r>
    </w:p>
    <w:p>
      <w:pPr>
        <w:pStyle w:val="Author"/>
      </w:pPr>
      <w:r>
        <w:t xml:space="preserve">Seheno Ramanantsoa</w:t>
      </w:r>
    </w:p>
    <w:p>
      <w:pPr>
        <w:pStyle w:val="Author"/>
      </w:pPr>
      <w:r>
        <w:t xml:space="preserve">Ollier D. Andrianambinina</w:t>
      </w:r>
    </w:p>
    <w:p>
      <w:pPr>
        <w:pStyle w:val="Date"/>
      </w:pPr>
      <w:r>
        <w:t xml:space="preserve">2026-04-29</w:t>
      </w:r>
    </w:p>
    <w:p>
      <w:pPr>
        <w:pStyle w:val="AbstractTitle"/>
      </w:pPr>
      <w:r>
        <w:t xml:space="preserve">Abstract</w:t>
      </w:r>
    </w:p>
    <w:p>
      <w:pPr>
        <w:pStyle w:val="Abstract"/>
      </w:pPr>
      <w:r>
        <w:t xml:space="preserve">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bookmarkStart w:id="9" w:name="background-summary"/>
    <w:p>
      <w:pPr>
        <w:pStyle w:val="Heading1"/>
      </w:pPr>
      <w:r>
        <w:t xml:space="preserve">1. Background &amp; Summary</w:t>
      </w:r>
    </w:p>
    <w:p>
      <w:pPr>
        <w:pStyle w:val="FirstParagraph"/>
      </w:pPr>
      <w:r>
        <w:t xml:space="preserve">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w:t>
      </w:r>
      <w:r>
        <w:t xml:space="preserve"> </w:t>
      </w:r>
      <w:r>
        <w:t xml:space="preserve">(Bingham et al. 2019b)</w:t>
      </w:r>
      <w:r>
        <w:t xml:space="preserve">.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w:t>
      </w:r>
      <w:r>
        <w:t xml:space="preserve"> </w:t>
      </w:r>
      <w:r>
        <w:t xml:space="preserve">(Maxwell et al. 2020)</w:t>
      </w:r>
      <w:r>
        <w:t xml:space="preserve">.</w:t>
      </w:r>
    </w:p>
    <w:p>
      <w:pPr>
        <w:pStyle w:val="BodyText"/>
      </w:pPr>
      <w:r>
        <w:t xml:space="preserve">The WDPA, however, was designed as a snapshot database. It records the current state of each protected area, and when boundaries or designations change, the previous configuration is overwritten. The WDPA user manual itself warns against using the STATUS_YR field for historical analysis, and degazetted sites are simply removed from the database</w:t>
      </w:r>
      <w:r>
        <w:t xml:space="preserve"> </w:t>
      </w:r>
      <w:r>
        <w:t xml:space="preserve">(Bingham et al. 2019a)</w:t>
      </w:r>
      <w:r>
        <w:t xml:space="preserve">. This structural limitation has been recognized in the literature on protected area downgrading, downsizing, and degazettement (PADDD). Symes et al.</w:t>
      </w:r>
      <w:r>
        <w:t xml:space="preserve"> </w:t>
      </w:r>
      <w:r>
        <w:t xml:space="preserve">(2016)</w:t>
      </w:r>
      <w:r>
        <w:t xml:space="preserve"> </w:t>
      </w:r>
      <w:r>
        <w:t xml:space="preserve">examined the factors driving PADDD events in the tropics and subtropics, showing that protected areas are not permanent — they can be reduced, reclassified, or revoked entirely.</w:t>
      </w:r>
      <w:r>
        <w:t xml:space="preserve"> </w:t>
      </w:r>
      <w:r>
        <w:t xml:space="preserve">Lewis et al. (2019)</w:t>
      </w:r>
      <w:r>
        <w:t xml:space="preserve"> </w:t>
      </w:r>
      <w:r>
        <w:t xml:space="preserve">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pPr>
        <w:pStyle w:val="BodyText"/>
      </w:pPr>
      <w:r>
        <w:t xml:space="preserve">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pPr>
        <w:pStyle w:val="BodyText"/>
      </w:pPr>
      <w:r>
        <w:t xml:space="preserve">A further dimension that static snapshot databases fail to capture is the internal zoning of protected areas. In many national systems, multi-use protected area categories — typically corresponding to IUCN Categories III to VI — are internally subdivided into zones with distinct levels of permitted human activity. In Madagascar, the Protected Area Management Code (Code de Gestion des Aires Protégées, COAP; Law 2015-005) requires such sites to delineate a strictly protected core zone (noyau dur), where extractive uses are prohibited and biodiversity conservation takes legal precedence, alongside internal buffer zones where regulated resource use by surrounding communities may be permitted. The term “buffer zone” is used in the literature to refer both to areas surrounding core zones within protected areas and to areas surrounding the external boundary of protected areas</w:t>
      </w:r>
      <w:r>
        <w:t xml:space="preserve"> </w:t>
      </w:r>
      <w:r>
        <w:t xml:space="preserve">(Ebregt and De Greve 2000)</w:t>
      </w:r>
      <w:r>
        <w:t xml:space="preserve">. To avoid ambiguity, we distinguish throughout this manuscript and dataset between “internal buffer zones” and “external buffer zones.” The temporal emergence of these zones is a critical feature of conservation trajectories: a protected area’s external boundary is typically established by an initial creation decree, while its core zone may be delimited and formalized either in that same decree or in the site’s management and development plan, together with the other zoning categories, at a later stage. Impact evaluations relying solely on the external boundary may therefore misattribute outcomes to the protected area as a whole, whereas the effective protection signal on land use, biodiversity, and community access operates principally at the core zone level.</w:t>
      </w:r>
    </w:p>
    <w:p>
      <w:pPr>
        <w:pStyle w:val="BodyText"/>
      </w:pPr>
      <w:r>
        <w:t xml:space="preserve">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inducing a downward biais in their results. It is also relevant for policymakers, as protected areas have become a major instrument of spatial planning, with global terrestrial coverage exceeding 17% in 2023</w:t>
      </w:r>
      <w:r>
        <w:t xml:space="preserve"> </w:t>
      </w:r>
      <w:r>
        <w:t xml:space="preserve">(UNEP-WCMC and IUCN 2024)</w:t>
      </w:r>
      <w:r>
        <w:t xml:space="preserve">. It also matters for conservation practitioners and local stakeholders, because shared spatial references support more transparent and equitable management.</w:t>
      </w:r>
    </w:p>
    <w:p>
      <w:pPr>
        <w:pStyle w:val="BodyText"/>
      </w:pPr>
      <w:r>
        <w:t xml:space="preserve">Madagascar offers a particularly instructive demonstration case. The island is one of the world’s foremost biodiversity hotspots, with forests sheltering over 80% of its biodiversity and endemism rates exceeding 80% across many taxonomic groups</w:t>
      </w:r>
      <w:r>
        <w:t xml:space="preserve"> </w:t>
      </w:r>
      <w:r>
        <w:t xml:space="preserve">(Waeber et al. 2020)</w:t>
      </w:r>
      <w:r>
        <w:t xml:space="preserve">. Its conservation history spans colonial-era strict nature reserves, post-independence national parks, and a rapid expansion following the 2003 Durban Vision, in which the government committed to tripling the protected surface to six million hectares</w:t>
      </w:r>
      <w:r>
        <w:t xml:space="preserve"> </w:t>
      </w:r>
      <w:r>
        <w:t xml:space="preserve">(Waeber et al. 2020)</w:t>
      </w:r>
      <w:r>
        <w:t xml:space="preserve">. This complex trajectory has been meticulously documented by Goodman et al.</w:t>
      </w:r>
      <w:r>
        <w:t xml:space="preserve"> </w:t>
      </w:r>
      <w:r>
        <w:t xml:space="preserve">(2018)</w:t>
      </w:r>
      <w:r>
        <w:t xml:space="preserve"> </w:t>
      </w:r>
      <w:r>
        <w:t xml:space="preserve">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pPr>
        <w:pStyle w:val="BodyText"/>
      </w:pPr>
      <w:r>
        <w:t xml:space="preserve">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pPr>
        <w:pStyle w:val="BodyText"/>
      </w:pPr>
      <w:r>
        <w:t xml:space="preserve">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bookmarkEnd w:id="9"/>
    <w:bookmarkStart w:id="22" w:name="methods"/>
    <w:p>
      <w:pPr>
        <w:pStyle w:val="Heading1"/>
      </w:pPr>
      <w:r>
        <w:t xml:space="preserve">2. Methods</w:t>
      </w:r>
    </w:p>
    <w:p>
      <w:pPr>
        <w:pStyle w:val="FirstParagraph"/>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Access to institutional datasets and validation processes was facilitated through close collaboration with national authorities, ensuring consistency with official records and operational practices.</w:t>
      </w:r>
    </w:p>
    <w:p>
      <w:pPr>
        <w:pStyle w:val="BodyText"/>
      </w:pPr>
      <w:r>
        <w:t xml:space="preserve">The complete methodology is documented in a reproducible notebook accompanying this paper (see supplementary material). We summarize the key steps below and illustrate the overall workflow in</w:t>
      </w:r>
      <w:r>
        <w:t xml:space="preserve"> </w:t>
      </w:r>
      <w:hyperlink w:anchor="fig-workflow">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 w:name="fig-workflow"/>
          <w:p>
            <w:pPr>
              <w:pStyle w:val="Compact"/>
              <w:jc w:val="center"/>
            </w:pPr>
            <w:r>
              <w:drawing>
                <wp:inline>
                  <wp:extent cx="5334000" cy="2871560"/>
                  <wp:effectExtent b="0" l="0" r="0" t="0"/>
                  <wp:docPr descr="" title="" id="11" name="Picture"/>
                  <a:graphic>
                    <a:graphicData uri="http://schemas.openxmlformats.org/drawingml/2006/picture">
                      <pic:pic>
                        <pic:nvPicPr>
                          <pic:cNvPr descr="../figures/Data_preparation_workflow.drawio.png" id="12" name="Picture"/>
                          <pic:cNvPicPr>
                            <a:picLocks noChangeArrowheads="1" noChangeAspect="1"/>
                          </pic:cNvPicPr>
                        </pic:nvPicPr>
                        <pic:blipFill>
                          <a:blip r:embed="rId10"/>
                          <a:stretch>
                            <a:fillRect/>
                          </a:stretch>
                        </pic:blipFill>
                        <pic:spPr bwMode="auto">
                          <a:xfrm>
                            <a:off x="0" y="0"/>
                            <a:ext cx="5334000" cy="28715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Workflow diagram of the data processing pipeline</w:t>
            </w:r>
          </w:p>
          <w:bookmarkEnd w:id="13"/>
        </w:tc>
      </w:tr>
    </w:tbl>
    <w:bookmarkStart w:id="14" w:name="input-data"/>
    <w:p>
      <w:pPr>
        <w:pStyle w:val="Heading2"/>
      </w:pPr>
      <w:r>
        <w:t xml:space="preserve">2.1 Input data</w:t>
      </w:r>
    </w:p>
    <w:p>
      <w:pPr>
        <w:pStyle w:val="FirstParagraph"/>
      </w:pPr>
      <w:r>
        <w:t xml:space="preserve">Four categories of input data were assembled: national data from the Madagascar Protected Area System (SAPM), historical snapshots of the WDPA, legal decisions from the national legislative database (CNLEGIS), and expert literature providing historical context and boundary information.</w:t>
      </w:r>
      <w:r>
        <w:t xml:space="preserve"> </w:t>
      </w:r>
      <w:r>
        <w:t xml:space="preserve">Eight successive spatial datasets from SAPM were harmonized:</w:t>
      </w:r>
    </w:p>
    <w:p>
      <w:pPr>
        <w:pStyle w:val="Compact"/>
        <w:numPr>
          <w:ilvl w:val="0"/>
          <w:numId w:val="1001"/>
        </w:numPr>
      </w:pPr>
      <w:r>
        <w:t xml:space="preserve">ANGAP 2002: From the then-only protected area management agency (Agence nationale de gestion des aires protégées)</w:t>
      </w:r>
    </w:p>
    <w:p>
      <w:pPr>
        <w:pStyle w:val="Compact"/>
        <w:numPr>
          <w:ilvl w:val="0"/>
          <w:numId w:val="1001"/>
        </w:numPr>
      </w:pPr>
      <w:r>
        <w:t xml:space="preserve">MNP 2010: dataset produced by Madagascar National Parks (MNP), the name adopted by ANGAP (Agence Nationale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w:t>
      </w:r>
    </w:p>
    <w:p>
      <w:pPr>
        <w:pStyle w:val="Compact"/>
        <w:numPr>
          <w:ilvl w:val="0"/>
          <w:numId w:val="1001"/>
        </w:numPr>
      </w:pPr>
      <w:r>
        <w:t xml:space="preserve">SAPM evolution series (2001–2011): from the coordination body that gathered the conservation actors</w:t>
      </w:r>
    </w:p>
    <w:p>
      <w:pPr>
        <w:pStyle w:val="Compact"/>
        <w:numPr>
          <w:ilvl w:val="0"/>
          <w:numId w:val="1001"/>
        </w:numPr>
      </w:pPr>
      <w:r>
        <w:t xml:space="preserve">Vahatra 2017: a complementary source curated in the framework of the Goodman et al.</w:t>
      </w:r>
      <w:r>
        <w:t xml:space="preserve"> </w:t>
      </w:r>
      <w:r>
        <w:t xml:space="preserve">(2018)</w:t>
      </w:r>
      <w:r>
        <w:t xml:space="preserve"> </w:t>
      </w:r>
      <w:r>
        <w:t xml:space="preserve">monograph, which provides curated boundaries and status of 98 terrestrial protected areas up to date in 2015;</w:t>
      </w:r>
    </w:p>
    <w:p>
      <w:pPr>
        <w:pStyle w:val="Compact"/>
        <w:numPr>
          <w:ilvl w:val="0"/>
          <w:numId w:val="1001"/>
        </w:numPr>
      </w:pPr>
      <w:r>
        <w:t xml:space="preserve">SAPM 2017 and 2024 : dataset produced by Madagascar National Parks (MNP), the name adopted by ANGAP (Agence Nationale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expansionMadagascar is the new name of ANGAP, at a time where new management agencies emerged (international or local NGOs)</w:t>
      </w:r>
      <w:r>
        <w:t xml:space="preserve"> </w:t>
      </w:r>
      <w:r>
        <w:t xml:space="preserve">• SAPM evolution series (2001–2011): from the coordination body that gathered the conservation actors</w:t>
      </w:r>
      <w:r>
        <w:t xml:space="preserve"> </w:t>
      </w:r>
      <w:r>
        <w:t xml:space="preserve">• Vahatra 2017: a complementary source curated in the framework of the Goodman et al. (2018) monograph, which provides curated boundaries and status of 98 terrestrial protected areas up to date in 2015;</w:t>
      </w:r>
      <w:r>
        <w:t xml:space="preserve"> </w:t>
      </w:r>
      <w:r>
        <w:t xml:space="preserve">• SAPM 2017 and 2024: Updated datasets coordinated by the Ministry of Environment and Sustainable Development (MEDD), which has ensured the overall governance and coordination of the protected area system, while working with multiple management entities including Madagascar National Parks and conservation NGOs</w:t>
      </w:r>
    </w:p>
    <w:p>
      <w:pPr>
        <w:pStyle w:val="Compact"/>
        <w:numPr>
          <w:ilvl w:val="0"/>
          <w:numId w:val="1001"/>
        </w:numPr>
      </w:pPr>
      <w:r>
        <w:t xml:space="preserve">Complementary sources identified through an archive searching and manual curation by MNP.</w:t>
      </w:r>
    </w:p>
    <w:p>
      <w:pPr>
        <w:pStyle w:val="FirstParagraph"/>
      </w:pPr>
      <w:r>
        <w:t xml:space="preserve">Each dataset was reprojected, geometries were repaired, and attributes were standardized to a common schema.</w:t>
      </w:r>
    </w:p>
    <w:p>
      <w:pPr>
        <w:pStyle w:val="BodyText"/>
      </w:pPr>
      <w:r>
        <w:t xml:space="preserve">The WDPA historical archive provided 15 annual snapshots (2010–2024) obtained from the AWS Open Data registry and Google Earth Engine monthly archives, serving primarily to establish the baseline attributes and geometries for each protected area and to track schema evolution across versions. The Madagascar subset was extracted and reprojected to the Laborde projection (EPSG:29702), and Blake3 hashing was used to deduplicate identical geometries across snapshots.</w:t>
      </w:r>
    </w:p>
    <w:p>
      <w:pPr>
        <w:pStyle w:val="BodyText"/>
      </w:pPr>
      <w:r>
        <w:t xml:space="preserve">Approximately 200 legal decisions (decrees, ministerial orders, interministerial orders) related to protected areas were extracted from the Centre National de Légistique (CNLEGIS), Madagascar’s official legislative database. An automated pipeline combining web scraping, regular expression classification by decision type, and fuzzy string matching (Levenshtein distance) linked each decision to a WDPAID. This automated processing was complemented by systematic manual reading of legal texts to extract boundary descriptions, effective dates, and status changes not captured by the automated methods.</w:t>
      </w:r>
    </w:p>
    <w:p>
      <w:pPr>
        <w:pStyle w:val="BodyText"/>
      </w:pPr>
      <w:r>
        <w:t xml:space="preserve">Additional historical context was drawn from the three-volume monograph by Goodman et al.</w:t>
      </w:r>
      <w:r>
        <w:t xml:space="preserve"> </w:t>
      </w:r>
      <w:r>
        <w:t xml:space="preserve">(2018)</w:t>
      </w:r>
      <w:r>
        <w:t xml:space="preserve">, which provides creation dates, historical boundaries, and status changes for 98 terrestrial protected areas, and from Waeber et al.</w:t>
      </w:r>
      <w:r>
        <w:t xml:space="preserve"> </w:t>
      </w:r>
      <w:r>
        <w:t xml:space="preserve">(2020)</w:t>
      </w:r>
      <w:r>
        <w:t xml:space="preserve">.</w:t>
      </w:r>
    </w:p>
    <w:bookmarkEnd w:id="14"/>
    <w:bookmarkStart w:id="19" w:name="consolidation-and-verification"/>
    <w:p>
      <w:pPr>
        <w:pStyle w:val="Heading2"/>
      </w:pPr>
      <w:r>
        <w:t xml:space="preserve">2.2 Consolidation and verification</w:t>
      </w:r>
    </w:p>
    <w:p>
      <w:pPr>
        <w:pStyle w:val="FirstParagraph"/>
      </w:pPr>
      <w:r>
        <w:t xml:space="preserve">Records from all four sources were matched to WDPA identifiers through a combination of spatial matching (centroid distance and polygon overlap ratios) and string-distance matching on protected area names. This step resolved name variants and multi-polygon entities.</w:t>
      </w:r>
    </w:p>
    <w:p>
      <w:pPr>
        <w:pStyle w:val="BodyText"/>
      </w:pPr>
      <w:r>
        <w:t xml:space="preserve">A Shiny web application was developed and deployed for domain expert review. domain expert review. The validation involved protected area managers, GIS specialists from MEDD and Madagascar National Parks, and researchers with long-term experience on Madagascar’s protected area system.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pPr>
        <w:pStyle w:val="BodyText"/>
      </w:pPr>
      <w:r>
        <w:t xml:space="preserve">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pPr>
        <w:pStyle w:val="BodyText"/>
      </w:pPr>
      <w:r>
        <w:t xml:space="preserve">For approximately 25 protected areas with complex histories, a detailed case-by-case review was conducted, cross-referencing legal decisions, historical boundaries from Goodman et al.</w:t>
      </w:r>
      <w:r>
        <w:t xml:space="preserve"> </w:t>
      </w:r>
      <w:r>
        <w:t xml:space="preserve">(2018)</w:t>
      </w:r>
      <w:r>
        <w:t xml:space="preserve">, and successive SAPM datasets.</w:t>
      </w:r>
      <w:r>
        <w:t xml:space="preserve"> </w:t>
      </w:r>
      <w:hyperlink w:anchor="fig-examples">
        <w:r>
          <w:rPr>
            <w:rStyle w:val="Hyperlink"/>
          </w:rPr>
          <w:t xml:space="preserve">Figure 2</w:t>
        </w:r>
      </w:hyperlink>
      <w:r>
        <w:t xml:space="preserve"> </w:t>
      </w:r>
      <w:r>
        <w:t xml:space="preserve">illustrates three such cases. Amendments were documented in Spatial Amendment Tables (SAT) for geometries and Feature Attribute Tables (FAT) for attributes, then exported to the canonical YAML format.</w:t>
      </w:r>
    </w:p>
    <w:tbl>
      <w:tblPr>
        <w:tblStyle w:val="Table"/>
        <w:tblW w:type="pct" w:w="5000"/>
        <w:tblLayout w:type="fixed"/>
        <w:tblLook w:firstRow="0" w:lastRow="0" w:firstColumn="0" w:lastColumn="0" w:noHBand="0" w:noVBand="0" w:val="0000"/>
      </w:tblPr>
      <w:tblGrid>
        <w:gridCol w:w="7920"/>
      </w:tblGrid>
      <w:tr>
        <w:tc>
          <w:tcPr/>
          <w:bookmarkStart w:id="18" w:name="fig-examples"/>
          <w:p>
            <w:pPr>
              <w:pStyle w:val="Compact"/>
              <w:jc w:val="center"/>
            </w:pPr>
            <w:r>
              <w:drawing>
                <wp:inline>
                  <wp:extent cx="5334000" cy="4667250"/>
                  <wp:effectExtent b="0" l="0" r="0" t="0"/>
                  <wp:docPr descr="" title="" id="16" name="Picture"/>
                  <a:graphic>
                    <a:graphicData uri="http://schemas.openxmlformats.org/drawingml/2006/picture">
                      <pic:pic>
                        <pic:nvPicPr>
                          <pic:cNvPr descr="../figures/fig_examples.png" id="17" name="Picture"/>
                          <pic:cNvPicPr>
                            <a:picLocks noChangeArrowheads="1" noChangeAspect="1"/>
                          </pic:cNvPicPr>
                        </pic:nvPicPr>
                        <pic:blipFill>
                          <a:blip r:embed="rId15"/>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Temporal reconstruction for three protected areas</w:t>
            </w:r>
          </w:p>
          <w:bookmarkEnd w:id="18"/>
        </w:tc>
      </w:tr>
    </w:tbl>
    <w:bookmarkEnd w:id="19"/>
    <w:bookmarkStart w:id="20" w:name="yaml-amendment-registry"/>
    <w:p>
      <w:pPr>
        <w:pStyle w:val="Heading2"/>
      </w:pPr>
      <w:r>
        <w:t xml:space="preserve">2.3 YAML amendment registry</w:t>
      </w:r>
    </w:p>
    <w:p>
      <w:pPr>
        <w:pStyle w:val="FirstParagraph"/>
      </w:pPr>
      <w:r>
        <w:t xml:space="preserve">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pPr>
        <w:pStyle w:val="BodyText"/>
      </w:pPr>
      <w:r>
        <w:t xml:space="preserve">The registry documents four types of amendments: boundary modifications (legally documented changes to external limits), status changes (reclassifications such as from Strict Nature Reserve to National Park), corrections (errors in the WDPA regarding dates, statuses, or geometries), and secondary zoning (internal zones including core zones and buffer zones).</w:t>
      </w:r>
    </w:p>
    <w:bookmarkEnd w:id="20"/>
    <w:bookmarkStart w:id="21" w:name="consolidation-and-auditing-rules"/>
    <w:p>
      <w:pPr>
        <w:pStyle w:val="Heading2"/>
      </w:pPr>
      <w:r>
        <w:t xml:space="preserve">2.4 Consolidation and Auditing Rules</w:t>
      </w:r>
    </w:p>
    <w:p>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w:t>
      </w:r>
      <w:r>
        <w:t xml:space="preserve"> </w:t>
      </w:r>
      <w:r>
        <w:rPr>
          <w:rStyle w:val="VerbatimChar"/>
        </w:rPr>
        <w:t xml:space="preserve">generate_timeline()</w:t>
      </w:r>
      <w:r>
        <w:t xml:space="preserve"> </w:t>
      </w:r>
      <w:r>
        <w:t xml:space="preserve">identifies temporal breakpoints from all amendments for a given WDPAID,</w:t>
      </w:r>
      <w:r>
        <w:t xml:space="preserve"> </w:t>
      </w:r>
      <w:r>
        <w:rPr>
          <w:rStyle w:val="VerbatimChar"/>
        </w:rPr>
        <w:t xml:space="preserve">find_active_amendments()</w:t>
      </w:r>
      <w:r>
        <w:t xml:space="preserve"> </w:t>
      </w:r>
      <w:r>
        <w:t xml:space="preserve">determines which amendments are active at each time point, and</w:t>
      </w:r>
      <w:r>
        <w:t xml:space="preserve"> </w:t>
      </w:r>
      <w:r>
        <w:rPr>
          <w:rStyle w:val="VerbatimChar"/>
        </w:rPr>
        <w:t xml:space="preserve">consolidate_pa_states()</w:t>
      </w:r>
      <w:r>
        <w:t xml:space="preserve"> </w:t>
      </w:r>
      <w:r>
        <w:t xml:space="preserve">merges baseline attributes with active amendments to produce each temporal state. Because the rules are coded explicitly and the inputs are versioned, the entire transformation is reproducible and auditable.</w:t>
      </w:r>
    </w:p>
    <w:bookmarkEnd w:id="21"/>
    <w:bookmarkEnd w:id="22"/>
    <w:bookmarkStart w:id="29" w:name="data-records"/>
    <w:p>
      <w:pPr>
        <w:pStyle w:val="Heading1"/>
      </w:pPr>
      <w:r>
        <w:t xml:space="preserve">3. Data Records</w:t>
      </w:r>
    </w:p>
    <w:p>
      <w:pPr>
        <w:pStyle w:val="FirstParagraph"/>
      </w:pPr>
      <w:r>
        <w:t xml:space="preserve">The dataset is deposited on DataSuds, the institutional research data repository of the Institut de Recherche pour le Développement (IRD), which assigns a persistent DOI. The source code is hosted on GitHub at</w:t>
      </w:r>
      <w:r>
        <w:t xml:space="preserve"> </w:t>
      </w:r>
      <w:hyperlink r:id="rId23">
        <w:r>
          <w:rPr>
            <w:rStyle w:val="Hyperlink"/>
          </w:rPr>
          <w:t xml:space="preserve">https://github.com/BETSAKA/conservation-dynamic-madagascar</w:t>
        </w:r>
      </w:hyperlink>
      <w:r>
        <w:t xml:space="preserve"> </w:t>
      </w:r>
      <w:r>
        <w:t xml:space="preserve">and archived via Software Heritage for long-term preservation and persistent identification.</w:t>
      </w:r>
    </w:p>
    <w:p>
      <w:pPr>
        <w:pStyle w:val="BodyText"/>
      </w:pPr>
      <w:r>
        <w:t xml:space="preserve">The dataset is distributed in three complementary forms. The first is a GeoPackage file (</w:t>
      </w:r>
      <w:r>
        <w:rPr>
          <w:rStyle w:val="VerbatimChar"/>
        </w:rPr>
        <w:t xml:space="preserve">dynamic_wdpa_madagascar.gpkg</w:t>
      </w:r>
      <w:r>
        <w:t xml:space="preserve">), an OGC standard format directly compatible with QGIS, ArcGIS, R, and Python. The second is a GeoParquet file (</w:t>
      </w:r>
      <w:r>
        <w:rPr>
          <w:rStyle w:val="VerbatimChar"/>
        </w:rPr>
        <w:t xml:space="preserve">dynamic_wdpa_madagascar.parquet</w:t>
      </w:r>
      <w:r>
        <w:t xml:space="preserve">), a columnar geospatial format optimized for analytical workflows and now also supported by QGIS and ArcGIS in addition to Arrow-based tools in R and Python. The third is the YAML amendment registry (</w:t>
      </w:r>
      <w:r>
        <w:rPr>
          <w:rStyle w:val="VerbatimChar"/>
        </w:rPr>
        <w:t xml:space="preserve">amendments/</w:t>
      </w:r>
      <w:r>
        <w:t xml:space="preserve">), containing per-protected-area YAML files documenting each amendment with its legal source, effective date, and type, accompanied by GeoJSON geometry files where boundaries differ from the WDPA baseline.</w:t>
      </w:r>
    </w:p>
    <w:p>
      <w:pPr>
        <w:pStyle w:val="BodyText"/>
      </w:pPr>
      <w:r>
        <w:t xml:space="preserve">Each row in the output dataset represents one zone in one temporal state. A protected area with boundary changes and internal zoning will have multiple rows across time periods.</w:t>
      </w:r>
      <w:r>
        <w:t xml:space="preserve"> </w:t>
      </w:r>
      <w:hyperlink w:anchor="tbl-schema">
        <w:r>
          <w:rPr>
            <w:rStyle w:val="Hyperlink"/>
          </w:rPr>
          <w:t xml:space="preserve">Table 1</w:t>
        </w:r>
      </w:hyperlink>
      <w:r>
        <w:t xml:space="preserve"> </w:t>
      </w:r>
      <w:r>
        <w:t xml:space="preserve">describes the fields.</w:t>
      </w:r>
    </w:p>
    <w:tbl>
      <w:tblPr>
        <w:tblStyle w:val="Table"/>
        <w:tblW w:type="pct" w:w="5000"/>
        <w:tblLayout w:type="fixed"/>
        <w:tblLook w:firstRow="0" w:lastRow="0" w:firstColumn="0" w:lastColumn="0" w:noHBand="0" w:noVBand="0" w:val="0000"/>
      </w:tblPr>
      <w:tblGrid>
        <w:gridCol w:w="7920"/>
      </w:tblGrid>
      <w:tr>
        <w:tc>
          <w:tcPr/>
          <w:bookmarkStart w:id="24" w:name="tbl-schema"/>
          <w:p>
            <w:pPr>
              <w:jc w:val="center"/>
            </w:pPr>
            <w:pPr>
              <w:jc w:val="left"/>
              <w:spacing w:before="200"/>
              <w:pStyle w:val="ImageCaption"/>
            </w:pPr>
            <w:r>
              <w:t xml:space="preserve">Table 1: Schema of the temporal states dataset.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Field</w:t>
                  </w:r>
                </w:p>
              </w:tc>
              <w:tc>
                <w:tcPr/>
                <w:p>
                  <w:pPr>
                    <w:pStyle w:val="Compact"/>
                    <w:jc w:val="center"/>
                  </w:pPr>
                  <w:r>
                    <w:t xml:space="preserve">Type</w:t>
                  </w:r>
                </w:p>
              </w:tc>
              <w:tc>
                <w:tcPr/>
                <w:p>
                  <w:pPr>
                    <w:pStyle w:val="Compact"/>
                    <w:jc w:val="center"/>
                  </w:pPr>
                  <w:r>
                    <w:t xml:space="preserve">Description</w:t>
                  </w:r>
                </w:p>
              </w:tc>
            </w:tr>
            <w:tr>
              <w:tc>
                <w:tcPr/>
                <w:p>
                  <w:pPr>
                    <w:pStyle w:val="Compact"/>
                    <w:jc w:val="center"/>
                  </w:pPr>
                  <w:r>
                    <w:rPr>
                      <w:rStyle w:val="VerbatimChar"/>
                    </w:rPr>
                    <w:t xml:space="preserve">state_id</w:t>
                  </w:r>
                </w:p>
              </w:tc>
              <w:tc>
                <w:tcPr/>
                <w:p>
                  <w:pPr>
                    <w:pStyle w:val="Compact"/>
                    <w:jc w:val="center"/>
                  </w:pPr>
                  <w:r>
                    <w:t xml:space="preserve">Character</w:t>
                  </w:r>
                </w:p>
              </w:tc>
              <w:tc>
                <w:tcPr/>
                <w:p>
                  <w:pPr>
                    <w:pStyle w:val="Compact"/>
                    <w:jc w:val="center"/>
                  </w:pPr>
                  <w:r>
                    <w:t xml:space="preserve">Unique identifier for each temporal state</w:t>
                  </w:r>
                </w:p>
              </w:tc>
            </w:tr>
            <w:tr>
              <w:tc>
                <w:tcPr/>
                <w:p>
                  <w:pPr>
                    <w:pStyle w:val="Compact"/>
                    <w:jc w:val="center"/>
                  </w:pPr>
                  <w:r>
                    <w:rPr>
                      <w:rStyle w:val="VerbatimChar"/>
                    </w:rPr>
                    <w:t xml:space="preserve">WDPAID</w:t>
                  </w:r>
                </w:p>
              </w:tc>
              <w:tc>
                <w:tcPr/>
                <w:p>
                  <w:pPr>
                    <w:pStyle w:val="Compact"/>
                    <w:jc w:val="center"/>
                  </w:pPr>
                  <w:r>
                    <w:t xml:space="preserve">Integer</w:t>
                  </w:r>
                </w:p>
              </w:tc>
              <w:tc>
                <w:tcPr/>
                <w:p>
                  <w:pPr>
                    <w:pStyle w:val="Compact"/>
                    <w:jc w:val="center"/>
                  </w:pPr>
                  <w:r>
                    <w:t xml:space="preserve">WDPA identifier, enabling cross-reference with the global database</w:t>
                  </w:r>
                </w:p>
              </w:tc>
            </w:tr>
            <w:tr>
              <w:tc>
                <w:tcPr/>
                <w:p>
                  <w:pPr>
                    <w:pStyle w:val="Compact"/>
                    <w:jc w:val="center"/>
                  </w:pPr>
                  <w:r>
                    <w:rPr>
                      <w:rStyle w:val="VerbatimChar"/>
                    </w:rPr>
                    <w:t xml:space="preserve">valid_from</w:t>
                  </w:r>
                </w:p>
              </w:tc>
              <w:tc>
                <w:tcPr/>
                <w:p>
                  <w:pPr>
                    <w:pStyle w:val="Compact"/>
                    <w:jc w:val="center"/>
                  </w:pPr>
                  <w:r>
                    <w:t xml:space="preserve">Date</w:t>
                  </w:r>
                </w:p>
              </w:tc>
              <w:tc>
                <w:tcPr/>
                <w:p>
                  <w:pPr>
                    <w:pStyle w:val="Compact"/>
                    <w:jc w:val="center"/>
                  </w:pPr>
                  <w:r>
                    <w:t xml:space="preserve">Start date of this state’s validity period</w:t>
                  </w:r>
                </w:p>
              </w:tc>
            </w:tr>
            <w:tr>
              <w:tc>
                <w:tcPr/>
                <w:p>
                  <w:pPr>
                    <w:pStyle w:val="Compact"/>
                    <w:jc w:val="center"/>
                  </w:pPr>
                  <w:r>
                    <w:rPr>
                      <w:rStyle w:val="VerbatimChar"/>
                    </w:rPr>
                    <w:t xml:space="preserve">valid_to</w:t>
                  </w:r>
                </w:p>
              </w:tc>
              <w:tc>
                <w:tcPr/>
                <w:p>
                  <w:pPr>
                    <w:pStyle w:val="Compact"/>
                    <w:jc w:val="center"/>
                  </w:pPr>
                  <w:r>
                    <w:t xml:space="preserve">Date</w:t>
                  </w:r>
                </w:p>
              </w:tc>
              <w:tc>
                <w:tcPr/>
                <w:p>
                  <w:pPr>
                    <w:pStyle w:val="Compact"/>
                    <w:jc w:val="center"/>
                  </w:pPr>
                  <w:r>
                    <w:t xml:space="preserve">End date of this state’s validity period</w:t>
                  </w:r>
                </w:p>
              </w:tc>
            </w:tr>
            <w:tr>
              <w:tc>
                <w:tcPr/>
                <w:p>
                  <w:pPr>
                    <w:pStyle w:val="Compact"/>
                    <w:jc w:val="center"/>
                  </w:pPr>
                  <w:r>
                    <w:rPr>
                      <w:rStyle w:val="VerbatimChar"/>
                    </w:rPr>
                    <w:t xml:space="preserve">zone_type</w:t>
                  </w:r>
                </w:p>
              </w:tc>
              <w:tc>
                <w:tcPr/>
                <w:p>
                  <w:pPr>
                    <w:pStyle w:val="Compact"/>
                    <w:jc w:val="center"/>
                  </w:pPr>
                  <w:r>
                    <w:t xml:space="preserve">Character</w:t>
                  </w:r>
                </w:p>
              </w:tc>
              <w:tc>
                <w:tcPr/>
                <w:p>
                  <w:pPr>
                    <w:pStyle w:val="Compact"/>
                    <w:jc w:val="center"/>
                  </w:pPr>
                  <w:r>
                    <w:t xml:space="preserve">Zone type:</w:t>
                  </w:r>
                  <w:r>
                    <w:t xml:space="preserve"> </w:t>
                  </w:r>
                  <w:r>
                    <w:rPr>
                      <w:rStyle w:val="VerbatimChar"/>
                    </w:rPr>
                    <w:t xml:space="preserve">external_boundary</w:t>
                  </w:r>
                  <w:r>
                    <w:t xml:space="preserve">,</w:t>
                  </w:r>
                  <w:r>
                    <w:t xml:space="preserve"> </w:t>
                  </w:r>
                  <w:r>
                    <w:rPr>
                      <w:rStyle w:val="VerbatimChar"/>
                    </w:rPr>
                    <w:t xml:space="preserve">core_zone</w:t>
                  </w:r>
                  <w:r>
                    <w:t xml:space="preserve">,</w:t>
                  </w:r>
                  <w:r>
                    <w:t xml:space="preserve"> </w:t>
                  </w:r>
                  <w:r>
                    <w:rPr>
                      <w:rStyle w:val="VerbatimChar"/>
                    </w:rPr>
                    <w:t xml:space="preserve">internal_buffer_zone</w:t>
                  </w:r>
                  <w:r>
                    <w:t xml:space="preserve">, or</w:t>
                  </w:r>
                  <w:r>
                    <w:t xml:space="preserve"> </w:t>
                  </w:r>
                  <w:r>
                    <w:rPr>
                      <w:rStyle w:val="VerbatimChar"/>
                    </w:rPr>
                    <w:t xml:space="preserve">external_buffer_zone</w:t>
                  </w:r>
                </w:p>
              </w:tc>
            </w:tr>
            <w:tr>
              <w:tc>
                <w:tcPr/>
                <w:p>
                  <w:pPr>
                    <w:pStyle w:val="Compact"/>
                    <w:jc w:val="center"/>
                  </w:pPr>
                  <w:r>
                    <w:rPr>
                      <w:rStyle w:val="VerbatimChar"/>
                    </w:rPr>
                    <w:t xml:space="preserve">zone_name</w:t>
                  </w:r>
                </w:p>
              </w:tc>
              <w:tc>
                <w:tcPr/>
                <w:p>
                  <w:pPr>
                    <w:pStyle w:val="Compact"/>
                    <w:jc w:val="center"/>
                  </w:pPr>
                  <w:r>
                    <w:t xml:space="preserve">Character</w:t>
                  </w:r>
                </w:p>
              </w:tc>
              <w:tc>
                <w:tcPr/>
                <w:p>
                  <w:pPr>
                    <w:pStyle w:val="Compact"/>
                    <w:jc w:val="center"/>
                  </w:pPr>
                  <w:r>
                    <w:t xml:space="preserve">Name of the zone, if applicable</w:t>
                  </w:r>
                </w:p>
              </w:tc>
            </w:tr>
            <w:tr>
              <w:tc>
                <w:tcPr/>
                <w:p>
                  <w:pPr>
                    <w:pStyle w:val="Compact"/>
                    <w:jc w:val="center"/>
                  </w:pPr>
                  <w:r>
                    <w:rPr>
                      <w:rStyle w:val="VerbatimChar"/>
                    </w:rPr>
                    <w:t xml:space="preserve">geometry</w:t>
                  </w:r>
                </w:p>
              </w:tc>
              <w:tc>
                <w:tcPr/>
                <w:p>
                  <w:pPr>
                    <w:pStyle w:val="Compact"/>
                    <w:jc w:val="center"/>
                  </w:pPr>
                  <w:r>
                    <w:t xml:space="preserve">Geometry</w:t>
                  </w:r>
                </w:p>
              </w:tc>
              <w:tc>
                <w:tcPr/>
                <w:p>
                  <w:pPr>
                    <w:pStyle w:val="Compact"/>
                    <w:jc w:val="center"/>
                  </w:pPr>
                  <w:r>
                    <w:t xml:space="preserve">Polygon or multipolygon in WGS84 (EPSG:4326)</w:t>
                  </w:r>
                </w:p>
              </w:tc>
            </w:tr>
            <w:tr>
              <w:tc>
                <w:tcPr/>
                <w:p>
                  <w:pPr>
                    <w:pStyle w:val="Compact"/>
                    <w:jc w:val="center"/>
                  </w:pPr>
                  <w:r>
                    <w:rPr>
                      <w:rStyle w:val="VerbatimChar"/>
                    </w:rPr>
                    <w:t xml:space="preserve">NAME</w:t>
                  </w:r>
                </w:p>
              </w:tc>
              <w:tc>
                <w:tcPr/>
                <w:p>
                  <w:pPr>
                    <w:pStyle w:val="Compact"/>
                    <w:jc w:val="center"/>
                  </w:pPr>
                  <w:r>
                    <w:t xml:space="preserve">Character</w:t>
                  </w:r>
                </w:p>
              </w:tc>
              <w:tc>
                <w:tcPr/>
                <w:p>
                  <w:pPr>
                    <w:pStyle w:val="Compact"/>
                    <w:jc w:val="center"/>
                  </w:pPr>
                  <w:r>
                    <w:t xml:space="preserve">Protected area name</w:t>
                  </w:r>
                </w:p>
              </w:tc>
            </w:tr>
            <w:tr>
              <w:tc>
                <w:tcPr/>
                <w:p>
                  <w:pPr>
                    <w:pStyle w:val="Compact"/>
                    <w:jc w:val="center"/>
                  </w:pPr>
                  <w:r>
                    <w:rPr>
                      <w:rStyle w:val="VerbatimChar"/>
                    </w:rPr>
                    <w:t xml:space="preserve">DESIG</w:t>
                  </w:r>
                </w:p>
              </w:tc>
              <w:tc>
                <w:tcPr/>
                <w:p>
                  <w:pPr>
                    <w:pStyle w:val="Compact"/>
                    <w:jc w:val="center"/>
                  </w:pPr>
                  <w:r>
                    <w:t xml:space="preserve">Character</w:t>
                  </w:r>
                </w:p>
              </w:tc>
              <w:tc>
                <w:tcPr/>
                <w:p>
                  <w:pPr>
                    <w:pStyle w:val="Compact"/>
                    <w:jc w:val="center"/>
                  </w:pPr>
                  <w:r>
                    <w:t xml:space="preserve">Designation type</w:t>
                  </w:r>
                </w:p>
              </w:tc>
            </w:tr>
            <w:tr>
              <w:tc>
                <w:tcPr/>
                <w:p>
                  <w:pPr>
                    <w:pStyle w:val="Compact"/>
                    <w:jc w:val="center"/>
                  </w:pPr>
                  <w:r>
                    <w:rPr>
                      <w:rStyle w:val="VerbatimChar"/>
                    </w:rPr>
                    <w:t xml:space="preserve">IUCN_CAT</w:t>
                  </w:r>
                </w:p>
              </w:tc>
              <w:tc>
                <w:tcPr/>
                <w:p>
                  <w:pPr>
                    <w:pStyle w:val="Compact"/>
                    <w:jc w:val="center"/>
                  </w:pPr>
                  <w:r>
                    <w:t xml:space="preserve">Character</w:t>
                  </w:r>
                </w:p>
              </w:tc>
              <w:tc>
                <w:tcPr/>
                <w:p>
                  <w:pPr>
                    <w:pStyle w:val="Compact"/>
                    <w:jc w:val="center"/>
                  </w:pPr>
                  <w:r>
                    <w:t xml:space="preserve">IUCN management category</w:t>
                  </w:r>
                </w:p>
              </w:tc>
            </w:tr>
            <w:tr>
              <w:tc>
                <w:tcPr/>
                <w:p>
                  <w:pPr>
                    <w:pStyle w:val="Compact"/>
                    <w:jc w:val="center"/>
                  </w:pPr>
                  <w:r>
                    <w:rPr>
                      <w:rStyle w:val="VerbatimChar"/>
                    </w:rPr>
                    <w:t xml:space="preserve">STATUS</w:t>
                  </w:r>
                </w:p>
              </w:tc>
              <w:tc>
                <w:tcPr/>
                <w:p>
                  <w:pPr>
                    <w:pStyle w:val="Compact"/>
                    <w:jc w:val="center"/>
                  </w:pPr>
                  <w:r>
                    <w:t xml:space="preserve">Character</w:t>
                  </w:r>
                </w:p>
              </w:tc>
              <w:tc>
                <w:tcPr/>
                <w:p>
                  <w:pPr>
                    <w:pStyle w:val="Compact"/>
                    <w:jc w:val="center"/>
                  </w:pPr>
                  <w:r>
                    <w:t xml:space="preserve">Designation status</w:t>
                  </w:r>
                </w:p>
              </w:tc>
            </w:tr>
            <w:tr>
              <w:tc>
                <w:tcPr/>
                <w:p>
                  <w:pPr>
                    <w:pStyle w:val="Compact"/>
                    <w:jc w:val="center"/>
                  </w:pPr>
                  <w:r>
                    <w:rPr>
                      <w:rStyle w:val="VerbatimChar"/>
                    </w:rPr>
                    <w:t xml:space="preserve">STATUS_YR</w:t>
                  </w:r>
                </w:p>
              </w:tc>
              <w:tc>
                <w:tcPr/>
                <w:p>
                  <w:pPr>
                    <w:pStyle w:val="Compact"/>
                    <w:jc w:val="center"/>
                  </w:pPr>
                  <w:r>
                    <w:t xml:space="preserve">Integer</w:t>
                  </w:r>
                </w:p>
              </w:tc>
              <w:tc>
                <w:tcPr/>
                <w:p>
                  <w:pPr>
                    <w:pStyle w:val="Compact"/>
                    <w:jc w:val="center"/>
                  </w:pPr>
                  <w:r>
                    <w:t xml:space="preserve">Year of current status</w:t>
                  </w:r>
                </w:p>
              </w:tc>
            </w:tr>
            <w:tr>
              <w:tc>
                <w:tcPr/>
                <w:p>
                  <w:pPr>
                    <w:pStyle w:val="Compact"/>
                    <w:jc w:val="center"/>
                  </w:pPr>
                  <w:r>
                    <w:rPr>
                      <w:rStyle w:val="VerbatimChar"/>
                    </w:rPr>
                    <w:t xml:space="preserve">GOV_TYPE</w:t>
                  </w:r>
                </w:p>
              </w:tc>
              <w:tc>
                <w:tcPr/>
                <w:p>
                  <w:pPr>
                    <w:pStyle w:val="Compact"/>
                    <w:jc w:val="center"/>
                  </w:pPr>
                  <w:r>
                    <w:t xml:space="preserve">Character</w:t>
                  </w:r>
                </w:p>
              </w:tc>
              <w:tc>
                <w:tcPr/>
                <w:p>
                  <w:pPr>
                    <w:pStyle w:val="Compact"/>
                    <w:jc w:val="center"/>
                  </w:pPr>
                  <w:r>
                    <w:t xml:space="preserve">Governance type</w:t>
                  </w:r>
                </w:p>
              </w:tc>
            </w:tr>
            <w:tr>
              <w:tc>
                <w:tcPr/>
                <w:p>
                  <w:pPr>
                    <w:pStyle w:val="Compact"/>
                    <w:jc w:val="center"/>
                  </w:pPr>
                  <w:r>
                    <w:rPr>
                      <w:rStyle w:val="VerbatimChar"/>
                    </w:rPr>
                    <w:t xml:space="preserve">MANG_AUTH</w:t>
                  </w:r>
                </w:p>
              </w:tc>
              <w:tc>
                <w:tcPr/>
                <w:p>
                  <w:pPr>
                    <w:pStyle w:val="Compact"/>
                    <w:jc w:val="center"/>
                  </w:pPr>
                  <w:r>
                    <w:t xml:space="preserve">Character</w:t>
                  </w:r>
                </w:p>
              </w:tc>
              <w:tc>
                <w:tcPr/>
                <w:p>
                  <w:pPr>
                    <w:pStyle w:val="Compact"/>
                    <w:jc w:val="center"/>
                  </w:pPr>
                  <w:r>
                    <w:t xml:space="preserve">Management authority</w:t>
                  </w:r>
                </w:p>
              </w:tc>
            </w:tr>
            <w:tr>
              <w:tc>
                <w:tcPr/>
                <w:p>
                  <w:pPr>
                    <w:pStyle w:val="Compact"/>
                    <w:jc w:val="center"/>
                  </w:pPr>
                  <w:r>
                    <w:rPr>
                      <w:rStyle w:val="VerbatimChar"/>
                    </w:rPr>
                    <w:t xml:space="preserve">amendment_source</w:t>
                  </w:r>
                </w:p>
              </w:tc>
              <w:tc>
                <w:tcPr/>
                <w:p>
                  <w:pPr>
                    <w:pStyle w:val="Compact"/>
                    <w:jc w:val="center"/>
                  </w:pPr>
                  <w:r>
                    <w:t xml:space="preserve">Character</w:t>
                  </w:r>
                </w:p>
              </w:tc>
              <w:tc>
                <w:tcPr/>
                <w:p>
                  <w:pPr>
                    <w:pStyle w:val="Compact"/>
                    <w:jc w:val="center"/>
                  </w:pPr>
                  <w:r>
                    <w:t xml:space="preserve">Reference to the YAML amendment file or</w:t>
                  </w:r>
                  <w:r>
                    <w:t xml:space="preserve"> </w:t>
                  </w:r>
                  <w:r>
                    <w:rPr>
                      <w:rStyle w:val="VerbatimChar"/>
                    </w:rPr>
                    <w:t xml:space="preserve">"wdpa_baseline"</w:t>
                  </w:r>
                </w:p>
              </w:tc>
            </w:tr>
          </w:tbl>
          <w:bookmarkEnd w:id="24"/>
          <w:p/>
        </w:tc>
      </w:tr>
    </w:tbl>
    <w:p>
      <w:pPr>
        <w:pStyle w:val="BodyText"/>
      </w:pPr>
      <w:r>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w:t>
      </w:r>
      <w:r>
        <w:t xml:space="preserve"> </w:t>
      </w:r>
      <w:hyperlink w:anchor="fig-map">
        <w:r>
          <w:rPr>
            <w:rStyle w:val="Hyperlink"/>
          </w:rPr>
          <w:t xml:space="preserve">Figure 3</w:t>
        </w:r>
      </w:hyperlink>
      <w:r>
        <w:t xml:space="preserve"> </w:t>
      </w:r>
      <w:r>
        <w:t xml:space="preserve">shows the spatial distribution of protected areas colored by the number of documented temporal states, illustrating where the dataset adds information relative to the static WDPA.</w:t>
      </w:r>
    </w:p>
    <w:tbl>
      <w:tblPr>
        <w:tblStyle w:val="Table"/>
        <w:tblW w:type="pct" w:w="5000"/>
        <w:tblLayout w:type="fixed"/>
        <w:tblLook w:firstRow="0" w:lastRow="0" w:firstColumn="0" w:lastColumn="0" w:noHBand="0" w:noVBand="0" w:val="0000"/>
      </w:tblPr>
      <w:tblGrid>
        <w:gridCol w:w="7920"/>
      </w:tblGrid>
      <w:tr>
        <w:tc>
          <w:tcPr/>
          <w:bookmarkStart w:id="28" w:name="fig-map"/>
          <w:p>
            <w:pPr>
              <w:pStyle w:val="Compact"/>
              <w:jc w:val="center"/>
            </w:pPr>
            <w:r>
              <w:drawing>
                <wp:inline>
                  <wp:extent cx="3733800" cy="7382570"/>
                  <wp:effectExtent b="0" l="0" r="0" t="0"/>
                  <wp:docPr descr="" title="" id="26" name="Picture"/>
                  <a:graphic>
                    <a:graphicData uri="http://schemas.openxmlformats.org/drawingml/2006/picture">
                      <pic:pic>
                        <pic:nvPicPr>
                          <pic:cNvPr descr="../figures/fig_map.png" id="27" name="Picture"/>
                          <pic:cNvPicPr>
                            <a:picLocks noChangeArrowheads="1" noChangeAspect="1"/>
                          </pic:cNvPicPr>
                        </pic:nvPicPr>
                        <pic:blipFill>
                          <a:blip r:embed="rId25"/>
                          <a:stretch>
                            <a:fillRect/>
                          </a:stretch>
                        </pic:blipFill>
                        <pic:spPr bwMode="auto">
                          <a:xfrm>
                            <a:off x="0" y="0"/>
                            <a:ext cx="3733800" cy="738257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Map of Madagascar’s 123 terrestrial protected areas</w:t>
            </w:r>
          </w:p>
          <w:bookmarkEnd w:id="28"/>
        </w:tc>
      </w:tr>
    </w:tbl>
    <w:p>
      <w:pPr>
        <w:pStyle w:val="BodyText"/>
      </w:pPr>
      <w:r>
        <w:t xml:space="preserve">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bookmarkEnd w:id="29"/>
    <w:bookmarkStart w:id="34" w:name="technical-validation"/>
    <w:p>
      <w:pPr>
        <w:pStyle w:val="Heading1"/>
      </w:pPr>
      <w:r>
        <w:t xml:space="preserve">4. Technical Validation</w:t>
      </w:r>
    </w:p>
    <w:p>
      <w:pPr>
        <w:pStyle w:val="FirstParagraph"/>
      </w:pPr>
      <w:r>
        <w:t xml:space="preserve">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pPr>
        <w:pStyle w:val="BodyText"/>
      </w:pPr>
      <w:r>
        <w:t xml:space="preserve">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pPr>
        <w:pStyle w:val="BodyText"/>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w:t>
      </w:r>
      <w:r>
        <w:t xml:space="preserve"> </w:t>
      </w:r>
      <w:r>
        <w:rPr>
          <w:rStyle w:val="VerbatimChar"/>
        </w:rPr>
        <w:t xml:space="preserve">valid_from</w:t>
      </w:r>
      <w:r>
        <w:t xml:space="preserve"> </w:t>
      </w:r>
      <w:r>
        <w:t xml:space="preserve">is strictly earlier than</w:t>
      </w:r>
      <w:r>
        <w:t xml:space="preserve"> </w:t>
      </w:r>
      <w:r>
        <w:rPr>
          <w:rStyle w:val="VerbatimChar"/>
        </w:rPr>
        <w:t xml:space="preserve">valid_to</w:t>
      </w:r>
      <w:r>
        <w:t xml:space="preserve"> </w:t>
      </w:r>
      <w:r>
        <w:t xml:space="preserve">for every state.</w:t>
      </w:r>
    </w:p>
    <w:p>
      <w:pPr>
        <w:pStyle w:val="BodyText"/>
      </w:pPr>
      <w:r>
        <w:t xml:space="preserve">All geometries were validated using</w:t>
      </w:r>
      <w:r>
        <w:t xml:space="preserve"> </w:t>
      </w:r>
      <w:r>
        <w:rPr>
          <w:rStyle w:val="VerbatimChar"/>
        </w:rPr>
        <w:t xml:space="preserve">sf::st_make_valid()</w:t>
      </w:r>
      <w:r>
        <w:t xml:space="preserve"> </w:t>
      </w:r>
      <w:r>
        <w:t xml:space="preserve">in R. Core zones were verified to fall within their parent protected area’s external boundaries using spatial containment checks. Coordinate reference system consistency was enforced across all source datasets.</w:t>
      </w:r>
    </w:p>
    <w:p>
      <w:pPr>
        <w:pStyle w:val="BodyText"/>
      </w:pPr>
      <w:hyperlink w:anchor="fig-amendments">
        <w:r>
          <w:rPr>
            <w:rStyle w:val="Hyperlink"/>
          </w:rPr>
          <w:t xml:space="preserve">Figure 4</w:t>
        </w:r>
      </w:hyperlink>
      <w:r>
        <w:t xml:space="preserve"> </w:t>
      </w:r>
      <w:r>
        <w:t xml:space="preserve">summarizes the types and counts of amendments documented in the registry.</w:t>
      </w:r>
    </w:p>
    <w:tbl>
      <w:tblPr>
        <w:tblStyle w:val="Table"/>
        <w:tblW w:type="pct" w:w="5000"/>
        <w:tblLayout w:type="fixed"/>
        <w:tblLook w:firstRow="0" w:lastRow="0" w:firstColumn="0" w:lastColumn="0" w:noHBand="0" w:noVBand="0" w:val="0000"/>
      </w:tblPr>
      <w:tblGrid>
        <w:gridCol w:w="7920"/>
      </w:tblGrid>
      <w:tr>
        <w:tc>
          <w:tcPr/>
          <w:bookmarkStart w:id="33" w:name="fig-amendments"/>
          <w:p>
            <w:pPr>
              <w:pStyle w:val="Compact"/>
              <w:jc w:val="center"/>
            </w:pPr>
            <w:r>
              <w:drawing>
                <wp:inline>
                  <wp:extent cx="3733800" cy="2133600"/>
                  <wp:effectExtent b="0" l="0" r="0" t="0"/>
                  <wp:docPr descr="" title="" id="31" name="Picture"/>
                  <a:graphic>
                    <a:graphicData uri="http://schemas.openxmlformats.org/drawingml/2006/picture">
                      <pic:pic>
                        <pic:nvPicPr>
                          <pic:cNvPr descr="../figures/fig_amendments.png" id="32" name="Picture"/>
                          <pic:cNvPicPr>
                            <a:picLocks noChangeArrowheads="1" noChangeAspect="1"/>
                          </pic:cNvPicPr>
                        </pic:nvPicPr>
                        <pic:blipFill>
                          <a:blip r:embed="rId30"/>
                          <a:stretch>
                            <a:fillRect/>
                          </a:stretch>
                        </pic:blipFill>
                        <pic:spPr bwMode="auto">
                          <a:xfrm>
                            <a:off x="0" y="0"/>
                            <a:ext cx="37338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Type and counts of amendments documented in the YAML registry</w:t>
            </w:r>
          </w:p>
          <w:bookmarkEnd w:id="33"/>
        </w:tc>
      </w:tr>
    </w:tbl>
    <w:bookmarkEnd w:id="34"/>
    <w:bookmarkStart w:id="35" w:name="usage-notes"/>
    <w:p>
      <w:pPr>
        <w:pStyle w:val="Heading1"/>
      </w:pPr>
      <w:r>
        <w:t xml:space="preserve">5. Usage Notes</w:t>
      </w:r>
    </w:p>
    <w:p>
      <w:pPr>
        <w:pStyle w:val="FirstParagraph"/>
      </w:pPr>
      <w:r>
        <w:t xml:space="preserve">The GeoPackage and GeoParquet files can be opened directly in QGIS, ArcGIS, R (with the sf or arrow packages), or Python (with geopandas or pyarrow). The WDPAID field enables direct linkage with global WDPA analyses, allowing users to enrich the standard database with temporal information for Madagascar.</w:t>
      </w:r>
    </w:p>
    <w:p>
      <w:pPr>
        <w:pStyle w:val="BodyText"/>
      </w:pPr>
      <w:r>
        <w:t xml:space="preserve">For temporal queries, users can filter states by</w:t>
      </w:r>
      <w:r>
        <w:t xml:space="preserve"> </w:t>
      </w:r>
      <w:r>
        <w:rPr>
          <w:rStyle w:val="VerbatimChar"/>
        </w:rPr>
        <w:t xml:space="preserve">valid_from</w:t>
      </w:r>
      <w:r>
        <w:t xml:space="preserve"> </w:t>
      </w:r>
      <w:r>
        <w:t xml:space="preserve">and</w:t>
      </w:r>
      <w:r>
        <w:t xml:space="preserve"> </w:t>
      </w:r>
      <w:r>
        <w:rPr>
          <w:rStyle w:val="VerbatimChar"/>
        </w:rPr>
        <w:t xml:space="preserve">valid_to</w:t>
      </w:r>
      <w:r>
        <w:t xml:space="preserve"> </w:t>
      </w:r>
      <w:r>
        <w:t xml:space="preserve">to retrieve the configuration of any protected area at a given date. The</w:t>
      </w:r>
      <w:r>
        <w:t xml:space="preserve"> </w:t>
      </w:r>
      <w:r>
        <w:rPr>
          <w:rStyle w:val="VerbatimChar"/>
        </w:rPr>
        <w:t xml:space="preserve">zone_type</w:t>
      </w:r>
      <w:r>
        <w:t xml:space="preserve"> </w:t>
      </w:r>
      <w:r>
        <w:t xml:space="preserve">field distinguishes external boundaries from internal zones, enabling analyses at different spatial scales.</w:t>
      </w:r>
    </w:p>
    <w:p>
      <w:pPr>
        <w:pStyle w:val="BodyText"/>
      </w:pPr>
      <w:r>
        <w:t xml:space="preserve">The YAML amendment registry is designed for collaborative extension. Researchers with access to complementary sources — additional legal texts, historical maps, field boundary surveys — can propose new amendments via GitHub pull requests. The CAR engine will automatically integrate validated amendments into subsequent dataset releases.</w:t>
      </w:r>
    </w:p>
    <w:p>
      <w:pPr>
        <w:pStyle w:val="BodyText"/>
      </w:pPr>
      <w:r>
        <w:t xml:space="preserve">Users should note that the WDPA baseline attributes are subject to UNEP-WCMC licensing terms regarding commercial use. The amendments and the temporal data model itself are released under a CC-BY 4.0 license. An interactive companion website provides visual exploration of the dataset, enabling users to browse individual protected areas, view their temporal trajectories, and compare boundaries across sources and time periods.</w:t>
      </w:r>
    </w:p>
    <w:bookmarkEnd w:id="35"/>
    <w:bookmarkStart w:id="36" w:name="code-availability"/>
    <w:p>
      <w:pPr>
        <w:pStyle w:val="Heading1"/>
      </w:pPr>
      <w:r>
        <w:t xml:space="preserve">6. Code Availability</w:t>
      </w:r>
    </w:p>
    <w:p>
      <w:pPr>
        <w:pStyle w:val="FirstParagraph"/>
      </w:pPr>
      <w:r>
        <w:t xml:space="preserve">All source code is available at</w:t>
      </w:r>
      <w:r>
        <w:t xml:space="preserve"> </w:t>
      </w:r>
      <w:hyperlink r:id="rId23">
        <w:r>
          <w:rPr>
            <w:rStyle w:val="Hyperlink"/>
          </w:rPr>
          <w:t xml:space="preserve">https://github.com/BETSAKA/conservation-dynamic-madagascar</w:t>
        </w:r>
      </w:hyperlink>
      <w:r>
        <w:t xml:space="preserve"> </w:t>
      </w:r>
      <w:r>
        <w:t xml:space="preserve">under a CC-BY 4.0 license. The repository contains the complete Quarto book documenting all processing steps across nine chapters, the Shiny verification application, and the CAR consolidation engine. The code is archived via Software Heritage for long-term preservation, providing a persistent software identifier (SWHID).</w:t>
      </w:r>
    </w:p>
    <w:bookmarkEnd w:id="36"/>
    <w:bookmarkStart w:id="37" w:name="acknowledgements"/>
    <w:p>
      <w:pPr>
        <w:pStyle w:val="Heading1"/>
      </w:pPr>
      <w:r>
        <w:t xml:space="preserve">7. Acknowledgements</w:t>
      </w:r>
    </w:p>
    <w:p>
      <w:pPr>
        <w:pStyle w:val="FirstParagraph"/>
      </w:pPr>
      <w:r>
        <w:t xml:space="preserve">This work was conducted within the BETSAKA project, supported by KfW, Agence Française de Développement (AFD), Institut de Recherche pour le Développement (IRD), and Agence Nationale de la Recherche (ANR). 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bookmarkEnd w:id="37"/>
    <w:bookmarkStart w:id="38" w:name="author-contributions"/>
    <w:p>
      <w:pPr>
        <w:pStyle w:val="Heading1"/>
      </w:pPr>
      <w:r>
        <w:t xml:space="preserve">8. Author Contributions</w:t>
      </w:r>
    </w:p>
    <w:p>
      <w:pPr>
        <w:pStyle w:val="FirstParagraph"/>
      </w:pPr>
      <w:r>
        <w:t xml:space="preserve">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bookmarkEnd w:id="38"/>
    <w:bookmarkStart w:id="39" w:name="competing-interests"/>
    <w:p>
      <w:pPr>
        <w:pStyle w:val="Heading1"/>
      </w:pPr>
      <w:r>
        <w:t xml:space="preserve">9. Competing Interests</w:t>
      </w:r>
    </w:p>
    <w:p>
      <w:pPr>
        <w:pStyle w:val="FirstParagraph"/>
      </w:pPr>
      <w:r>
        <w:t xml:space="preserve">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bookmarkEnd w:id="39"/>
    <w:bookmarkStart w:id="40" w:name="funding"/>
    <w:p>
      <w:pPr>
        <w:pStyle w:val="Heading1"/>
      </w:pPr>
      <w:r>
        <w:t xml:space="preserve">10. Funding</w:t>
      </w:r>
    </w:p>
    <w:p>
      <w:pPr>
        <w:pStyle w:val="FirstParagraph"/>
      </w:pPr>
      <w:r>
        <w:t xml:space="preserve">BETSAKA project, supported by KfW, Agence Française de Développement (AFD), Institut de Recherche pour le Développement (IRD), and Agence Nationale de la Recherche (ANR).</w:t>
      </w:r>
    </w:p>
    <w:bookmarkEnd w:id="40"/>
    <w:bookmarkStart w:id="52" w:name="references"/>
    <w:p>
      <w:pPr>
        <w:pStyle w:val="Heading1"/>
      </w:pPr>
      <w:r>
        <w:t xml:space="preserve">11. References</w:t>
      </w:r>
    </w:p>
    <w:bookmarkStart w:id="51" w:name="refs"/>
    <w:bookmarkStart w:id="41" w:name="ref-Bingham2019a"/>
    <w:p>
      <w:pPr>
        <w:pStyle w:val="Bibliography"/>
      </w:pPr>
      <w:r>
        <w:t xml:space="preserve">Bingham HC, Deguignet M, Lewis E, et al (2019a) User</w:t>
      </w:r>
      <w:r>
        <w:t xml:space="preserve"> </w:t>
      </w:r>
      <w:r>
        <w:t xml:space="preserve">Manual</w:t>
      </w:r>
      <w:r>
        <w:t xml:space="preserve"> </w:t>
      </w:r>
      <w:r>
        <w:t xml:space="preserve">for the</w:t>
      </w:r>
      <w:r>
        <w:t xml:space="preserve"> </w:t>
      </w:r>
      <w:r>
        <w:t xml:space="preserve">World Database</w:t>
      </w:r>
      <w:r>
        <w:t xml:space="preserve"> </w:t>
      </w:r>
      <w:r>
        <w:t xml:space="preserve">on</w:t>
      </w:r>
      <w:r>
        <w:t xml:space="preserve"> </w:t>
      </w:r>
      <w:r>
        <w:t xml:space="preserve">Protected Areas</w:t>
      </w:r>
      <w:r>
        <w:t xml:space="preserve"> </w:t>
      </w:r>
      <w:r>
        <w:t xml:space="preserve">and world database on other effective area- based conservation measures: 1.6. UNEP-WCMC, Cambridge, UK</w:t>
      </w:r>
    </w:p>
    <w:bookmarkEnd w:id="41"/>
    <w:bookmarkStart w:id="42" w:name="ref-bingham2019b"/>
    <w:p>
      <w:pPr>
        <w:pStyle w:val="Bibliography"/>
      </w:pPr>
      <w:r>
        <w:t xml:space="preserve">Bingham HC, Juffe Bignoli D, Lewis E, et al (2019b) Sixty years of tracking conservation progress using the</w:t>
      </w:r>
      <w:r>
        <w:t xml:space="preserve"> </w:t>
      </w:r>
      <w:r>
        <w:t xml:space="preserve">World Database</w:t>
      </w:r>
      <w:r>
        <w:t xml:space="preserve"> </w:t>
      </w:r>
      <w:r>
        <w:t xml:space="preserve">on</w:t>
      </w:r>
      <w:r>
        <w:t xml:space="preserve"> </w:t>
      </w:r>
      <w:r>
        <w:t xml:space="preserve">Protected Areas</w:t>
      </w:r>
      <w:r>
        <w:t xml:space="preserve">. Nature Ecology &amp; Evolution 3:737–743</w:t>
      </w:r>
    </w:p>
    <w:bookmarkEnd w:id="42"/>
    <w:bookmarkStart w:id="43" w:name="ref-Ebregt2000"/>
    <w:p>
      <w:pPr>
        <w:pStyle w:val="Bibliography"/>
      </w:pPr>
      <w:r>
        <w:t xml:space="preserve">Ebregt A, De Greve P (2000) Buffer</w:t>
      </w:r>
      <w:r>
        <w:t xml:space="preserve"> </w:t>
      </w:r>
      <w:r>
        <w:t xml:space="preserve">Zones</w:t>
      </w:r>
      <w:r>
        <w:t xml:space="preserve"> </w:t>
      </w:r>
      <w:r>
        <w:t xml:space="preserve">and their</w:t>
      </w:r>
      <w:r>
        <w:t xml:space="preserve"> </w:t>
      </w:r>
      <w:r>
        <w:t xml:space="preserve">Management</w:t>
      </w:r>
      <w:r>
        <w:t xml:space="preserve">.</w:t>
      </w:r>
      <w:r>
        <w:t xml:space="preserve"> </w:t>
      </w:r>
      <w:r>
        <w:t xml:space="preserve">Policy</w:t>
      </w:r>
      <w:r>
        <w:t xml:space="preserve"> </w:t>
      </w:r>
      <w:r>
        <w:t xml:space="preserve">and</w:t>
      </w:r>
      <w:r>
        <w:t xml:space="preserve"> </w:t>
      </w:r>
      <w:r>
        <w:t xml:space="preserve">Best Practices</w:t>
      </w:r>
      <w:r>
        <w:t xml:space="preserve"> </w:t>
      </w:r>
      <w:r>
        <w:t xml:space="preserve">for terrestrial ecosystems in developing countries.</w:t>
      </w:r>
      <w:r>
        <w:t xml:space="preserve"> </w:t>
      </w:r>
      <w:r>
        <w:t xml:space="preserve">Theme Studies Series</w:t>
      </w:r>
      <w:r>
        <w:t xml:space="preserve"> </w:t>
      </w:r>
      <w:r>
        <w:t xml:space="preserve">5,</w:t>
      </w:r>
      <w:r>
        <w:t xml:space="preserve"> </w:t>
      </w:r>
      <w:r>
        <w:t xml:space="preserve">Forest</w:t>
      </w:r>
      <w:r>
        <w:t xml:space="preserve">,</w:t>
      </w:r>
      <w:r>
        <w:t xml:space="preserve"> </w:t>
      </w:r>
      <w:r>
        <w:t xml:space="preserve">Forestry</w:t>
      </w:r>
      <w:r>
        <w:t xml:space="preserve"> </w:t>
      </w:r>
      <w:r>
        <w:t xml:space="preserve">and</w:t>
      </w:r>
      <w:r>
        <w:t xml:space="preserve"> </w:t>
      </w:r>
      <w:r>
        <w:t xml:space="preserve">Biological Support Group</w:t>
      </w:r>
      <w:r>
        <w:t xml:space="preserve">.</w:t>
      </w:r>
      <w:r>
        <w:t xml:space="preserve"> </w:t>
      </w:r>
      <w:r>
        <w:t xml:space="preserve">National Reference Centre</w:t>
      </w:r>
      <w:r>
        <w:t xml:space="preserve"> </w:t>
      </w:r>
      <w:r>
        <w:t xml:space="preserve">for</w:t>
      </w:r>
      <w:r>
        <w:t xml:space="preserve"> </w:t>
      </w:r>
      <w:r>
        <w:t xml:space="preserve">Nature Management</w:t>
      </w:r>
      <w:r>
        <w:t xml:space="preserve">. International Agricultural Centre, The Netherlands, 64pp</w:t>
      </w:r>
    </w:p>
    <w:bookmarkEnd w:id="43"/>
    <w:bookmarkStart w:id="44" w:name="ref-Goodman2018"/>
    <w:p>
      <w:pPr>
        <w:pStyle w:val="Bibliography"/>
      </w:pPr>
      <w:r>
        <w:t xml:space="preserve">Goodman SM, Raherilalao MJ, Wohlhauser S, et al (2018) Les aires protégées terrestres de</w:t>
      </w:r>
      <w:r>
        <w:t xml:space="preserve"> </w:t>
      </w:r>
      <w:r>
        <w:t xml:space="preserve">Madagascar</w:t>
      </w:r>
      <w:r>
        <w:t xml:space="preserve">: Leur histoire, description et biote. Association Vahatra</w:t>
      </w:r>
    </w:p>
    <w:bookmarkEnd w:id="44"/>
    <w:bookmarkStart w:id="45" w:name="ref-lewisDynamicsGlobalProtectedarea2019"/>
    <w:p>
      <w:pPr>
        <w:pStyle w:val="Bibliography"/>
      </w:pPr>
      <w:r>
        <w:t xml:space="preserve">Lewis E, MacSharry B, Juffe-Bignoli D, et al (2019) Dynamics in the global protected-area estate since 2004. Conservation Biology 33:570–579</w:t>
      </w:r>
    </w:p>
    <w:bookmarkEnd w:id="45"/>
    <w:bookmarkStart w:id="46" w:name="ref-Maxwell2020"/>
    <w:p>
      <w:pPr>
        <w:pStyle w:val="Bibliography"/>
      </w:pPr>
      <w:r>
        <w:t xml:space="preserve">Maxwell SL, Cazalis V, Dudley N, et al (2020) Area-based conservation in the twenty-first century. Nature 586:217–227</w:t>
      </w:r>
    </w:p>
    <w:bookmarkEnd w:id="46"/>
    <w:bookmarkStart w:id="47" w:name="ref-symesWhyWeLose2016"/>
    <w:p>
      <w:pPr>
        <w:pStyle w:val="Bibliography"/>
      </w:pPr>
      <w:r>
        <w:t xml:space="preserve">Symes WS, Rao M, Mascia MB, Carrasco LR (2016) Why do we lose protected areas?</w:t>
      </w:r>
      <w:r>
        <w:t xml:space="preserve"> </w:t>
      </w:r>
      <w:r>
        <w:t xml:space="preserve">Factors</w:t>
      </w:r>
      <w:r>
        <w:t xml:space="preserve"> </w:t>
      </w:r>
      <w:r>
        <w:t xml:space="preserve">influencing protected area downgrading, downsizing and degazettement in the tropics and subtropics. Global Change Biology 22:656–665</w:t>
      </w:r>
    </w:p>
    <w:bookmarkEnd w:id="47"/>
    <w:bookmarkStart w:id="48" w:name="ref-unep2024"/>
    <w:p>
      <w:pPr>
        <w:pStyle w:val="Bibliography"/>
      </w:pPr>
      <w:r>
        <w:t xml:space="preserve">UNEP-WCMC and IUCN (2024) Protected planet report 2024. UNEP-WCMC; IUCN, Cambridge, United Kingdom; Gland, Switzerland</w:t>
      </w:r>
    </w:p>
    <w:bookmarkEnd w:id="48"/>
    <w:bookmarkStart w:id="50" w:name="ref-Waeber2020"/>
    <w:p>
      <w:pPr>
        <w:pStyle w:val="Bibliography"/>
      </w:pPr>
      <w:r>
        <w:t xml:space="preserve">Waeber PO, Rafanoharana S, Rasamuel HA, Wilmé L (2020) Parks and reserves in</w:t>
      </w:r>
      <w:r>
        <w:t xml:space="preserve"> </w:t>
      </w:r>
      <w:r>
        <w:t xml:space="preserve">Madagascar</w:t>
      </w:r>
      <w:r>
        <w:t xml:space="preserve">: Managing biodiversity for a sustainable future. Protected Areas, National Parks and Sustainable Future AN Bakar and MN Suratman (eds) 89–108. https://doi.org/</w:t>
      </w:r>
      <w:hyperlink r:id="rId49">
        <w:r>
          <w:rPr>
            <w:rStyle w:val="Hyperlink"/>
          </w:rPr>
          <w:t xml:space="preserve">http://dx.doi.org/10.5772/intechopen.85348</w:t>
        </w:r>
      </w:hyperlink>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30" Target="media/rId30.png" /><Relationship Type="http://schemas.openxmlformats.org/officeDocument/2006/relationships/image" Id="rId15" Target="media/rId15.png" /><Relationship Type="http://schemas.openxmlformats.org/officeDocument/2006/relationships/image" Id="rId25" Target="media/rId25.png" /><Relationship Type="http://schemas.openxmlformats.org/officeDocument/2006/relationships/hyperlink" Id="rId49" Target="http://dx.doi.org/10.5772/intechopen.85348" TargetMode="External" /><Relationship Type="http://schemas.openxmlformats.org/officeDocument/2006/relationships/hyperlink" Id="rId23" Target="https://github.com/BETSAKA/conservation-dynamic-madagascar" TargetMode="External" /></Relationships>
</file>

<file path=word/_rels/footnotes.xml.rels><?xml version="1.0" encoding="UTF-8"?><Relationships xmlns="http://schemas.openxmlformats.org/package/2006/relationships"><Relationship Type="http://schemas.openxmlformats.org/officeDocument/2006/relationships/hyperlink" Id="rId49" Target="http://dx.doi.org/10.5772/intechopen.85348" TargetMode="External" /><Relationship Type="http://schemas.openxmlformats.org/officeDocument/2006/relationships/hyperlink" Id="rId23" Target="https://github.com/BETSAKA/conservation-dynamic-madagasc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replicable temporal extension of protected area geodata applied to 123 sites in Madagascar</dc:title>
  <dc:creator>Florent Bédécarrats; Seheno Ramanantsoa; Ollier D. Andrianambinina</dc:creator>
  <cp:keywords/>
  <dcterms:created xsi:type="dcterms:W3CDTF">2026-04-29T20:38:23Z</dcterms:created>
  <dcterms:modified xsi:type="dcterms:W3CDTF">2026-04-29T20:38:23Z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https://raw.githubusercontent.com/citation-style-language/styles/master/springer-basic-author-date.csl</vt:lpwstr>
  </property>
  <property fmtid="{D5CDD505-2E9C-101B-9397-08002B2CF9AE}" pid="10" name="date">
    <vt:lpwstr>2026-04-29</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