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3.png" ContentType="image/png"/>
  <Override PartName="/word/media/rId28.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2026-10-20</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w:t>
      </w:r>
    </w:p>
    <w:p>
      <w:pPr>
        <w:pStyle w:val="FirstParagraph"/>
      </w:pPr>
      <w:r>
        <w:rPr>
          <w:i/>
          <w:iCs/>
        </w:rPr>
        <w:t xml:space="preserve">Corresponding author: Florent Bédécarrats (florent.bedecarrats@ird.fr)</w:t>
      </w:r>
    </w:p>
    <w:bookmarkStart w:id="9" w:name="background-summary"/>
    <w:p>
      <w:pPr>
        <w:pStyle w:val="Heading1"/>
      </w:pPr>
      <w:r>
        <w:t xml:space="preserve">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rPr>
          <w:vertAlign w:val="superscript"/>
        </w:rPr>
        <w:t xml:space="preserve">1</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rPr>
          <w:vertAlign w:val="superscript"/>
        </w:rPr>
        <w:t xml:space="preserve">2</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rPr>
          <w:vertAlign w:val="superscript"/>
        </w:rPr>
        <w:t xml:space="preserve">3</w:t>
      </w:r>
      <w:r>
        <w:t xml:space="preserve">. This structural limitation has been recognized in the literature on protected area downgrading, downsizing, and degazettement (PADDD). Symes et al.</w:t>
      </w:r>
      <w:r>
        <w:rPr>
          <w:vertAlign w:val="superscript"/>
        </w:rPr>
        <w:t xml:space="preserve">4</w:t>
      </w:r>
      <w:r>
        <w:t xml:space="preserve"> </w:t>
      </w:r>
      <w:r>
        <w:t xml:space="preserve">examined the factors driving PADDD events in the tropics and subtropics, showing that protected areas are not permanent — they can be reduced, reclassified, or revoked entirely. Lewis et al.</w:t>
      </w:r>
      <w:r>
        <w:rPr>
          <w:vertAlign w:val="superscript"/>
        </w:rPr>
        <w:t xml:space="preserve">5</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rPr>
          <w:vertAlign w:val="superscript"/>
        </w:rPr>
        <w:t xml:space="preserve">6</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bias. It is also relevant for policymakers, as protected areas have become a major instrument of spatial planning, with global terrestrial coverage exceeding 17% in 2023</w:t>
      </w:r>
      <w:r>
        <w:rPr>
          <w:vertAlign w:val="superscript"/>
        </w:rPr>
        <w:t xml:space="preserve">7</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rPr>
          <w:vertAlign w:val="superscript"/>
        </w:rPr>
        <w:t xml:space="preserve">8</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rPr>
          <w:vertAlign w:val="superscript"/>
        </w:rPr>
        <w:t xml:space="preserve">8</w:t>
      </w:r>
      <w:r>
        <w:t xml:space="preserve">. This complex trajectory has been meticulously documented by Goodman et al.</w:t>
      </w:r>
      <w:r>
        <w:rPr>
          <w:vertAlign w:val="superscript"/>
        </w:rPr>
        <w:t xml:space="preserve">9</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WDPA baseline and consolidating them into temporal states.</w:t>
      </w:r>
    </w:p>
    <w:p>
      <w:pPr>
        <w:pStyle w:val="BodyText"/>
      </w:pPr>
      <w:r>
        <w:t xml:space="preserve">This paper presents three contributions. First, a reusable temporal data model that represents protected-area histories as time-bounded amendments to a current WDPA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Heading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BodyText"/>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WDPA baseline into a temporal dataset.</w:t>
      </w:r>
    </w:p>
    <w:bookmarkStart w:id="14" w:name="input-data"/>
    <w:p>
      <w:pPr>
        <w:pStyle w:val="Heading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 Each geometry in the final files carries a</w:t>
      </w:r>
      <w:r>
        <w:t xml:space="preserve"> </w:t>
      </w:r>
      <w:r>
        <w:t xml:space="preserve">“geometry_source_dataset_id”</w:t>
      </w:r>
      <w:r>
        <w:t xml:space="preserve"> </w:t>
      </w:r>
      <w:r>
        <w:t xml:space="preserve">field, making it possible to identify the source actually used from sources that were consulted only during curation.</w:t>
      </w:r>
    </w:p>
    <w:p>
      <w:pPr>
        <w:pStyle w:val="BodyText"/>
      </w:pPr>
      <w:r>
        <w:t xml:space="preserve">The current WDPA provides the baseline geometry and attributes to which documented historical amendments are applied. The consolidated release presented here uses the November 2025 WDPA for Madagascar, obtained from Protected Planet (https://www.protectedplanet.net). Historical WDPA snapshots were additionally examined during data preparation and validation. Versions from July 2017 onward were accessed through the Google Earth Engine WDPA archive; earlier snapshots for 2010–2016 were recovered from UNEP-WCMC’s public AWS archive.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The other MNP sources incorporated in the released dataset are</w:t>
      </w:r>
      <w:r>
        <w:t xml:space="preserve"> </w:t>
      </w:r>
      <w:r>
        <w:t xml:space="preserve">“MNP_2010”</w:t>
      </w:r>
      <w:r>
        <w:t xml:space="preserve">,</w:t>
      </w:r>
      <w:r>
        <w:t xml:space="preserve"> </w:t>
      </w:r>
      <w:r>
        <w:t xml:space="preserve">“MNP_Anka_RNI_pre2002”</w:t>
      </w:r>
      <w:r>
        <w:t xml:space="preserve"> </w:t>
      </w:r>
      <w:r>
        <w:t xml:space="preserve">and</w:t>
      </w:r>
      <w:r>
        <w:t xml:space="preserve"> </w:t>
      </w:r>
      <w:r>
        <w:t xml:space="preserve">“MNP_Mantadia_pre2002”</w:t>
      </w:r>
      <w:r>
        <w:t xml:space="preserve">;</w:t>
      </w:r>
      <w:r>
        <w:t xml:space="preserve"> </w:t>
      </w:r>
      <w:r>
        <w:t xml:space="preserve">“MNP_2010_split”</w:t>
      </w:r>
      <w:r>
        <w:t xml:space="preserve"> </w:t>
      </w:r>
      <w:r>
        <w:t xml:space="preserve">is a subdivision of</w:t>
      </w:r>
      <w:r>
        <w:t xml:space="preserve"> </w:t>
      </w:r>
      <w:r>
        <w:t xml:space="preserve">“MNP_2010”</w:t>
      </w:r>
      <w:r>
        <w:t xml:space="preserve">, not an independent source. These geometries were produced, reconstructed or validated by co-author Ollier D. Andrianambinina in the context of his responsibilities at MNP and associated doctoral research. The original institutional source databases are not redistributed as such; requests concerning access to the underlying archives should be addressed to Madagascar National Parks, in particular its Information System and Innovation Department. MNP has provided written authorization for the use, adaptation, publication and redistribution of the ANGAP/MNP-derived geometries incorporated into this scientific dataset under CC BY 4.0, with appropriate attribution of their provenance.</w:t>
      </w:r>
    </w:p>
    <w:p>
      <w:pPr>
        <w:pStyle w:val="BodyText"/>
      </w:pPr>
      <w:r>
        <w:t xml:space="preserve">A second national stream consists of official protected-area geographic information produced, compiled or coordinated within the SAPM and the Ministry of Environment and Sustainable Development (MEDD). The geometries from this stream that enter the released dataset are identified as SAPM_evol_2001-2011, SAPM_2010 and MEDD_subdivisions. The latter includes zoning information produced in the course of protected-area management, including by organizations operating under delegated management arrangements, and consolidated as part of the official geographic information associated with the protected-area system. Their institutional provenance and the legal framework governing the circulation and dissemination of protected-area geographic information were documented in a signed attestation by co-author Seheno Ramanantsoa, Head of the Protected Areas Governance Service within MEDD. The original historical source databases are not redistributed as such; requests concerning access to them should be addressed to the MEDD service responsible for protected-area governance and SAPM coordination.</w:t>
      </w:r>
    </w:p>
    <w:p>
      <w:pPr>
        <w:pStyle w:val="BodyText"/>
      </w:pPr>
      <w:r>
        <w:t xml:space="preserve">Attribute amendments were derived from official legal registry, principally decrees and ministerial or interministerial orders published through the Journal Officiel and made accessible through the Centre National de Légistique (CNLEGIS). These records were accessed through the CNLEGIS legislative database (https://www.cnlegis.gov.mg), using searches by legal instrument number, date, type and protected-area name or related keywords.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 monograph by Goodman et al.</w:t>
      </w:r>
      <w:r>
        <w:rPr>
          <w:vertAlign w:val="superscript"/>
        </w:rPr>
        <w:t xml:space="preserve">9</w:t>
      </w:r>
      <w:r>
        <w:t xml:space="preserve"> </w:t>
      </w:r>
      <w:r>
        <w:t xml:space="preserve">and the associated Vahatra dataset, were used for historical interpretation, cross-checking and validation. Vahatra disseminates these geometries under a CC-BY license on the institutional website (https://protectedareas.mg), but these geometries are not redistributed in our released dataset.</w:t>
      </w:r>
    </w:p>
    <w:p>
      <w:pPr>
        <w:pStyle w:val="BodyText"/>
      </w:pPr>
      <w:r>
        <w:t xml:space="preserve">Additional historical context was drawn from Waeber et al.</w:t>
      </w:r>
      <w:r>
        <w:rPr>
          <w:vertAlign w:val="superscript"/>
        </w:rPr>
        <w:t xml:space="preserve">8</w:t>
      </w:r>
      <w:r>
        <w:t xml:space="preserve">.</w:t>
      </w:r>
    </w:p>
    <w:bookmarkEnd w:id="14"/>
    <w:bookmarkStart w:id="19" w:name="consolidation-and-verification"/>
    <w:p>
      <w:pPr>
        <w:pStyle w:val="Heading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Core-zone shapefiles produced by protected-area managers, including MEDD, MNP, MBG, GERP and WWF, were assembled and compared with protected-area boundaries. These zoning data form part of the geographic information associated with the official management of protected areas under MEDD responsibility, including where MEDD delegates its management mandate to another organization. For the released dataset, the selected and harmonized zoning geometries are recorded under the source identifier</w:t>
      </w:r>
      <w:r>
        <w:t xml:space="preserve"> </w:t>
      </w:r>
      <w:r>
        <w:t xml:space="preserve">“MEDD_subdivisions”</w:t>
      </w:r>
      <w:r>
        <w:t xml:space="preserve">. Of the 73 protected areas for which exploitable zoning information was available, 70 fall within the temporal scope of the dataset and were integrated as secondary zones; three sites created in 2026 were excluded.</w:t>
      </w:r>
    </w:p>
    <w:p>
      <w:pPr>
        <w:pStyle w:val="BodyText"/>
      </w:pPr>
      <w:r>
        <w:t xml:space="preserve">For approximately 25 protected areas with complex histories, a detailed case-by-case review was conducted, cross-referencing legal decisions, historical boundaries from Goodman et al.</w:t>
      </w:r>
      <w:r>
        <w:rPr>
          <w:vertAlign w:val="superscript"/>
        </w:rPr>
        <w:t xml:space="preserve">9</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five types of amendments: boundary modifications, status changes, temporary protections, corrections to the WDPA baseline, and secondary zoning.</w:t>
      </w:r>
    </w:p>
    <w:bookmarkEnd w:id="20"/>
    <w:bookmarkStart w:id="21" w:name="consolidation-and-auditing-rules"/>
    <w:p>
      <w:pPr>
        <w:pStyle w:val="Heading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t xml:space="preserve">“generate_timeline()”</w:t>
      </w:r>
      <w:r>
        <w:t xml:space="preserve"> </w:t>
      </w:r>
      <w:r>
        <w:t xml:space="preserve">identifies temporal breakpoints from all amendments for a given WDPAID,</w:t>
      </w:r>
      <w:r>
        <w:t xml:space="preserve"> </w:t>
      </w:r>
      <w:r>
        <w:t xml:space="preserve">“find_active_amendments()”</w:t>
      </w:r>
      <w:r>
        <w:t xml:space="preserve"> </w:t>
      </w:r>
      <w:r>
        <w:t xml:space="preserve">determines which amendments are active at each time point, and</w:t>
      </w:r>
      <w:r>
        <w:t xml:space="preserve"> </w:t>
      </w:r>
      <w: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32" w:name="data-records"/>
    <w:p>
      <w:pPr>
        <w:pStyle w:val="Heading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t xml:space="preserve">“dynamic_wdpa.gpkg”</w:t>
      </w:r>
      <w:r>
        <w:t xml:space="preserve">,</w:t>
      </w:r>
      <w:r>
        <w:t xml:space="preserve"> </w:t>
      </w:r>
      <w:r>
        <w:t xml:space="preserve">“dynamic_wdpa.rds”</w:t>
      </w:r>
      <w:r>
        <w:t xml:space="preserve">, and</w:t>
      </w:r>
      <w:r>
        <w:t xml:space="preserve"> </w:t>
      </w:r>
      <w:r>
        <w:t xml:space="preserve">“dynamic_wdpa.parquet”</w:t>
      </w:r>
      <w:r>
        <w:t xml:space="preserve">. These three consolidated files contain the same information in distinct formats suited respectively to GIS software, R, and a broader range of data analysis solutions. The file</w:t>
      </w:r>
      <w:r>
        <w:t xml:space="preserve"> </w:t>
      </w:r>
      <w:r>
        <w:t xml:space="preserve">“amendments.zip”</w:t>
      </w:r>
      <w:r>
        <w:t xml:space="preserve"> </w:t>
      </w:r>
      <w:r>
        <w:t xml:space="preserve">contains a snapshot of the version-controlled YAML amendment registry and associated GeoJSON geometries.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WDPA Data License, which prohibits commercial use of WDPA materials and derivative works without prior written permission from UNEP-WCMC</w:t>
      </w:r>
      <w:r>
        <w:rPr>
          <w:vertAlign w:val="superscript"/>
        </w:rPr>
        <w:t xml:space="preserve">10</w:t>
      </w:r>
      <w:r>
        <w:t xml:space="preserve">.</w:t>
      </w:r>
    </w:p>
    <w:p>
      <w:pPr>
        <w:pStyle w:val="BodyText"/>
      </w:pPr>
      <w:r>
        <w:t xml:space="preserve">Provenance is retained at row level. The field</w:t>
      </w:r>
      <w:r>
        <w:t xml:space="preserve"> </w:t>
      </w:r>
      <w: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Character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in this release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in this release</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BodyText"/>
      </w:pPr>
      <w:r>
        <w:t xml:space="preserve">The national temporal reconstruction targets the 123 protected areas that constituted Madagascar’s national protected area system until the end of 2025. The consolidated files additionally preserve the complete Madagascar WDPA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the 123 protected areas that constitute Madagascar’s national protected-area system through the end of 2025</w:t>
            </w:r>
          </w:p>
          <w:bookmarkEnd w:id="27"/>
        </w:tc>
      </w:tr>
    </w:tbl>
    <w:p>
      <w:pPr>
        <w:pStyle w:val="BodyText"/>
      </w:pPr>
      <w:r>
        <w:t xml:space="preserve">The temporal reconstruction changes the inferred evolution of protected-area extent.</w:t>
      </w:r>
      <w:r>
        <w:t xml:space="preserve"> </w:t>
      </w:r>
      <w:hyperlink w:anchor="fig-area-comparison">
        <w:r>
          <w:rPr>
            <w:rStyle w:val="Hyperlink"/>
          </w:rPr>
          <w:t xml:space="preserve">Figure 4</w:t>
        </w:r>
      </w:hyperlink>
      <w:r>
        <w:t xml:space="preserve"> </w:t>
      </w:r>
      <w:r>
        <w:t xml:space="preserve">compares the annual national protected-area extent obtained by back-projecting the November 2025 WDPA through</w:t>
      </w:r>
      <w:r>
        <w:t xml:space="preserve"> </w:t>
      </w:r>
      <w:r>
        <w:t xml:space="preserve">“STATUS_YR”</w:t>
      </w:r>
      <w:r>
        <w:t xml:space="preserve"> </w:t>
      </w:r>
      <w:r>
        <w:t xml:space="preserve">with that obtained from the reconstructed historical states. The WDPA-based series shows a sharp increase in 2015, whereas the temporal reconstruction distributes this expansion across earlier years and accounts for historical boundary changes.</w:t>
      </w:r>
    </w:p>
    <w:tbl>
      <w:tblPr>
        <w:tblStyle w:val="Table"/>
        <w:tblW w:type="pct" w:w="5000"/>
        <w:tblLayout w:type="fixed"/>
        <w:tblLook w:firstRow="0" w:lastRow="0" w:firstColumn="0" w:lastColumn="0" w:noHBand="0" w:noVBand="0" w:val="0000"/>
      </w:tblPr>
      <w:tblGrid>
        <w:gridCol w:w="7920"/>
      </w:tblGrid>
      <w:tr>
        <w:tc>
          <w:tcPr/>
          <w:bookmarkStart w:id="31" w:name="fig-area-comparison"/>
          <w:p>
            <w:pPr>
              <w:pStyle w:val="Compact"/>
              <w:jc w:val="center"/>
            </w:pPr>
            <w:r>
              <w:drawing>
                <wp:inline>
                  <wp:extent cx="4267200" cy="2667000"/>
                  <wp:effectExtent b="0" l="0" r="0" t="0"/>
                  <wp:docPr descr="" title="" id="29" name="Picture"/>
                  <a:graphic>
                    <a:graphicData uri="http://schemas.openxmlformats.org/drawingml/2006/picture">
                      <pic:pic>
                        <pic:nvPicPr>
                          <pic:cNvPr descr="figures/fig_cumulative_area_comparison.png" id="30" name="Picture"/>
                          <pic:cNvPicPr>
                            <a:picLocks noChangeArrowheads="1" noChangeAspect="1"/>
                          </pic:cNvPicPr>
                        </pic:nvPicPr>
                        <pic:blipFill>
                          <a:blip r:embed="rId28"/>
                          <a:stretch>
                            <a:fillRect/>
                          </a:stretch>
                        </pic:blipFill>
                        <pic:spPr bwMode="auto">
                          <a:xfrm>
                            <a:off x="0" y="0"/>
                            <a:ext cx="42672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National protected-area extent in Madagascar according to the November 2025 WDPA baseline and the temporally extended dataset, 2000-2025. The WDPA series projects current national protected-area geometries backward from their recorded</w:t>
            </w:r>
            <w:r>
              <w:t xml:space="preserve"> </w:t>
            </w:r>
            <w:r>
              <w:t xml:space="preserve">“STATUS_YR”</w:t>
            </w:r>
            <w:r>
              <w:t xml:space="preserve">; records with an unreported status year are excluded. The temporally extended series uses the external-boundary state in force at the end of each year.</w:t>
            </w:r>
          </w:p>
          <w:bookmarkEnd w:id="31"/>
        </w:tc>
      </w:tr>
    </w:tbl>
    <w:p>
      <w:pPr>
        <w:pStyle w:val="BodyText"/>
      </w:pPr>
      <w:r>
        <w:t xml:space="preserve">By 2025 the two series nearly converge; the remaining difference of 878 km² corresponds to Tsimembo Manambolomaty, Mandrozo and Torotorofotsy, which have documented national legal histories in the reconstructed dataset but are represented only by international Ramsar records in the November 2025 WDPA.</w:t>
      </w:r>
    </w:p>
    <w:p>
      <w:pPr>
        <w:pStyle w:val="BodyText"/>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WDPA baseline.</w:t>
      </w:r>
    </w:p>
    <w:bookmarkEnd w:id="32"/>
    <w:bookmarkStart w:id="37" w:name="technical-validation"/>
    <w:p>
      <w:pPr>
        <w:pStyle w:val="Heading1"/>
      </w:pPr>
      <w:r>
        <w:t xml:space="preserve">Technical Validation</w:t>
      </w:r>
    </w:p>
    <w:p>
      <w:pPr>
        <w:pStyle w:val="FirstParagraph"/>
      </w:pPr>
      <w:r>
        <w:t xml:space="preserve">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BodyText"/>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WDPA designations. The three distributed formats are also checked for consistency after generation.</w:t>
      </w:r>
    </w:p>
    <w:p>
      <w:pPr>
        <w:pStyle w:val="BodyText"/>
      </w:pPr>
      <w:r>
        <w:t xml:space="preserve">Curated amendment geometries were checked during processing and spatial review. Baseline WDPA geometries are retained without silently modifying their topology, in order to preserve source fidelity.</w:t>
      </w:r>
    </w:p>
    <w:p>
      <w:pPr>
        <w:pStyle w:val="BodyText"/>
      </w:pPr>
      <w:hyperlink w:anchor="fig-amendments">
        <w:r>
          <w:rPr>
            <w:rStyle w:val="Hyperlink"/>
          </w:rPr>
          <w:t xml:space="preserve">Figure 5</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6" w:name="fig-amendments"/>
          <w:p>
            <w:pPr>
              <w:pStyle w:val="Compact"/>
              <w:jc w:val="center"/>
            </w:pPr>
            <w:r>
              <w:drawing>
                <wp:inline>
                  <wp:extent cx="3733800" cy="2133600"/>
                  <wp:effectExtent b="0" l="0" r="0" t="0"/>
                  <wp:docPr descr="" title="" id="34" name="Picture"/>
                  <a:graphic>
                    <a:graphicData uri="http://schemas.openxmlformats.org/drawingml/2006/picture">
                      <pic:pic>
                        <pic:nvPicPr>
                          <pic:cNvPr descr="figures/fig_amendments.png" id="35" name="Picture"/>
                          <pic:cNvPicPr>
                            <a:picLocks noChangeArrowheads="1" noChangeAspect="1"/>
                          </pic:cNvPicPr>
                        </pic:nvPicPr>
                        <pic:blipFill>
                          <a:blip r:embed="rId33"/>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and counts of amendments documented in the YAML registry</w:t>
            </w:r>
          </w:p>
          <w:bookmarkEnd w:id="36"/>
        </w:tc>
      </w:tr>
    </w:tbl>
    <w:bookmarkEnd w:id="37"/>
    <w:bookmarkStart w:id="38" w:name="usage-notes"/>
    <w:p>
      <w:pPr>
        <w:pStyle w:val="Heading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t xml:space="preserve">“WDPAID”</w:t>
      </w:r>
      <w:r>
        <w:t xml:space="preserve"> </w:t>
      </w:r>
      <w:r>
        <w:t xml:space="preserve">field enables linkage with other WDPA-based datasets.</w:t>
      </w:r>
    </w:p>
    <w:p>
      <w:pPr>
        <w:pStyle w:val="BodyText"/>
      </w:pPr>
      <w:r>
        <w:t xml:space="preserve">Temporal configurations can be selected using</w:t>
      </w:r>
      <w:r>
        <w:t xml:space="preserve"> </w:t>
      </w:r>
      <w:r>
        <w:t xml:space="preserve">“valid_from”</w:t>
      </w:r>
      <w:r>
        <w:t xml:space="preserve"> </w:t>
      </w:r>
      <w:r>
        <w:t xml:space="preserve">and</w:t>
      </w:r>
      <w:r>
        <w:t xml:space="preserve"> </w:t>
      </w:r>
      <w:r>
        <w:t xml:space="preserve">“valid_to”</w:t>
      </w:r>
      <w:r>
        <w:t xml:space="preserve">. Validity intervals follow a start-inclusive and end-exclusive convention. An</w:t>
      </w:r>
      <w:r>
        <w:t xml:space="preserve"> </w:t>
      </w:r>
      <w:r>
        <w:t xml:space="preserve">“NA”</w:t>
      </w:r>
      <w:r>
        <w:t xml:space="preserve"> </w:t>
      </w:r>
      <w:r>
        <w:t xml:space="preserve">value in</w:t>
      </w:r>
      <w:r>
        <w:t xml:space="preserve"> </w:t>
      </w:r>
      <w:r>
        <w:t xml:space="preserve">“valid_to”</w:t>
      </w:r>
      <w:r>
        <w:t xml:space="preserve"> </w:t>
      </w:r>
      <w:r>
        <w:t xml:space="preserve">indicates that no later state is recorded and therefore normally identifies the configuration valid at the reference date. The</w:t>
      </w:r>
      <w:r>
        <w:t xml:space="preserve"> </w:t>
      </w:r>
      <w:r>
        <w:t xml:space="preserve">“zone_type”</w:t>
      </w:r>
      <w:r>
        <w:t xml:space="preserve"> </w:t>
      </w:r>
      <w:r>
        <w:t xml:space="preserve">field distinguishes external protected-area boundaries from secondary zoning geometries.</w:t>
      </w:r>
    </w:p>
    <w:p>
      <w:pPr>
        <w:pStyle w:val="BodyText"/>
      </w:pPr>
      <w:r>
        <w:t xml:space="preserve">Researchers wishing to update the dataset beyond the November 2025 baseline can download a more recent WDPA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BodyText"/>
      </w:pPr>
      <w:r>
        <w:t xml:space="preserve">Users must observe the reuse conditions associated with the underlying source data. In particular, commercial use of WDPA material or works derived from it requires prior written permission from UNEP-WCMC</w:t>
      </w:r>
      <w:r>
        <w:rPr>
          <w:vertAlign w:val="superscript"/>
        </w:rPr>
        <w:t xml:space="preserve">10</w:t>
      </w:r>
      <w:r>
        <w:t xml:space="preserve">. UNEP-WCMC has separately provided written authorization for public redistribution of the Madagascar-specific derived outputs included in this dataset for the non-commercial use case described here.</w:t>
      </w:r>
    </w:p>
    <w:p>
      <w:pPr>
        <w:pStyle w:val="BodyText"/>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8"/>
    <w:bookmarkStart w:id="39" w:name="data-availability-statement"/>
    <w:p>
      <w:pPr>
        <w:pStyle w:val="Heading1"/>
      </w:pPr>
      <w:r>
        <w:t xml:space="preserve">Data Availability Statement</w:t>
      </w:r>
    </w:p>
    <w:p>
      <w:pPr>
        <w:pStyle w:val="FirstParagraph"/>
      </w:pPr>
      <w:r>
        <w:t xml:space="preserve">The complete dataset is publicly deposited in DataSuds under the persistent identifier https://doi.org/10.23708/VN2TWC</w:t>
      </w:r>
      <w:r>
        <w:rPr>
          <w:vertAlign w:val="superscript"/>
        </w:rPr>
        <w:t xml:space="preserve">11</w:t>
      </w:r>
      <w:r>
        <w:t xml:space="preserve">. Version 2.0 includes the consolidated files</w:t>
      </w:r>
      <w:r>
        <w:t xml:space="preserve"> </w:t>
      </w:r>
      <w:r>
        <w:t xml:space="preserve">“dynamic_wdpa.gpkg”</w:t>
      </w:r>
      <w:r>
        <w:t xml:space="preserve">,</w:t>
      </w:r>
      <w:r>
        <w:t xml:space="preserve"> </w:t>
      </w:r>
      <w:r>
        <w:t xml:space="preserve">“dynamic_wdpa.parquet”</w:t>
      </w:r>
      <w:r>
        <w:t xml:space="preserve">, and</w:t>
      </w:r>
      <w:r>
        <w:t xml:space="preserve"> </w:t>
      </w:r>
      <w:r>
        <w:t xml:space="preserve">“dynamic_wdpa.rds”</w:t>
      </w:r>
      <w:r>
        <w:t xml:space="preserve">, together with the archived amendment registry</w:t>
      </w:r>
      <w:r>
        <w:t xml:space="preserve"> </w:t>
      </w:r>
      <w: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BodyText"/>
      </w:pPr>
      <w:r>
        <w:t xml:space="preserve">The consolidated files incorporate information derived from the November 2025 WDPA release. UNEP-WCMC has provided written authorization for redistribution of these Madagascar-specific derived outputs for this non-commercial use case. Commercial use of WDPA material or derivative works requires prior written permission from UNEP-WCMC</w:t>
      </w:r>
      <w:r>
        <w:rPr>
          <w:vertAlign w:val="superscript"/>
        </w:rPr>
        <w:t xml:space="preserve">10</w:t>
      </w:r>
      <w:r>
        <w:t xml:space="preserve">. The deposited files constitute a historical research snapshot; users requiring the latest official protected and conserved area data should obtain the current release directly from Protected Planet.</w:t>
      </w:r>
    </w:p>
    <w:p>
      <w:pPr>
        <w:pStyle w:val="BodyText"/>
      </w:pPr>
      <w:r>
        <w:t xml:space="preserve">Source-specific reuse conditions apply to third-party material incorporated into the dataset. UNEP-WCMC has provided written authorization for redistribution of the Madagascar-specific WDPA-derived outputs for the non-commercial use case described here; commercial use of WDPA material or derivative works requires prior written permission from UNEP-WCMC. Madagascar National Parks has authorized the use, adaptation, publication and redistribution under CC BY 4.0 of the ANGAP/MNP-derived geometries incorporated into this dataset. For the SAPM/MEDD sources, including protected-area zoning information produced in the course of delegated management, their institutional provenance and the legal basis for public dissemination of protected-area geographic information have been documented in a signed attestation by co-author Seheno Ramanantsoa, Head of the Protected Areas Governance Service within MEDD. The attestation documents the statutory role of the ministry in the publication and dissemination of protected-area boundaries, zoning and associated geographic information; it does not constitute a general open licence for the underlying historical SAPM/MEDD databases.</w:t>
      </w:r>
    </w:p>
    <w:p>
      <w:pPr>
        <w:pStyle w:val="BodyText"/>
      </w:pPr>
      <w:r>
        <w:t xml:space="preserve">Geometry-level provenance is recorded in</w:t>
      </w:r>
      <w:r>
        <w:t xml:space="preserve"> </w:t>
      </w:r>
      <w: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9"/>
    <w:bookmarkStart w:id="40" w:name="code-availability"/>
    <w:p>
      <w:pPr>
        <w:pStyle w:val="Heading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40"/>
    <w:bookmarkStart w:id="41" w:name="acknowledgements"/>
    <w:p>
      <w:pPr>
        <w:pStyle w:val="Heading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41"/>
    <w:bookmarkStart w:id="42" w:name="funding"/>
    <w:p>
      <w:pPr>
        <w:pStyle w:val="Heading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42"/>
    <w:bookmarkStart w:id="43" w:name="author-contributions"/>
    <w:p>
      <w:pPr>
        <w:pStyle w:val="Heading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43"/>
    <w:bookmarkStart w:id="44" w:name="competing-interests"/>
    <w:p>
      <w:pPr>
        <w:pStyle w:val="Heading1"/>
      </w:pPr>
      <w:r>
        <w:t xml:space="preserve">Competing Interests</w:t>
      </w:r>
    </w:p>
    <w:p>
      <w:pPr>
        <w:pStyle w:val="FirstParagraph"/>
      </w:pPr>
      <w:r>
        <w:t xml:space="preserve">S.R. is a civil servant in charge of protected area governance at the Ministère de l’Environnement et du Développement Durable of Madagascar. O.D.A. heads the data information system and innovation unit at Madagascar National Parks. Producing and maintaining protected area information is part of their professional responsibilities. The authors have no financial conflicts of interest to declare.</w:t>
      </w:r>
    </w:p>
    <w:bookmarkEnd w:id="44"/>
    <w:bookmarkStart w:id="60" w:name="references"/>
    <w:p>
      <w:pPr>
        <w:pStyle w:val="Heading1"/>
      </w:pPr>
      <w:r>
        <w:t xml:space="preserve">References</w:t>
      </w:r>
    </w:p>
    <w:bookmarkStart w:id="59" w:name="refs"/>
    <w:bookmarkStart w:id="45" w:name="ref-bingham2019b"/>
    <w:p>
      <w:pPr>
        <w:pStyle w:val="Bibliography"/>
      </w:pPr>
      <w:r>
        <w:t xml:space="preserve">1.</w:t>
      </w:r>
      <w:r>
        <w:t xml:space="preserve"> </w:t>
      </w:r>
      <w:r>
        <w:t xml:space="preserve">	</w:t>
      </w:r>
      <w:r>
        <w:t xml:space="preserve">Bingham, H. C.</w:t>
      </w:r>
      <w:r>
        <w:t xml:space="preserve"> </w:t>
      </w:r>
      <w:r>
        <w:rPr>
          <w:i/>
          <w:iCs/>
        </w:rPr>
        <w:t xml:space="preserve">et al.</w:t>
      </w:r>
      <w:r>
        <w:t xml:space="preserve">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w:t>
      </w:r>
      <w:r>
        <w:t xml:space="preserve"> </w:t>
      </w:r>
      <w:r>
        <w:rPr>
          <w:i/>
          <w:iCs/>
        </w:rPr>
        <w:t xml:space="preserve">Nature Ecology &amp; Evolution</w:t>
      </w:r>
      <w:r>
        <w:t xml:space="preserve"> </w:t>
      </w:r>
      <w:r>
        <w:rPr>
          <w:b/>
          <w:bCs/>
        </w:rPr>
        <w:t xml:space="preserve">3</w:t>
      </w:r>
      <w:r>
        <w:t xml:space="preserve">, 737–743 (2019).</w:t>
      </w:r>
    </w:p>
    <w:bookmarkEnd w:id="45"/>
    <w:bookmarkStart w:id="46" w:name="ref-Maxwell2020"/>
    <w:p>
      <w:pPr>
        <w:pStyle w:val="Bibliography"/>
      </w:pPr>
      <w:r>
        <w:t xml:space="preserve">2.</w:t>
      </w:r>
      <w:r>
        <w:t xml:space="preserve"> </w:t>
      </w:r>
      <w:r>
        <w:t xml:space="preserve">	</w:t>
      </w:r>
      <w:r>
        <w:t xml:space="preserve">Maxwell, S. L.</w:t>
      </w:r>
      <w:r>
        <w:t xml:space="preserve"> </w:t>
      </w:r>
      <w:r>
        <w:rPr>
          <w:i/>
          <w:iCs/>
        </w:rPr>
        <w:t xml:space="preserve">et al.</w:t>
      </w:r>
      <w:r>
        <w:t xml:space="preserve"> Area-based conservation in the twenty-first century.</w:t>
      </w:r>
      <w:r>
        <w:t xml:space="preserve"> </w:t>
      </w:r>
      <w:r>
        <w:rPr>
          <w:i/>
          <w:iCs/>
        </w:rPr>
        <w:t xml:space="preserve">Nature</w:t>
      </w:r>
      <w:r>
        <w:t xml:space="preserve"> </w:t>
      </w:r>
      <w:r>
        <w:rPr>
          <w:b/>
          <w:bCs/>
        </w:rPr>
        <w:t xml:space="preserve">586</w:t>
      </w:r>
      <w:r>
        <w:t xml:space="preserve">, 217–227 (2020).</w:t>
      </w:r>
    </w:p>
    <w:bookmarkEnd w:id="46"/>
    <w:bookmarkStart w:id="47" w:name="ref-Bingham2019a"/>
    <w:p>
      <w:pPr>
        <w:pStyle w:val="Bibliography"/>
      </w:pPr>
      <w:r>
        <w:t xml:space="preserve">3.</w:t>
      </w:r>
      <w:r>
        <w:t xml:space="preserve"> </w:t>
      </w:r>
      <w:r>
        <w:t xml:space="preserve">	</w:t>
      </w:r>
      <w:r>
        <w:t xml:space="preserve">Bingham, H. C.</w:t>
      </w:r>
      <w:r>
        <w:t xml:space="preserve"> </w:t>
      </w:r>
      <w:r>
        <w:rPr>
          <w:i/>
          <w:iCs/>
        </w:rPr>
        <w:t xml:space="preserve">et al.</w:t>
      </w:r>
      <w:r>
        <w:t xml:space="preserve"> </w:t>
      </w:r>
      <w:r>
        <w:rPr>
          <w:i/>
          <w:iCs/>
        </w:rPr>
        <w:t xml:space="preserve">User</w:t>
      </w:r>
      <w:r>
        <w:rPr>
          <w:i/>
          <w:iCs/>
        </w:rPr>
        <w:t xml:space="preserve"> </w:t>
      </w:r>
      <w:r>
        <w:rPr>
          <w:i/>
          <w:iCs/>
        </w:rPr>
        <w:t xml:space="preserve">Manual</w:t>
      </w:r>
      <w:r>
        <w:rPr>
          <w:i/>
          <w:iCs/>
        </w:rPr>
        <w:t xml:space="preserve"> </w:t>
      </w:r>
      <w:r>
        <w:rPr>
          <w:i/>
          <w:iCs/>
        </w:rPr>
        <w:t xml:space="preserve">for the</w:t>
      </w:r>
      <w:r>
        <w:rPr>
          <w:i/>
          <w:iCs/>
        </w:rPr>
        <w:t xml:space="preserve"> </w:t>
      </w:r>
      <w:r>
        <w:rPr>
          <w:i/>
          <w:iCs/>
        </w:rPr>
        <w:t xml:space="preserve">World Database</w:t>
      </w:r>
      <w:r>
        <w:rPr>
          <w:i/>
          <w:iCs/>
        </w:rPr>
        <w:t xml:space="preserve"> </w:t>
      </w:r>
      <w:r>
        <w:rPr>
          <w:i/>
          <w:iCs/>
        </w:rPr>
        <w:t xml:space="preserve">on</w:t>
      </w:r>
      <w:r>
        <w:rPr>
          <w:i/>
          <w:iCs/>
        </w:rPr>
        <w:t xml:space="preserve"> </w:t>
      </w:r>
      <w:r>
        <w:rPr>
          <w:i/>
          <w:iCs/>
        </w:rPr>
        <w:t xml:space="preserve">Protected Areas</w:t>
      </w:r>
      <w:r>
        <w:rPr>
          <w:i/>
          <w:iCs/>
        </w:rPr>
        <w:t xml:space="preserve"> </w:t>
      </w:r>
      <w:r>
        <w:rPr>
          <w:i/>
          <w:iCs/>
        </w:rPr>
        <w:t xml:space="preserve">and World Database on Other Effective Area- Based Conservation Measures: 1.6</w:t>
      </w:r>
      <w:r>
        <w:t xml:space="preserve">. (UNEP-WCMC, Cambridge, UK, 2019).</w:t>
      </w:r>
    </w:p>
    <w:bookmarkEnd w:id="47"/>
    <w:bookmarkStart w:id="48" w:name="ref-symesWhyWeLose2016"/>
    <w:p>
      <w:pPr>
        <w:pStyle w:val="Bibliography"/>
      </w:pPr>
      <w:r>
        <w:t xml:space="preserve">4.</w:t>
      </w:r>
      <w:r>
        <w:t xml:space="preserve"> </w:t>
      </w:r>
      <w:r>
        <w:t xml:space="preserve">	</w:t>
      </w:r>
      <w:r>
        <w:t xml:space="preserve">Symes, W. S., Rao, M., Mascia, M. B. &amp; Carrasco, L. R. Why do we lose protected areas?</w:t>
      </w:r>
      <w:r>
        <w:t xml:space="preserve"> </w:t>
      </w:r>
      <w:r>
        <w:t xml:space="preserve">Factors</w:t>
      </w:r>
      <w:r>
        <w:t xml:space="preserve"> </w:t>
      </w:r>
      <w:r>
        <w:t xml:space="preserve">influencing protected area downgrading, downsizing and degazettement in the tropics and subtropics.</w:t>
      </w:r>
      <w:r>
        <w:t xml:space="preserve"> </w:t>
      </w:r>
      <w:r>
        <w:rPr>
          <w:i/>
          <w:iCs/>
        </w:rPr>
        <w:t xml:space="preserve">Global Change Biology</w:t>
      </w:r>
      <w:r>
        <w:t xml:space="preserve"> </w:t>
      </w:r>
      <w:r>
        <w:rPr>
          <w:b/>
          <w:bCs/>
        </w:rPr>
        <w:t xml:space="preserve">22</w:t>
      </w:r>
      <w:r>
        <w:t xml:space="preserve">, 656–665 (2016).</w:t>
      </w:r>
    </w:p>
    <w:bookmarkEnd w:id="48"/>
    <w:bookmarkStart w:id="49" w:name="ref-lewisDynamicsGlobalProtectedarea2019"/>
    <w:p>
      <w:pPr>
        <w:pStyle w:val="Bibliography"/>
      </w:pPr>
      <w:r>
        <w:t xml:space="preserve">5.</w:t>
      </w:r>
      <w:r>
        <w:t xml:space="preserve"> </w:t>
      </w:r>
      <w:r>
        <w:t xml:space="preserve">	</w:t>
      </w:r>
      <w:r>
        <w:t xml:space="preserve">Lewis, E.</w:t>
      </w:r>
      <w:r>
        <w:t xml:space="preserve"> </w:t>
      </w:r>
      <w:r>
        <w:rPr>
          <w:i/>
          <w:iCs/>
        </w:rPr>
        <w:t xml:space="preserve">et al.</w:t>
      </w:r>
      <w:r>
        <w:t xml:space="preserve"> Dynamics in the global protected-area estate since 2004.</w:t>
      </w:r>
      <w:r>
        <w:t xml:space="preserve"> </w:t>
      </w:r>
      <w:r>
        <w:rPr>
          <w:i/>
          <w:iCs/>
        </w:rPr>
        <w:t xml:space="preserve">Conservation Biology</w:t>
      </w:r>
      <w:r>
        <w:t xml:space="preserve"> </w:t>
      </w:r>
      <w:r>
        <w:rPr>
          <w:b/>
          <w:bCs/>
        </w:rPr>
        <w:t xml:space="preserve">33</w:t>
      </w:r>
      <w:r>
        <w:t xml:space="preserve">, 570–579 (2019).</w:t>
      </w:r>
    </w:p>
    <w:bookmarkEnd w:id="49"/>
    <w:bookmarkStart w:id="50" w:name="ref-Ebregt2000"/>
    <w:p>
      <w:pPr>
        <w:pStyle w:val="Bibliography"/>
      </w:pPr>
      <w:r>
        <w:t xml:space="preserve">6.</w:t>
      </w:r>
      <w:r>
        <w:t xml:space="preserve"> </w:t>
      </w:r>
      <w:r>
        <w:t xml:space="preserve">	</w:t>
      </w:r>
      <w:r>
        <w:t xml:space="preserve">Ebregt, A. &amp; De Greve, P.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w:t>
      </w:r>
      <w:r>
        <w:t xml:space="preserve"> </w:t>
      </w:r>
      <w:r>
        <w:rPr>
          <w:i/>
          <w:iCs/>
        </w:rPr>
        <w:t xml:space="preserve">International Agricultural Centre, The Netherlands, 64pp</w:t>
      </w:r>
      <w:r>
        <w:t xml:space="preserve"> </w:t>
      </w:r>
      <w:r>
        <w:t xml:space="preserve">(2000).</w:t>
      </w:r>
    </w:p>
    <w:bookmarkEnd w:id="50"/>
    <w:bookmarkStart w:id="51" w:name="ref-unep2024"/>
    <w:p>
      <w:pPr>
        <w:pStyle w:val="Bibliography"/>
      </w:pPr>
      <w:r>
        <w:t xml:space="preserve">7.</w:t>
      </w:r>
      <w:r>
        <w:t xml:space="preserve"> </w:t>
      </w:r>
      <w:r>
        <w:t xml:space="preserve">	</w:t>
      </w:r>
      <w:r>
        <w:t xml:space="preserve">UNEP-WCMC and IUCN.</w:t>
      </w:r>
      <w:r>
        <w:t xml:space="preserve"> </w:t>
      </w:r>
      <w:r>
        <w:rPr>
          <w:i/>
          <w:iCs/>
        </w:rPr>
        <w:t xml:space="preserve">Protected Planet Report 2024</w:t>
      </w:r>
      <w:r>
        <w:t xml:space="preserve">. (UNEP-WCMC; IUCN, Cambridge, United Kingdom; Gland, Switzerland, 2024).</w:t>
      </w:r>
    </w:p>
    <w:bookmarkEnd w:id="51"/>
    <w:bookmarkStart w:id="53" w:name="ref-Waeber2020"/>
    <w:p>
      <w:pPr>
        <w:pStyle w:val="Bibliography"/>
      </w:pPr>
      <w:r>
        <w:t xml:space="preserve">8.</w:t>
      </w:r>
      <w:r>
        <w:t xml:space="preserve"> </w:t>
      </w:r>
      <w:r>
        <w:t xml:space="preserve">	</w:t>
      </w:r>
      <w:r>
        <w:t xml:space="preserve">Waeber, P. O., Rafanoharana, S., Rasamuel, H. A. &amp; Wilmé, L. Parks and reserves in</w:t>
      </w:r>
      <w:r>
        <w:t xml:space="preserve"> </w:t>
      </w:r>
      <w:r>
        <w:t xml:space="preserve">Madagascar</w:t>
      </w:r>
      <w:r>
        <w:t xml:space="preserve">: Managing biodiversity for a sustainable future.</w:t>
      </w:r>
      <w:r>
        <w:t xml:space="preserve"> </w:t>
      </w:r>
      <w:r>
        <w:rPr>
          <w:i/>
          <w:iCs/>
        </w:rPr>
        <w:t xml:space="preserve">Protected Areas, National Parks and Sustainable Future. AN Bakar and MN Suratman (eds.)</w:t>
      </w:r>
      <w:r>
        <w:t xml:space="preserve"> </w:t>
      </w:r>
      <w:r>
        <w:t xml:space="preserve">89–108 (2020) doi:</w:t>
      </w:r>
      <w:hyperlink r:id="rId52">
        <w:r>
          <w:rPr>
            <w:rStyle w:val="Hyperlink"/>
          </w:rPr>
          <w:t xml:space="preserve">http://dx.doi.org/10.5772/intechopen.85348</w:t>
        </w:r>
      </w:hyperlink>
      <w:r>
        <w:t xml:space="preserve">.</w:t>
      </w:r>
    </w:p>
    <w:bookmarkEnd w:id="53"/>
    <w:bookmarkStart w:id="54" w:name="ref-Goodman2018"/>
    <w:p>
      <w:pPr>
        <w:pStyle w:val="Bibliography"/>
      </w:pPr>
      <w:r>
        <w:t xml:space="preserve">9.</w:t>
      </w:r>
      <w:r>
        <w:t xml:space="preserve"> </w:t>
      </w:r>
      <w:r>
        <w:t xml:space="preserve">	</w:t>
      </w:r>
      <w:r>
        <w:t xml:space="preserve">Goodman, S. M.</w:t>
      </w:r>
      <w:r>
        <w:t xml:space="preserve"> </w:t>
      </w:r>
      <w:r>
        <w:rPr>
          <w:i/>
          <w:iCs/>
        </w:rPr>
        <w:t xml:space="preserve">et al.</w:t>
      </w:r>
      <w:r>
        <w:t xml:space="preserve"> </w:t>
      </w:r>
      <w:r>
        <w:rPr>
          <w:i/>
          <w:iCs/>
        </w:rPr>
        <w:t xml:space="preserve">Les Aires Protégées Terrestres de</w:t>
      </w:r>
      <w:r>
        <w:rPr>
          <w:i/>
          <w:iCs/>
        </w:rPr>
        <w:t xml:space="preserve"> </w:t>
      </w:r>
      <w:r>
        <w:rPr>
          <w:i/>
          <w:iCs/>
        </w:rPr>
        <w:t xml:space="preserve">Madagascar</w:t>
      </w:r>
      <w:r>
        <w:rPr>
          <w:i/>
          <w:iCs/>
        </w:rPr>
        <w:t xml:space="preserve">: Leur Histoire, Description Et Biote.</w:t>
      </w:r>
      <w:r>
        <w:t xml:space="preserve"> (Association Vahatra, 2018).</w:t>
      </w:r>
    </w:p>
    <w:bookmarkEnd w:id="54"/>
    <w:bookmarkStart w:id="56" w:name="ref-unepwcmcWDPCAlicense"/>
    <w:p>
      <w:pPr>
        <w:pStyle w:val="Bibliography"/>
      </w:pPr>
      <w:r>
        <w:t xml:space="preserve">10.</w:t>
      </w:r>
      <w:r>
        <w:t xml:space="preserve"> </w:t>
      </w:r>
      <w:r>
        <w:t xml:space="preserve">	</w:t>
      </w:r>
      <w:r>
        <w:t xml:space="preserve">UNEP-WCMC.</w:t>
      </w:r>
      <w:r>
        <w:t xml:space="preserve"> </w:t>
      </w:r>
      <w:hyperlink r:id="rId55">
        <w:r>
          <w:rPr>
            <w:rStyle w:val="Hyperlink"/>
          </w:rPr>
          <w:t xml:space="preserve">WDPA data license</w:t>
        </w:r>
      </w:hyperlink>
      <w:r>
        <w:t xml:space="preserve">. (2026).</w:t>
      </w:r>
    </w:p>
    <w:bookmarkEnd w:id="56"/>
    <w:bookmarkStart w:id="58" w:name="ref-bedecarrats2026dataset"/>
    <w:p>
      <w:pPr>
        <w:pStyle w:val="Bibliography"/>
      </w:pPr>
      <w:r>
        <w:t xml:space="preserve">11.</w:t>
      </w:r>
      <w:r>
        <w:t xml:space="preserve"> </w:t>
      </w:r>
      <w:r>
        <w:t xml:space="preserve">	</w:t>
      </w:r>
      <w:r>
        <w:t xml:space="preserve">Bédécarrats, F., Ramanantsoa, S. &amp; Andrianambinina, O. D. Dynamic spatial conservation boundaries and internal zoning of madagascar from 2000 to 2025. DataSuds</w:t>
      </w:r>
      <w:r>
        <w:t xml:space="preserve"> </w:t>
      </w:r>
      <w:hyperlink r:id="rId57">
        <w:r>
          <w:rPr>
            <w:rStyle w:val="Hyperlink"/>
          </w:rPr>
          <w:t xml:space="preserve">https://doi.org/10.23708/VN2TWC</w:t>
        </w:r>
      </w:hyperlink>
      <w:r>
        <w:t xml:space="preserve"> </w:t>
      </w:r>
      <w:r>
        <w:t xml:space="preserve">(2026).</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2026-10-20T15:45:44Z</dcterms:created>
  <dcterms:modified xsi:type="dcterms:W3CDTF">2026-10-20T15:45:44Z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references/nature.csl</vt:lpwstr>
  </property>
  <property fmtid="{D5CDD505-2E9C-101B-9397-08002B2CF9AE}" pid="10" name="date">
    <vt:lpwstr>2026-10-20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