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3.png" ContentType="image/png"/>
  <Override PartName="/word/media/rId28.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and-summary"/>
    <w:p>
      <w:pPr>
        <w:pStyle w:val="Titre1"/>
      </w:pPr>
      <w:r>
        <w:t xml:space="preserve">Background and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Corpsdetexte"/>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 Lewis et al.</w:t>
      </w:r>
      <w:r>
        <w:rPr>
          <w:vertAlign w:val="superscript"/>
        </w:rPr>
        <w:t xml:space="preserve">5</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Corpsdetexte"/>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Corpsdetexte"/>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Corpsdetexte"/>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bias.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Corpsdetexte"/>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(Centre National d’information et de Documentation Législative et Juridique – CNLEGIS) contains the legal decisions underpinning each status change. Yet no single dataset has assembled these complementary sources into a unified temporal record.</w:t>
      </w:r>
    </w:p>
    <w:p>
      <w:pPr>
        <w:pStyle w:val="Corpsdetexte"/>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Corpsdetexte"/>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Titre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Corpsdetexte"/>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Lienhypertexte"/>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969000" cy="3213412"/>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969000" cy="3213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Corpsdetexte"/>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Titre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p>
    <w:p>
      <w:pPr>
        <w:pStyle w:val="Corpsdetexte"/>
      </w:pPr>
      <w:r>
        <w:t xml:space="preserve">The current WDPA provides the baseline geometry and attributes to which documented historical amendments are applied. The consolidated release presented here uses the November 2025 WDPA for Madagascar, obtained from Protected Planet (https://www.protectedplanet.net). Historical WDPA snapshots were additionally examined during data preparation and validation. Versions from July 2017 onward were accessed through the Google Earth Engine WDPA archive; earlier snapshots for 2010–2016 were recovered from UNEP-WCMC’s public AWS archive. In one documented case, a historical geometry was reconstructed by separating polygons from the November 2025 WDPA geometry (labelled WDPA_2025_split in the metadata). WDPA-derived material is identified explicitly in the provenance metadata.</w:t>
      </w:r>
    </w:p>
    <w:p>
      <w:pPr>
        <w:pStyle w:val="Corpsdetexte"/>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The other MNP sources incorporated in the released dataset are</w:t>
      </w:r>
      <w:r>
        <w:t xml:space="preserve"> </w:t>
      </w:r>
      <w:r>
        <w:t xml:space="preserve">“MNP_2010”</w:t>
      </w:r>
      <w:r>
        <w:t xml:space="preserve">,</w:t>
      </w:r>
      <w:r>
        <w:t xml:space="preserve"> </w:t>
      </w:r>
      <w:r>
        <w:t xml:space="preserve">“MNP_Anka_RNI_pre2002”</w:t>
      </w:r>
      <w:r>
        <w:t xml:space="preserve"> </w:t>
      </w:r>
      <w:r>
        <w:t xml:space="preserve">and</w:t>
      </w:r>
      <w:r>
        <w:t xml:space="preserve"> </w:t>
      </w:r>
      <w:r>
        <w:t xml:space="preserve">“MNP_Mantadia_pre2002”</w:t>
      </w:r>
      <w:r>
        <w:t xml:space="preserve">;</w:t>
      </w:r>
      <w:r>
        <w:t xml:space="preserve"> </w:t>
      </w:r>
      <w:r>
        <w:t xml:space="preserve">“MNP_2010_split”</w:t>
      </w:r>
      <w:r>
        <w:t xml:space="preserve"> </w:t>
      </w:r>
      <w:r>
        <w:t xml:space="preserve">is a subdivision of</w:t>
      </w:r>
      <w:r>
        <w:t xml:space="preserve"> </w:t>
      </w:r>
      <w:r>
        <w:t xml:space="preserve">“MNP_2010”</w:t>
      </w:r>
      <w:r>
        <w:t xml:space="preserve">, not an independent source. These geometries were produced, reconstructed or validated by co-author Ollier D. Andrianambinina in the context of his responsibilities at MNP and associated doctoral research. The original institutional source databases are not redistributed as such; requests concerning access to the underlying archives should be addressed to Madagascar National Parks, in particular its Information System and Innovation Department. MNP has provided written authorization for the use, adaptation, publication and redistribution of the ANGAP/MNP-derived geometries incorporated into this scientific dataset under CC BY 4.0, with appropriate attribution of their provenance.</w:t>
      </w:r>
    </w:p>
    <w:p>
      <w:pPr>
        <w:pStyle w:val="Corpsdetexte"/>
      </w:pPr>
      <w:r>
        <w:t xml:space="preserve">A second national stream consists of official protected-area geographic information produced, compiled or coordinated within the SAPM and the Ministry of Environment and Sustainable Development (MEDD). The geometries from this stream that enter the released dataset are identified as SAPM_evol_2001-2011, SAPM_2010 and MEDD_subdivisions. The latter includes zoning information produced in the course of protected-area management, including by organizations operating under delegated management arrangements, and consolidated as part of the official geographic information associated with the protected-area system. Their institutional provenance and the legal framework governing the circulation and dissemination of protected-area geographic information were documented in a signed attestation by co-author Seheno Ramanantsoa, Head of the Protected Areas Governance Service within MEDD. The original historical source databases are not redistributed as such; requests concerning access to them should be addressed to the MEDD service responsible for protected-area governance and SAPM coordination.</w:t>
      </w:r>
    </w:p>
    <w:p>
      <w:pPr>
        <w:pStyle w:val="Corpsdetexte"/>
      </w:pPr>
      <w:r>
        <w:t xml:space="preserve">Attribute amendments were derived from official legal records, principally decrees and ministerial or interministerial orders published through the Journal Officiel and made accessible through the Centre National de Légistique (CNLEGIS). These records were accessed through the CNLEGIS legislative database (https://www.cnlegis.gov.mg), using searches by legal instrument number, date, type and protected-area name or related keywords.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Corpsdetexte"/>
      </w:pPr>
      <w:r>
        <w:t xml:space="preserve">Additional sources, including the monograph by Goodman et al.</w:t>
      </w:r>
      <w:r>
        <w:rPr>
          <w:vertAlign w:val="superscript"/>
        </w:rPr>
        <w:t xml:space="preserve">9</w:t>
      </w:r>
      <w:r>
        <w:t xml:space="preserve"> </w:t>
      </w:r>
      <w:r>
        <w:t xml:space="preserve">and the associated Vahatra dataset, were used for historical interpretation, cross-checking and validation. The associated Vahatra spatial data are publicly disseminated through the institutional portal (https://protectedareas.mg), which makes its content available under Creative Commons licences for reuse with attribution; these geometries are not redistributed in our released dataset.</w:t>
      </w:r>
    </w:p>
    <w:p>
      <w:pPr>
        <w:pStyle w:val="Corpsdetexte"/>
      </w:pPr>
      <w:r>
        <w:t xml:space="preserve">Additional historical context was drawn from Waeber et al.</w:t>
      </w:r>
      <w:r>
        <w:rPr>
          <w:vertAlign w:val="superscript"/>
        </w:rPr>
        <w:t xml:space="preserve">8</w:t>
      </w:r>
      <w:r>
        <w:t xml:space="preserve">.</w:t>
      </w:r>
    </w:p>
    <w:bookmarkEnd w:id="14"/>
    <w:bookmarkStart w:id="19" w:name="consolidation-and-verification"/>
    <w:p>
      <w:pPr>
        <w:pStyle w:val="Titre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Corpsdetexte"/>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Corpsdetexte"/>
      </w:pPr>
      <w:r>
        <w:t xml:space="preserve">Core-zone shapefiles produced by protected-area managers, including MEDD, MNP, MBG, GERP and WWF, were assembled and compared with protected-area boundaries. These zoning data form part of the geographic information associated with the official management of protected areas under MEDD responsibility, including where MEDD delegates its management mandate to another organization. For the released dataset, the selected and harmonized zoning geometries are recorded under the source identifier</w:t>
      </w:r>
      <w:r>
        <w:t xml:space="preserve"> </w:t>
      </w:r>
      <w:r>
        <w:t xml:space="preserve">“MEDD_subdivisions”</w:t>
      </w:r>
      <w:r>
        <w:t xml:space="preserve">. Of the 73 protected areas for which exploitable zoning information was available, 70 fall within the temporal scope of the dataset and were integrated as secondary zones; three sites created in 2026 were excluded.</w:t>
      </w:r>
    </w:p>
    <w:p>
      <w:pPr>
        <w:pStyle w:val="Corpsdetexte"/>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Lienhypertexte"/>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969000" cy="5222875"/>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969000" cy="5222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Titre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Corpsdetexte"/>
      </w:pPr>
      <w:r>
        <w:t xml:space="preserve">The registry documents five types of amendments: boundary modifications, status changes, temporary protections, corrections to the WDPA baseline, and secondary zoning.</w:t>
      </w:r>
    </w:p>
    <w:bookmarkEnd w:id="20"/>
    <w:bookmarkStart w:id="21" w:name="consolidation-and-auditing-rules"/>
    <w:p>
      <w:pPr>
        <w:pStyle w:val="Titre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t xml:space="preserve">“generate_timeline()”</w:t>
      </w:r>
      <w:r>
        <w:t xml:space="preserve"> </w:t>
      </w:r>
      <w:r>
        <w:t xml:space="preserve">identifies temporal breakpoints from all amendments for a given WDPAID,</w:t>
      </w:r>
      <w:r>
        <w:t xml:space="preserve"> </w:t>
      </w:r>
      <w:r>
        <w:t xml:space="preserve">“find_active_amendments()”</w:t>
      </w:r>
      <w:r>
        <w:t xml:space="preserve"> </w:t>
      </w:r>
      <w:r>
        <w:t xml:space="preserve">determines which amendments are active at each time point, and</w:t>
      </w:r>
      <w:r>
        <w:t xml:space="preserve"> </w:t>
      </w:r>
      <w: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32" w:name="data-records"/>
    <w:p>
      <w:pPr>
        <w:pStyle w:val="Titre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t xml:space="preserve">“dynamic_wdpa.gpkg”</w:t>
      </w:r>
      <w:r>
        <w:t xml:space="preserve">,</w:t>
      </w:r>
      <w:r>
        <w:t xml:space="preserve"> </w:t>
      </w:r>
      <w:r>
        <w:t xml:space="preserve">“dynamic_wdpa.rds”</w:t>
      </w:r>
      <w:r>
        <w:t xml:space="preserve">, and</w:t>
      </w:r>
      <w:r>
        <w:t xml:space="preserve"> </w:t>
      </w:r>
      <w: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t xml:space="preserve">“amendments.zip”</w:t>
      </w:r>
      <w:r>
        <w:t xml:space="preserve"> </w:t>
      </w:r>
      <w:r>
        <w:t xml:space="preserve">contains a snapshot of the version-controlled YAML amendment registry and associated GeoJSON geometries.</w:t>
      </w:r>
    </w:p>
    <w:p>
      <w:pPr>
        <w:pStyle w:val="Corpsdetexte"/>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10</w:t>
      </w:r>
      <w:r>
        <w:t xml:space="preserve">.</w:t>
      </w:r>
    </w:p>
    <w:p>
      <w:pPr>
        <w:pStyle w:val="Corpsdetexte"/>
      </w:pPr>
      <w:r>
        <w:t xml:space="preserve">Provenance is retained at row level. The field</w:t>
      </w:r>
      <w:r>
        <w:t xml:space="preserve"> </w:t>
      </w:r>
      <w: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Corpsdetexte"/>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Lienhypertexte"/>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Character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in this release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in this release</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Corpsdetexte"/>
      </w:pPr>
      <w:r>
        <w:t xml:space="preserve">The national temporal reconstruction targets the 123 protected areas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4178300" cy="8261447"/>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4178300" cy="826144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 Madagascar’s national protected-area system through the end of 2025</w:t>
            </w:r>
          </w:p>
          <w:bookmarkEnd w:id="27"/>
        </w:tc>
      </w:tr>
    </w:tbl>
    <w:p>
      <w:pPr>
        <w:pStyle w:val="Corpsdetexte"/>
      </w:pPr>
      <w:r>
        <w:t xml:space="preserve">The temporal reconstruction changes the inferred evolution of protected-area extent.</w:t>
      </w:r>
      <w:r>
        <w:t xml:space="preserve"> </w:t>
      </w:r>
      <w:hyperlink w:anchor="fig-area-comparison">
        <w:r>
          <w:rPr>
            <w:rStyle w:val="Lienhypertexte"/>
          </w:rPr>
          <w:t xml:space="preserve">Figure 4</w:t>
        </w:r>
      </w:hyperlink>
      <w:r>
        <w:t xml:space="preserve"> </w:t>
      </w:r>
      <w:r>
        <w:t xml:space="preserve">compares the annual national protected-area extent obtained by back-projecting the November 2025 WDPA through</w:t>
      </w:r>
      <w:r>
        <w:t xml:space="preserve"> </w:t>
      </w:r>
      <w:r>
        <w:t xml:space="preserve">“STATUS_YR”</w:t>
      </w:r>
      <w:r>
        <w:t xml:space="preserve"> </w:t>
      </w:r>
      <w:r>
        <w:t xml:space="preserve">with that obtained from the reconstructed historical states. The WDPA-based series shows a sharp increase in 2015, whereas the temporal reconstruction distributes this expansion across earlier years and accounts for historical boundary changes.</w:t>
      </w:r>
    </w:p>
    <w:tbl>
      <w:tblPr>
        <w:tblStyle w:val="Table"/>
        <w:tblW w:type="pct" w:w="5000"/>
        <w:tblLayout w:type="fixed"/>
        <w:tblLook w:firstRow="0" w:lastRow="0" w:firstColumn="0" w:lastColumn="0" w:noHBand="0" w:noVBand="0" w:val="0000"/>
      </w:tblPr>
      <w:tblGrid>
        <w:gridCol w:w="7920"/>
      </w:tblGrid>
      <w:tr>
        <w:tc>
          <w:tcPr/>
          <w:bookmarkStart w:id="31" w:name="fig-area-comparison"/>
          <w:p>
            <w:pPr>
              <w:pStyle w:val="Compact"/>
              <w:jc w:val="center"/>
            </w:pPr>
            <w:r>
              <w:drawing>
                <wp:inline>
                  <wp:extent cx="4775200" cy="2984500"/>
                  <wp:effectExtent b="0" l="0" r="0" t="0"/>
                  <wp:docPr descr="" title="" id="29" name="Picture"/>
                  <a:graphic>
                    <a:graphicData uri="http://schemas.openxmlformats.org/drawingml/2006/picture">
                      <pic:pic>
                        <pic:nvPicPr>
                          <pic:cNvPr descr="figures/fig_cumulative_area_comparison.png" id="30" name="Picture"/>
                          <pic:cNvPicPr>
                            <a:picLocks noChangeArrowheads="1" noChangeAspect="1"/>
                          </pic:cNvPicPr>
                        </pic:nvPicPr>
                        <pic:blipFill>
                          <a:blip r:embed="rId28"/>
                          <a:stretch>
                            <a:fillRect/>
                          </a:stretch>
                        </pic:blipFill>
                        <pic:spPr bwMode="auto">
                          <a:xfrm>
                            <a:off x="0" y="0"/>
                            <a:ext cx="4775200" cy="2984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National protected-area extent in Madagascar according to the November 2025 WDPA baseline and the temporally extended dataset, 2000-2025. The WDPA series projects current national protected-area geometries backward from their recorded</w:t>
            </w:r>
            <w:r>
              <w:t xml:space="preserve"> </w:t>
            </w:r>
            <w:r>
              <w:t xml:space="preserve">“STATUS_YR”</w:t>
            </w:r>
            <w:r>
              <w:t xml:space="preserve">; records with an unreported status year are excluded. The temporally extended series uses the external-boundary state in force at the end of each year.</w:t>
            </w:r>
          </w:p>
          <w:bookmarkEnd w:id="31"/>
        </w:tc>
      </w:tr>
    </w:tbl>
    <w:p>
      <w:pPr>
        <w:pStyle w:val="Corpsdetexte"/>
      </w:pPr>
      <w:r>
        <w:t xml:space="preserve">By 2025 the two series nearly converge; the remaining difference of 878 km² corresponds to Tsimembo Manambolomaty, Mandrozo and Torotorofotsy, which have documented national legal histories in the reconstructed dataset but are represented only by international Ramsar records in the November 2025 WDPA.</w:t>
      </w:r>
    </w:p>
    <w:p>
      <w:pPr>
        <w:pStyle w:val="Corpsdetexte"/>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32"/>
    <w:bookmarkStart w:id="37" w:name="technical-validation"/>
    <w:p>
      <w:pPr>
        <w:pStyle w:val="Titre1"/>
      </w:pPr>
      <w:r>
        <w:t xml:space="preserve">Technical Validation</w:t>
      </w:r>
    </w:p>
    <w:p>
      <w:pPr>
        <w:pStyle w:val="FirstParagraph"/>
      </w:pPr>
      <w:r>
        <w:t xml:space="preserve">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Corpsdetexte"/>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Corpsdetexte"/>
      </w:pPr>
      <w:r>
        <w:t xml:space="preserve">Curated amendment geometries were checked during processing and spatial review. Baseline WDPA geometries are retained without silently modifying their topology, in order to preserve source fidelity.</w:t>
      </w:r>
    </w:p>
    <w:p>
      <w:pPr>
        <w:pStyle w:val="Corpsdetexte"/>
      </w:pPr>
      <w:hyperlink w:anchor="fig-amendments">
        <w:r>
          <w:rPr>
            <w:rStyle w:val="Lienhypertexte"/>
          </w:rPr>
          <w:t xml:space="preserve">Figure 5</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6" w:name="fig-amendments"/>
          <w:p>
            <w:pPr>
              <w:pStyle w:val="Compact"/>
              <w:jc w:val="center"/>
            </w:pPr>
            <w:r>
              <w:drawing>
                <wp:inline>
                  <wp:extent cx="4178300" cy="2387600"/>
                  <wp:effectExtent b="0" l="0" r="0" t="0"/>
                  <wp:docPr descr="" title="" id="34" name="Picture"/>
                  <a:graphic>
                    <a:graphicData uri="http://schemas.openxmlformats.org/drawingml/2006/picture">
                      <pic:pic>
                        <pic:nvPicPr>
                          <pic:cNvPr descr="figures/fig_amendments.png" id="35" name="Picture"/>
                          <pic:cNvPicPr>
                            <a:picLocks noChangeArrowheads="1" noChangeAspect="1"/>
                          </pic:cNvPicPr>
                        </pic:nvPicPr>
                        <pic:blipFill>
                          <a:blip r:embed="rId33"/>
                          <a:stretch>
                            <a:fillRect/>
                          </a:stretch>
                        </pic:blipFill>
                        <pic:spPr bwMode="auto">
                          <a:xfrm>
                            <a:off x="0" y="0"/>
                            <a:ext cx="4178300" cy="238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and counts of amendments documented in the YAML registry</w:t>
            </w:r>
          </w:p>
          <w:bookmarkEnd w:id="36"/>
        </w:tc>
      </w:tr>
    </w:tbl>
    <w:bookmarkEnd w:id="37"/>
    <w:bookmarkStart w:id="38" w:name="usage-notes"/>
    <w:p>
      <w:pPr>
        <w:pStyle w:val="Titre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t xml:space="preserve">“WDPAID”</w:t>
      </w:r>
      <w:r>
        <w:t xml:space="preserve"> </w:t>
      </w:r>
      <w:r>
        <w:t xml:space="preserve">field enables linkage with other WDPA-based datasets.</w:t>
      </w:r>
    </w:p>
    <w:p>
      <w:pPr>
        <w:pStyle w:val="Corpsdetexte"/>
      </w:pPr>
      <w:r>
        <w:t xml:space="preserve">Temporal configurations can be selected using</w:t>
      </w:r>
      <w:r>
        <w:t xml:space="preserve"> </w:t>
      </w:r>
      <w:r>
        <w:t xml:space="preserve">“valid_from”</w:t>
      </w:r>
      <w:r>
        <w:t xml:space="preserve"> </w:t>
      </w:r>
      <w:r>
        <w:t xml:space="preserve">and</w:t>
      </w:r>
      <w:r>
        <w:t xml:space="preserve"> </w:t>
      </w:r>
      <w:r>
        <w:t xml:space="preserve">“valid_to”</w:t>
      </w:r>
      <w:r>
        <w:t xml:space="preserve">. Validity intervals follow a start-inclusive and end-exclusive convention. An</w:t>
      </w:r>
      <w:r>
        <w:t xml:space="preserve"> </w:t>
      </w:r>
      <w:r>
        <w:t xml:space="preserve">“NA”</w:t>
      </w:r>
      <w:r>
        <w:t xml:space="preserve"> </w:t>
      </w:r>
      <w:r>
        <w:t xml:space="preserve">value in</w:t>
      </w:r>
      <w:r>
        <w:t xml:space="preserve"> </w:t>
      </w:r>
      <w:r>
        <w:t xml:space="preserve">“valid_to”</w:t>
      </w:r>
      <w:r>
        <w:t xml:space="preserve"> </w:t>
      </w:r>
      <w:r>
        <w:t xml:space="preserve">indicates that no later state is recorded and therefore normally identifies the configuration valid at the reference date. The</w:t>
      </w:r>
      <w:r>
        <w:t xml:space="preserve"> </w:t>
      </w:r>
      <w:r>
        <w:t xml:space="preserve">“zone_type”</w:t>
      </w:r>
      <w:r>
        <w:t xml:space="preserve"> </w:t>
      </w:r>
      <w:r>
        <w:t xml:space="preserve">field distinguishes external protected-area boundaries from secondary zoning geometries.</w:t>
      </w:r>
    </w:p>
    <w:p>
      <w:pPr>
        <w:pStyle w:val="Corpsdetexte"/>
      </w:pP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Corpsdetexte"/>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10</w:t>
      </w:r>
      <w:r>
        <w:t xml:space="preserve">. UNEP-WCMC has separately provided written authorization for public redistribution of the Madagascar-specific derived outputs included in this dataset for the non-commercial use case described here.</w:t>
      </w:r>
    </w:p>
    <w:p>
      <w:pPr>
        <w:pStyle w:val="Corpsdetexte"/>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8"/>
    <w:bookmarkStart w:id="39" w:name="data-availability-statement"/>
    <w:p>
      <w:pPr>
        <w:pStyle w:val="Titre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11</w:t>
      </w:r>
      <w:r>
        <w:t xml:space="preserve">. Version 2.0 includes the consolidated files</w:t>
      </w:r>
      <w:r>
        <w:t xml:space="preserve"> </w:t>
      </w:r>
      <w:r>
        <w:t xml:space="preserve">“dynamic_wdpa.gpkg”</w:t>
      </w:r>
      <w:r>
        <w:t xml:space="preserve">,</w:t>
      </w:r>
      <w:r>
        <w:t xml:space="preserve"> </w:t>
      </w:r>
      <w:r>
        <w:t xml:space="preserve">“dynamic_wdpa.parquet”</w:t>
      </w:r>
      <w:r>
        <w:t xml:space="preserve">, and</w:t>
      </w:r>
      <w:r>
        <w:t xml:space="preserve"> </w:t>
      </w:r>
      <w:r>
        <w:t xml:space="preserve">“dynamic_wdpa.rds”</w:t>
      </w:r>
      <w:r>
        <w:t xml:space="preserve">, together with the archived amendment registry</w:t>
      </w:r>
      <w:r>
        <w:t xml:space="preserve"> </w:t>
      </w:r>
      <w: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Corpsdetexte"/>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10</w:t>
      </w:r>
      <w:r>
        <w:t xml:space="preserve">. The deposited files constitute a historical research snapshot; users requiring the latest official protected and conserved area data should obtain the current release directly from Protected Planet.</w:t>
      </w:r>
    </w:p>
    <w:p>
      <w:pPr>
        <w:pStyle w:val="Corpsdetexte"/>
      </w:pPr>
      <w:r>
        <w:t xml:space="preserve">Source-specific reuse conditions apply to third-party material incorporated into the dataset. UNEP-WCMC has provided written authorization for redistribution of the Madagascar-specific WDPA-derived outputs for the non-commercial use case described here; commercial use of WDPA material or derivative works requires prior written permission from UNEP-WCMC. Madagascar National Parks has authorized the use, adaptation, publication and redistribution under CC BY 4.0 of the ANGAP/MNP-derived geometries incorporated into this dataset. For the SAPM/MEDD sources, including protected-area zoning information produced in the course of delegated management, their institutional provenance and the legal basis for public dissemination of protected-area geographic information have been documented in a signed attestation by co-author Seheno Ramanantsoa, Head of the Protected Areas Governance Service within MEDD. The attestation documents the statutory role of the ministry in the publication and dissemination of protected-area boundaries, zoning and associated geographic information; it does not constitute a general open licence for the underlying historical SAPM/MEDD databases.</w:t>
      </w:r>
    </w:p>
    <w:p>
      <w:pPr>
        <w:pStyle w:val="Corpsdetexte"/>
      </w:pPr>
      <w:r>
        <w:t xml:space="preserve">Geometry-level provenance is recorded in</w:t>
      </w:r>
      <w:r>
        <w:t xml:space="preserve"> </w:t>
      </w:r>
      <w: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9"/>
    <w:bookmarkStart w:id="40" w:name="code-availability"/>
    <w:p>
      <w:pPr>
        <w:pStyle w:val="Titre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40"/>
    <w:bookmarkStart w:id="41" w:name="acknowledgements"/>
    <w:p>
      <w:pPr>
        <w:pStyle w:val="Titre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Titre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Titre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Titre1"/>
      </w:pPr>
      <w:r>
        <w:t xml:space="preserve">Competing Interests</w:t>
      </w:r>
    </w:p>
    <w:p>
      <w:pPr>
        <w:pStyle w:val="FirstParagraph"/>
      </w:pPr>
      <w:r>
        <w:t xml:space="preserve">S.R. is a civil servant in charge of protected area governance at the Ministère de l’Environnement et du Développement Durable of Madagascar. O.D.A. heads the data information system and innovation unit at Madagascar National Parks. Producing and maintaining protected area information is part of their professional responsibilities. The authors have no financial conflicts of interest to declare.</w:t>
      </w:r>
    </w:p>
    <w:bookmarkEnd w:id="44"/>
    <w:bookmarkStart w:id="60" w:name="references"/>
    <w:p>
      <w:pPr>
        <w:pStyle w:val="Titre1"/>
      </w:pPr>
      <w:r>
        <w:t xml:space="preserve">References</w:t>
      </w:r>
    </w:p>
    <w:bookmarkStart w:id="59" w:name="refs"/>
    <w:bookmarkStart w:id="45" w:name="ref-bingham2019b"/>
    <w:p>
      <w:pPr>
        <w:pStyle w:val="Bibliographie"/>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5"/>
    <w:bookmarkStart w:id="46" w:name="ref-Maxwell2020"/>
    <w:p>
      <w:pPr>
        <w:pStyle w:val="Bibliographie"/>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6"/>
    <w:bookmarkStart w:id="47" w:name="ref-Bingham2019a"/>
    <w:p>
      <w:pPr>
        <w:pStyle w:val="Bibliographie"/>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7"/>
    <w:bookmarkStart w:id="48" w:name="ref-symesWhyWeLose2016"/>
    <w:p>
      <w:pPr>
        <w:pStyle w:val="Bibliographie"/>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8"/>
    <w:bookmarkStart w:id="49" w:name="ref-lewisDynamicsGlobalProtectedarea2019"/>
    <w:p>
      <w:pPr>
        <w:pStyle w:val="Bibliographie"/>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9"/>
    <w:bookmarkStart w:id="50" w:name="ref-Ebregt2000"/>
    <w:p>
      <w:pPr>
        <w:pStyle w:val="Bibliographie"/>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50"/>
    <w:bookmarkStart w:id="51" w:name="ref-unep2024"/>
    <w:p>
      <w:pPr>
        <w:pStyle w:val="Bibliographie"/>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51"/>
    <w:bookmarkStart w:id="53" w:name="ref-Waeber2020"/>
    <w:p>
      <w:pPr>
        <w:pStyle w:val="Bibliographie"/>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52">
        <w:r>
          <w:rPr>
            <w:rStyle w:val="Lienhypertexte"/>
          </w:rPr>
          <w:t xml:space="preserve">http://dx.doi.org/10.5772/intechopen.85348</w:t>
        </w:r>
      </w:hyperlink>
      <w:r>
        <w:t xml:space="preserve">.</w:t>
      </w:r>
    </w:p>
    <w:bookmarkEnd w:id="53"/>
    <w:bookmarkStart w:id="54" w:name="ref-Goodman2018"/>
    <w:p>
      <w:pPr>
        <w:pStyle w:val="Bibliographie"/>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4"/>
    <w:bookmarkStart w:id="56" w:name="ref-unepwcmcWDPCAlicense"/>
    <w:p>
      <w:pPr>
        <w:pStyle w:val="Bibliographie"/>
      </w:pPr>
      <w:r>
        <w:t xml:space="preserve">10.</w:t>
      </w:r>
      <w:r>
        <w:t xml:space="preserve"> </w:t>
      </w:r>
      <w:r>
        <w:t xml:space="preserve">	</w:t>
      </w:r>
      <w:r>
        <w:t xml:space="preserve">UNEP-WCMC.</w:t>
      </w:r>
      <w:r>
        <w:t xml:space="preserve"> </w:t>
      </w:r>
      <w:hyperlink r:id="rId55">
        <w:r>
          <w:rPr>
            <w:rStyle w:val="Lienhypertexte"/>
          </w:rPr>
          <w:t xml:space="preserve">WDPA data license</w:t>
        </w:r>
      </w:hyperlink>
      <w:r>
        <w:t xml:space="preserve">. (2026).</w:t>
      </w:r>
    </w:p>
    <w:bookmarkEnd w:id="56"/>
    <w:bookmarkStart w:id="58" w:name="ref-bedecarrats2026dataset"/>
    <w:p>
      <w:pPr>
        <w:pStyle w:val="Bibliographie"/>
      </w:pPr>
      <w:r>
        <w:t xml:space="preserve">11.</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7">
        <w:r>
          <w:rPr>
            <w:rStyle w:val="Lienhypertexte"/>
          </w:rPr>
          <w:t xml:space="preserve">https://doi.org/10.23708/VN2TWC</w:t>
        </w:r>
      </w:hyperlink>
      <w:r>
        <w:t xml:space="preserve"> </w:t>
      </w:r>
      <w:r>
        <w:t xml:space="preserve">(2026).</w:t>
      </w:r>
    </w:p>
    <w:bookmarkEnd w:id="58"/>
    <w:bookmarkEnd w:id="59"/>
    <w:bookmarkEnd w:id="60"/>
    <w:sectPr w:rsidR="00FA7930" w:rsidSect="00333C3B">
      <w:footnotePr>
        <w:numRestart w:val="eachSect"/>
      </w:footnotePr>
      <w:pgSz w:h="15840" w:w="12240"/>
      <w:pgMar w:bottom="1417" w:footer="720" w:gutter="0" w:header="720" w:left="1417" w:right="1417" w:top="1417"/>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A9D031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68339032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A7930"/>
    <w:rsid w:val="0025615F"/>
    <w:rsid w:val="00333C3B"/>
    <w:rsid w:val="00FA79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33C3B"/>
    <w:pPr>
      <w:jc w:val="both"/>
    </w:pPr>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styleId="Numrodeligne" w:type="character">
    <w:name w:val="line number"/>
    <w:basedOn w:val="Policepardfaut"/>
    <w:semiHidden/>
    <w:unhideWhenUsed/>
    <w:rsid w:val="00333C3B"/>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64</Words>
  <Characters>358</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2026-10-20T19:56:02Z</dcterms:created>
  <dcterms:modified xsi:type="dcterms:W3CDTF">2026-10-20T19:56:02Z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