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and-summary"/>
    <w:p>
      <w:pPr>
        <w:pStyle w:val="Titre1"/>
      </w:pPr>
      <w:r>
        <w:t xml:space="preserve">Background and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Corpsdetexte"/>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Corpsdetexte"/>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Corpsdetexte"/>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seek to estimate the causal effect of an intervention by comparing observed outcomes with an estimate of what would have occurred in its absence. For protected areas, this requires correctly identifying where and when protection applies. Errors in boundary geometry, protection dates, or legal status can therefore misclassify locations or periods as protected or unprotected and bias estimated effects. Internal zoning adds another dimension: evaluations relying solely on the external boundary may pool areas subject to different levels of restriction, potentially masking effects concentrated in more strictly protected zones.</w:t>
      </w:r>
    </w:p>
    <w:p>
      <w:pPr>
        <w:pStyle w:val="Corpsdetexte"/>
      </w:pPr>
      <w:r>
        <w:t xml:space="preserve">This matters for researchers from all disciplines that study conservation (biology, ecology, economics, anthropology, etc.). For instance, if such an evaluation assumes that the current boundary has remained unchanged since a protected area was established, it may treat land incorporated only later as protected during earlier periods, thereby biasing the estimated effect of protection.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Corpsdetexte"/>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(Centre National d’information et de Documentation Législative et Juridique – CNLEGIS) contains the legal decisions underpinning each status change. Yet no single dataset has assembled these complementary sources into a unified temporal record.</w:t>
      </w:r>
    </w:p>
    <w:p>
      <w:pPr>
        <w:pStyle w:val="Corpsdetexte"/>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Corpsdetexte"/>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Titre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Corpsdetexte"/>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Lienhypertexte"/>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969000" cy="3213412"/>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969000" cy="3213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for reconstructing and consolidating protected-area histories. Input data provide geometries or dated attributes used to construct the amendment registry, whereas validation and contextual sources are used for comparison, interpretation and verification. The curated amendment registry is then applied to a WDPA baseline using the Consolidation and Auditing Rules. The deposited release uses the November 2025 WDPA baseline; later WDPA releases can be used to generate subsequent updates</w:t>
            </w:r>
          </w:p>
          <w:bookmarkEnd w:id="13"/>
        </w:tc>
      </w:tr>
    </w:tbl>
    <w:p>
      <w:pPr>
        <w:pStyle w:val="Corpsdetexte"/>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Titre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Corpsdetexte"/>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Corpsdetexte"/>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Corpsdetexte"/>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Corpsdetexte"/>
      </w:pPr>
      <w:r>
        <w:t xml:space="preserve">Attribute amendments were derived from official legal records,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Corpsdetexte"/>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 associated Vahatra spatial data are publicly disseminated through the institutional portal (https://protectedareas.mg), which makes its content available under Creative Commons licences for reuse with attribution; these geometries are not redistributed in our released dataset.</w:t>
      </w:r>
    </w:p>
    <w:p>
      <w:pPr>
        <w:pStyle w:val="Corpsdetexte"/>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Titre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Corpsdetexte"/>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Corpsdetexte"/>
      </w:pPr>
      <w:r>
        <w:t xml:space="preserve">Core-zone shapefiles produced by protected-area managers, including MEDD, MNP, MBG (Missouri Botanical Garden), GERP (Groupe d’Étude et de Recherche sur les Primates de Madagascar) and (World Wildlife Fund),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Corpsdetexte"/>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Lienhypertexte"/>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969000" cy="5222875"/>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969000" cy="5222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Titre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Corpsdetexte"/>
      </w:pPr>
      <w:r>
        <w:t xml:space="preserve">The registry documents five types of amendments: boundary modifications, status changes, temporary protections, corrections to the WDPA baseline, and secondary zoning. In the Malagasy protected-area creation process, temporary protection refers to a legally binding provisional protection granted while a site proceeds toward definitive legal creation. During this provisional period, the site is subject in substance to the conservation restrictions associated with protected status; the distinction is primarily that the legal protection is granted for a limited period pending definitive designation. Temporary protection therefore does not indicate a protected area intended to be temporary or one that was subsequently degazetted.</w:t>
      </w:r>
    </w:p>
    <w:bookmarkEnd w:id="20"/>
    <w:bookmarkStart w:id="21" w:name="consolidation-and-auditing-rules"/>
    <w:p>
      <w:pPr>
        <w:pStyle w:val="Titre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WDPAID,</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Titre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Corpsdetexte"/>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Corpsdetexte"/>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Corpsdetexte"/>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Lienhypertexte"/>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Corpsdetexte"/>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4178300" cy="8261447"/>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4178300" cy="826144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constituted Madagascar’s national protected-area system through the end of 2025, coloured according to the number of documented external-boundary temporal states. A value of 1 indicates that no boundary change is documented over the study period.</w:t>
            </w:r>
          </w:p>
          <w:bookmarkEnd w:id="27"/>
        </w:tc>
      </w:tr>
    </w:tbl>
    <w:p>
      <w:pPr>
        <w:pStyle w:val="Corpsdetexte"/>
      </w:pPr>
      <w:r>
        <w:t xml:space="preserve">The temporal reconstruction changes the inferred evolution of protected-area extent.</w:t>
      </w:r>
      <w:r>
        <w:t xml:space="preserve"> </w:t>
      </w:r>
      <w:hyperlink w:anchor="fig-area-comparison">
        <w:r>
          <w:rPr>
            <w:rStyle w:val="Lienhypertexte"/>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775200" cy="29845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775200" cy="2984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Corpsdetexte"/>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Corpsdetexte"/>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Titre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Corpsdetexte"/>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Corpsdetexte"/>
      </w:pPr>
      <w:r>
        <w:t xml:space="preserve">Curated amendment geometries were checked during processing and spatial review. Baseline WDPA geometries are retained without silently modifying their topology, in order to preserve source fidelity.</w:t>
      </w:r>
    </w:p>
    <w:p>
      <w:pPr>
        <w:pStyle w:val="Corpsdetexte"/>
      </w:pPr>
      <w:hyperlink w:anchor="fig-amendments">
        <w:r>
          <w:rPr>
            <w:rStyle w:val="Lienhypertexte"/>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4178300" cy="2387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4178300" cy="238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Types and counts of amendments documented in the YAML registry. Temporary protection denotes legally binding provisional protection pending definitive creation, rather than subsequent degazettement</w:t>
            </w:r>
          </w:p>
          <w:bookmarkEnd w:id="36"/>
        </w:tc>
      </w:tr>
    </w:tbl>
    <w:bookmarkEnd w:id="37"/>
    <w:bookmarkStart w:id="38" w:name="usage-notes"/>
    <w:p>
      <w:pPr>
        <w:pStyle w:val="Titre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Corpsdetexte"/>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Corpsdetexte"/>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Corpsdetexte"/>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Corpsdetexte"/>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Proposed amendments are reviewed by the coauthors and incorporated into the curated registry by consensus. If consensus cannot be reached, final validation rests with Ollier D. Andrianambinina for protected areas managed by Madagascar National Parks (MNP), and with Seheno Ramanantsoa for other protected areas. The CAR engine then automates consolidation of accepted amendments; it does not perform their scientific or institutional validation. The interactive companion application allows users to explore individual protected areas and compare boundaries from different sources.</w:t>
      </w:r>
    </w:p>
    <w:bookmarkEnd w:id="38"/>
    <w:bookmarkStart w:id="39" w:name="data-availability-statement"/>
    <w:p>
      <w:pPr>
        <w:pStyle w:val="Titre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Corpsdetexte"/>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Corpsdetexte"/>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Corpsdetexte"/>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Titre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Titre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Titre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Titre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Titre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Titre1"/>
      </w:pPr>
      <w:r>
        <w:t xml:space="preserve">References</w:t>
      </w:r>
    </w:p>
    <w:bookmarkStart w:id="59" w:name="refs"/>
    <w:bookmarkStart w:id="45" w:name="ref-bingham2019b"/>
    <w:p>
      <w:pPr>
        <w:pStyle w:val="Bibliographie"/>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ie"/>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ie"/>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ie"/>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ie"/>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ie"/>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ie"/>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ie"/>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Lienhypertexte"/>
          </w:rPr>
          <w:t xml:space="preserve">http://dx.doi.org/10.5772/intechopen.85348</w:t>
        </w:r>
      </w:hyperlink>
      <w:r>
        <w:t xml:space="preserve">.</w:t>
      </w:r>
    </w:p>
    <w:bookmarkEnd w:id="53"/>
    <w:bookmarkStart w:id="54" w:name="ref-Goodman2018"/>
    <w:p>
      <w:pPr>
        <w:pStyle w:val="Bibliographie"/>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ie"/>
      </w:pPr>
      <w:r>
        <w:t xml:space="preserve">10.</w:t>
      </w:r>
      <w:r>
        <w:t xml:space="preserve"> </w:t>
      </w:r>
      <w:r>
        <w:t xml:space="preserve">	</w:t>
      </w:r>
      <w:r>
        <w:t xml:space="preserve">UNEP-WCMC.</w:t>
      </w:r>
      <w:r>
        <w:t xml:space="preserve"> </w:t>
      </w:r>
      <w:hyperlink r:id="rId55">
        <w:r>
          <w:rPr>
            <w:rStyle w:val="Lienhypertexte"/>
          </w:rPr>
          <w:t xml:space="preserve">WDPA data license</w:t>
        </w:r>
      </w:hyperlink>
      <w:r>
        <w:t xml:space="preserve">. (2026).</w:t>
      </w:r>
    </w:p>
    <w:bookmarkEnd w:id="56"/>
    <w:bookmarkStart w:id="58" w:name="ref-bedecarrats2026dataset"/>
    <w:p>
      <w:pPr>
        <w:pStyle w:val="Bibliographie"/>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Lienhypertexte"/>
          </w:rPr>
          <w:t xml:space="preserve">https://doi.org/10.23708/VN2TWC</w:t>
        </w:r>
      </w:hyperlink>
      <w:r>
        <w:t xml:space="preserve"> </w:t>
      </w:r>
      <w:r>
        <w:t xml:space="preserve">(2026).</w:t>
      </w:r>
    </w:p>
    <w:bookmarkEnd w:id="58"/>
    <w:bookmarkEnd w:id="59"/>
    <w:bookmarkEnd w:id="60"/>
    <w:sectPr w:rsidR="00FA7930" w:rsidSect="00333C3B">
      <w:footnotePr>
        <w:numRestart w:val="eachSect"/>
      </w:footnotePr>
      <w:pgSz w:h="15840" w:w="12240"/>
      <w:pgMar w:bottom="1417" w:footer="720" w:gutter="0" w:header="720" w:left="1417" w:right="1417" w:top="1417"/>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A9D031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8339032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7930"/>
    <w:rsid w:val="0025615F"/>
    <w:rsid w:val="00333C3B"/>
    <w:rsid w:val="00FA79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33C3B"/>
    <w:pPr>
      <w:jc w:val="both"/>
    </w:pPr>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styleId="Numrodeligne" w:type="character">
    <w:name w:val="line number"/>
    <w:basedOn w:val="Policepardfaut"/>
    <w:semiHidden/>
    <w:unhideWhenUsed/>
    <w:rsid w:val="00333C3B"/>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2026-10-20T21:41:45Z</dcterms:created>
  <dcterms:modified xsi:type="dcterms:W3CDTF">2026-10-20T21:41:45Z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