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85.png" ContentType="image/png"/>
  <Override PartName="/word/media/rId232.png" ContentType="image/png"/>
  <Override PartName="/word/media/rId271.png" ContentType="image/png"/>
  <Override PartName="/word/media/rId265.png" ContentType="image/png"/>
  <Override PartName="/word/media/rId236.png" ContentType="image/png"/>
  <Override PartName="/word/media/rId214.png" ContentType="image/png"/>
  <Override PartName="/word/media/rId218.png" ContentType="image/png"/>
  <Override PartName="/word/media/rId223.png" ContentType="image/png"/>
  <Override PartName="/word/media/rId210.png" ContentType="image/png"/>
  <Override PartName="/word/media/rId227.png" ContentType="image/png"/>
  <Override PartName="/word/media/rId192.png" ContentType="image/png"/>
  <Override PartName="/word/media/rId201.png" ContentType="image/png"/>
  <Override PartName="/word/media/rId276.png" ContentType="image/png"/>
  <Override PartName="/word/media/rId246.png" ContentType="image/png"/>
  <Override PartName="/word/media/rId250.png" ContentType="image/png"/>
  <Override PartName="/word/media/rId254.png" ContentType="image/png"/>
  <Override PartName="/word/media/rId242.png" ContentType="image/png"/>
  <Override PartName="/word/media/rId258.png" ContentType="image/png"/>
  <Override PartName="/word/media/rId196.png" ContentType="image/png"/>
  <Override PartName="/word/media/rId205.png" ContentType="image/png"/>
  <Override PartName="/word/media/rId310.png" ContentType="image/png"/>
  <Override PartName="/word/media/rId322.png" ContentType="image/png"/>
  <Override PartName="/word/media/rId303.png" ContentType="image/png"/>
  <Override PartName="/word/media/rId334.png" ContentType="image/png"/>
  <Override PartName="/word/media/rId293.png" ContentType="image/png"/>
  <Override PartName="/word/media/rId298.png" ContentType="image/png"/>
  <Override PartName="/word/media/rId288.png" ContentType="image/png"/>
  <Override PartName="/word/media/rId283.png" ContentType="image/png"/>
  <Override PartName="/word/media/rId316.png" ContentType="image/png"/>
  <Override PartName="/word/media/rId329.png" ContentType="image/png"/>
  <Override PartName="/word/media/rId340.png" ContentType="image/png"/>
  <Override PartName="/word/media/rId171.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2026-07-22</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341"/>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1" w:name="description-de-lenquête"/>
    <w:p>
      <w:pPr>
        <w:pStyle w:val="Titre1"/>
      </w:pPr>
      <w:r>
        <w:t xml:space="preserve">1. Description de l’enquête</w:t>
      </w:r>
    </w:p>
    <w:bookmarkStart w:id="170"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Marovoay</w:t>
      </w:r>
      <w:r>
        <w:t xml:space="preserve"> </w:t>
      </w:r>
      <w:r>
        <w:t xml:space="preserve">constitue le deuxième pôle rizicole du pays, avec une production reposant sur l’irrigation par les eaux du fleuve Betsiboka. L’observatoire de Marovoay est situé dans la plaine alluviale du fleuve Betsiboka, dans le district de Marovoay de la région Boeny,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0"/>
    <w:bookmarkStart w:id="174"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C:\PROGRA~1\RStudio\RESOUR~1\app\bin\quarto\share\formats\docx\note.png" id="173" name="Picture"/>
                          <pic:cNvPicPr>
                            <a:picLocks noChangeArrowheads="1" noChangeAspect="1"/>
                          </pic:cNvPicPr>
                        </pic:nvPicPr>
                        <pic:blipFill>
                          <a:blip r:embed="rId1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4"/>
    <w:bookmarkStart w:id="178"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7392202"/>
            <wp:effectExtent b="0" l="0" r="0" t="0"/>
            <wp:docPr descr="Localisation approximative des fokontany enquêtés (centroïde des hameaux)" title="" id="176" name="Picture"/>
            <a:graphic>
              <a:graphicData uri="http://schemas.openxmlformats.org/drawingml/2006/picture">
                <pic:pic>
                  <pic:nvPicPr>
                    <pic:cNvPr descr="01_description_files/figure-docx/carte_sites-1.png" id="177" name="Picture"/>
                    <pic:cNvPicPr>
                      <a:picLocks noChangeArrowheads="1" noChangeAspect="1"/>
                    </pic:cNvPicPr>
                  </pic:nvPicPr>
                  <pic:blipFill>
                    <a:blip r:embed="rId175"/>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78"/>
    <w:bookmarkStart w:id="184" w:name="ménages-enquêtés"/>
    <w:p>
      <w:pPr>
        <w:pStyle w:val="Titre2"/>
      </w:pPr>
      <w:r>
        <w:t xml:space="preserve">1.4 Ménages enquêtés</w:t>
      </w:r>
    </w:p>
    <w:p>
      <w:pPr>
        <w:pStyle w:val="FirstParagraph"/>
      </w:pPr>
      <w:r>
        <w:t xml:space="preserve">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9" w:name="tbl-men-obs"/>
          <w:p>
            <w:pPr>
              <w:jc w:val="center"/>
            </w:pPr>
            <w:pPr>
              <w:jc w:val="left"/>
              <w:spacing w:before="200"/>
              <w:pStyle w:val="ImageCaption"/>
            </w:pPr>
            <w:r>
              <w:t xml:space="preserve">Table 1.1: Répartition des ménages et des individus selon les observatoires</w:t>
            </w:r>
          </w:p>
          <w:bookmarkEnd w:id="179"/>
        </w:tc>
      </w:tr>
    </w:tbl>
    <w:bookmarkStart w:id="181"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0" w:name="tbl-denombrement"/>
          <w:p>
            <w:pPr>
              <w:jc w:val="center"/>
            </w:pPr>
            <w:pPr>
              <w:jc w:val="left"/>
              <w:spacing w:before="200"/>
              <w:pStyle w:val="ImageCaption"/>
            </w:pPr>
            <w:r>
              <w:t xml:space="preserve">Table 1.2: Dénombrement et taux de sondage par observatoire</w:t>
            </w:r>
          </w:p>
          <w:bookmarkEnd w:id="180"/>
        </w:tc>
      </w:tr>
    </w:tbl>
    <w:bookmarkEnd w:id="181"/>
    <w:bookmarkStart w:id="183"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2"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 auprès des OR 2025</w:t>
                  </w:r>
                </w:p>
              </w:tc>
            </w:tr>
          </w:tbl>
          <w:bookmarkEnd w:id="182"/>
          <w:p/>
        </w:tc>
      </w:tr>
    </w:tbl>
    <w:bookmarkEnd w:id="183"/>
    <w:bookmarkEnd w:id="184"/>
    <w:bookmarkStart w:id="190"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88"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295769"/>
                  <wp:effectExtent b="0" l="0" r="0" t="0"/>
                  <wp:docPr descr="" title="" id="186" name="Picture"/>
                  <a:graphic>
                    <a:graphicData uri="http://schemas.openxmlformats.org/drawingml/2006/picture">
                      <pic:pic>
                        <pic:nvPicPr>
                          <pic:cNvPr descr="01_description_files/figure-docx/fig-chronogramme-1.png" id="187" name="Picture"/>
                          <pic:cNvPicPr>
                            <a:picLocks noChangeArrowheads="1" noChangeAspect="1"/>
                          </pic:cNvPicPr>
                        </pic:nvPicPr>
                        <pic:blipFill>
                          <a:blip r:embed="rId185"/>
                          <a:stretch>
                            <a:fillRect/>
                          </a:stretch>
                        </pic:blipFill>
                        <pic:spPr bwMode="auto">
                          <a:xfrm>
                            <a:off x="0" y="0"/>
                            <a:ext cx="5969000" cy="2295769"/>
                          </a:xfrm>
                          <a:prstGeom prst="rect">
                            <a:avLst/>
                          </a:prstGeom>
                          <a:noFill/>
                          <a:ln w="9525">
                            <a:noFill/>
                            <a:headEnd/>
                            <a:tailEnd/>
                          </a:ln>
                        </pic:spPr>
                      </pic:pic>
                    </a:graphicData>
                  </a:graphic>
                </wp:inline>
              </w:drawing>
            </w:r>
          </w:p>
          <w:bookmarkEnd w:id="188"/>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89" w:name="tbl-periode"/>
          <w:p>
            <w:pPr>
              <w:jc w:val="center"/>
            </w:pPr>
            <w:pPr>
              <w:jc w:val="left"/>
              <w:spacing w:before="200"/>
              <w:pStyle w:val="ImageCaption"/>
            </w:pPr>
            <w:r>
              <w:t xml:space="preserve">Table 1.4: Période de collecte par observatoire</w:t>
            </w:r>
          </w:p>
          <w:bookmarkEnd w:id="189"/>
        </w:tc>
      </w:tr>
    </w:tbl>
    <w:p>
      <w:pPr>
        <w:pStyle w:val="Corpsdetexte"/>
      </w:pPr>
      <w:r>
        <w:t xml:space="preserve">L’enquête a mobilisé 20 enquêteurs (10 par observatoire), encadrés par 6 superviseurs (3 par observatoire). La saisie des questionnaires a été assurée par 4 opérateurs.</w:t>
      </w:r>
    </w:p>
    <w:bookmarkEnd w:id="190"/>
    <w:bookmarkEnd w:id="191"/>
    <w:bookmarkStart w:id="282"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09" w:name="description-des-ménages"/>
    <w:p>
      <w:pPr>
        <w:pStyle w:val="Titre2"/>
      </w:pPr>
      <w:r>
        <w:t xml:space="preserve">2.1 Description des ménages</w:t>
      </w:r>
    </w:p>
    <w:bookmarkStart w:id="195"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193" name="Picture"/>
            <a:graphic>
              <a:graphicData uri="http://schemas.openxmlformats.org/drawingml/2006/picture">
                <pic:pic>
                  <pic:nvPicPr>
                    <pic:cNvPr descr="02_structure_menages_files/figure-docx/fig_men_hameau-1.png" id="194" name="Picture"/>
                    <pic:cNvPicPr>
                      <a:picLocks noChangeArrowheads="1" noChangeAspect="1"/>
                    </pic:cNvPicPr>
                  </pic:nvPicPr>
                  <pic:blipFill>
                    <a:blip r:embed="rId19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195"/>
    <w:bookmarkStart w:id="200"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199"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4158113"/>
            <wp:effectExtent b="0" l="0" r="0" t="0"/>
            <wp:docPr descr="Pyramide des âges des membres des ménages enquêtés par observatoire" title="" id="197" name="Picture"/>
            <a:graphic>
              <a:graphicData uri="http://schemas.openxmlformats.org/drawingml/2006/picture">
                <pic:pic>
                  <pic:nvPicPr>
                    <pic:cNvPr descr="02_structure_menages_files/figure-docx/fig_pyramide-1.png" id="198" name="Picture"/>
                    <pic:cNvPicPr>
                      <a:picLocks noChangeArrowheads="1" noChangeAspect="1"/>
                    </pic:cNvPicPr>
                  </pic:nvPicPr>
                  <pic:blipFill>
                    <a:blip r:embed="rId196"/>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199"/>
    <w:bookmarkEnd w:id="200"/>
    <w:bookmarkStart w:id="204"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7392202"/>
            <wp:effectExtent b="0" l="0" r="0" t="0"/>
            <wp:docPr descr="" title="" id="202" name="Picture"/>
            <a:graphic>
              <a:graphicData uri="http://schemas.openxmlformats.org/drawingml/2006/picture">
                <pic:pic>
                  <pic:nvPicPr>
                    <pic:cNvPr descr="02_structure_menages_files/figure-docx/fig_origine-1.png" id="203" name="Picture"/>
                    <pic:cNvPicPr>
                      <a:picLocks noChangeArrowheads="1" noChangeAspect="1"/>
                    </pic:cNvPicPr>
                  </pic:nvPicPr>
                  <pic:blipFill>
                    <a:blip r:embed="rId201"/>
                    <a:stretch>
                      <a:fillRect/>
                    </a:stretch>
                  </pic:blipFill>
                  <pic:spPr bwMode="auto">
                    <a:xfrm>
                      <a:off x="0" y="0"/>
                      <a:ext cx="4620126" cy="7392202"/>
                    </a:xfrm>
                    <a:prstGeom prst="rect">
                      <a:avLst/>
                    </a:prstGeom>
                    <a:noFill/>
                    <a:ln w="9525">
                      <a:noFill/>
                      <a:headEnd/>
                      <a:tailEnd/>
                    </a:ln>
                  </pic:spPr>
                </pic:pic>
              </a:graphicData>
            </a:graphic>
          </wp:inline>
        </w:drawing>
      </w:r>
    </w:p>
    <w:bookmarkEnd w:id="204"/>
    <w:bookmarkStart w:id="208" w:name="raison-dinstallation"/>
    <w:p>
      <w:pPr>
        <w:pStyle w:val="Titre3"/>
      </w:pPr>
      <w:r>
        <w:t xml:space="preserve">2.1.4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7392202"/>
            <wp:effectExtent b="0" l="0" r="0" t="0"/>
            <wp:docPr descr="" title="" id="206" name="Picture"/>
            <a:graphic>
              <a:graphicData uri="http://schemas.openxmlformats.org/drawingml/2006/picture">
                <pic:pic>
                  <pic:nvPicPr>
                    <pic:cNvPr descr="02_structure_menages_files/figure-docx/fig_raison-1.png" id="207" name="Picture"/>
                    <pic:cNvPicPr>
                      <a:picLocks noChangeArrowheads="1" noChangeAspect="1"/>
                    </pic:cNvPicPr>
                  </pic:nvPicPr>
                  <pic:blipFill>
                    <a:blip r:embed="rId205"/>
                    <a:stretch>
                      <a:fillRect/>
                    </a:stretch>
                  </pic:blipFill>
                  <pic:spPr bwMode="auto">
                    <a:xfrm>
                      <a:off x="0" y="0"/>
                      <a:ext cx="4620126" cy="7392202"/>
                    </a:xfrm>
                    <a:prstGeom prst="rect">
                      <a:avLst/>
                    </a:prstGeom>
                    <a:noFill/>
                    <a:ln w="9525">
                      <a:noFill/>
                      <a:headEnd/>
                      <a:tailEnd/>
                    </a:ln>
                  </pic:spPr>
                </pic:pic>
              </a:graphicData>
            </a:graphic>
          </wp:inline>
        </w:drawing>
      </w:r>
    </w:p>
    <w:bookmarkEnd w:id="208"/>
    <w:bookmarkEnd w:id="209"/>
    <w:bookmarkStart w:id="241"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3"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p>
      <w:pPr>
        <w:pStyle w:val="CaptionedFigure"/>
      </w:pPr>
      <w:r>
        <w:drawing>
          <wp:inline>
            <wp:extent cx="4620126" cy="4620126"/>
            <wp:effectExtent b="0" l="0" r="0" t="0"/>
            <wp:docPr descr="Statut matrimonial des chefs de ménage" title="" id="211" name="Picture"/>
            <a:graphic>
              <a:graphicData uri="http://schemas.openxmlformats.org/drawingml/2006/picture">
                <pic:pic>
                  <pic:nvPicPr>
                    <pic:cNvPr descr="02_structure_menages_files/figure-docx/fig_cm_statut-1.png" id="212" name="Picture"/>
                    <pic:cNvPicPr>
                      <a:picLocks noChangeArrowheads="1" noChangeAspect="1"/>
                    </pic:cNvPicPr>
                  </pic:nvPicPr>
                  <pic:blipFill>
                    <a:blip r:embed="rId21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13"/>
    <w:bookmarkStart w:id="222"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17" w:name="niveau-déducation-du-chef-de-ménage"/>
    <w:p>
      <w:pPr>
        <w:pStyle w:val="Titre4"/>
      </w:pPr>
      <w:r>
        <w:t xml:space="preserve">2.2.2.1 Niveau d’éducation du Chef de ménage</w:t>
      </w:r>
    </w:p>
    <w:p>
      <w:pPr>
        <w:pStyle w:val="FirstParagraph"/>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7392202"/>
            <wp:effectExtent b="0" l="0" r="0" t="0"/>
            <wp:docPr descr="Niveau d’éducation des chefs de ménage" title="" id="215" name="Picture"/>
            <a:graphic>
              <a:graphicData uri="http://schemas.openxmlformats.org/drawingml/2006/picture">
                <pic:pic>
                  <pic:nvPicPr>
                    <pic:cNvPr descr="02_structure_menages_files/figure-docx/fig_cm_educ-1.png" id="216" name="Picture"/>
                    <pic:cNvPicPr>
                      <a:picLocks noChangeArrowheads="1" noChangeAspect="1"/>
                    </pic:cNvPicPr>
                  </pic:nvPicPr>
                  <pic:blipFill>
                    <a:blip r:embed="rId21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chefs de ménage</w:t>
      </w:r>
    </w:p>
    <w:bookmarkEnd w:id="217"/>
    <w:bookmarkStart w:id="221"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7392202"/>
            <wp:effectExtent b="0" l="0" r="0" t="0"/>
            <wp:docPr descr="Niveau d’éducation des CM par sexe" title="" id="219" name="Picture"/>
            <a:graphic>
              <a:graphicData uri="http://schemas.openxmlformats.org/drawingml/2006/picture">
                <pic:pic>
                  <pic:nvPicPr>
                    <pic:cNvPr descr="02_structure_menages_files/figure-docx/fig_cm_educ_sex-1.png" id="220" name="Picture"/>
                    <pic:cNvPicPr>
                      <a:picLocks noChangeArrowheads="1" noChangeAspect="1"/>
                    </pic:cNvPicPr>
                  </pic:nvPicPr>
                  <pic:blipFill>
                    <a:blip r:embed="rId21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CM par sexe</w:t>
      </w:r>
    </w:p>
    <w:bookmarkEnd w:id="221"/>
    <w:bookmarkEnd w:id="222"/>
    <w:bookmarkStart w:id="231"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26"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A Marovoay, 74 % des CM savent lire aisément.</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7392202"/>
            <wp:effectExtent b="0" l="0" r="0" t="0"/>
            <wp:docPr descr="Aptitude à la lecture des CM selon le sexe" title="" id="224" name="Picture"/>
            <a:graphic>
              <a:graphicData uri="http://schemas.openxmlformats.org/drawingml/2006/picture">
                <pic:pic>
                  <pic:nvPicPr>
                    <pic:cNvPr descr="02_structure_menages_files/figure-docx/fig_cm_read_sex-1.png" id="225" name="Picture"/>
                    <pic:cNvPicPr>
                      <a:picLocks noChangeArrowheads="1" noChangeAspect="1"/>
                    </pic:cNvPicPr>
                  </pic:nvPicPr>
                  <pic:blipFill>
                    <a:blip r:embed="rId22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26"/>
    <w:bookmarkStart w:id="230"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7392202"/>
            <wp:effectExtent b="0" l="0" r="0" t="0"/>
            <wp:docPr descr="Aptitude à l’écriture des CM selon le sexe" title="" id="228" name="Picture"/>
            <a:graphic>
              <a:graphicData uri="http://schemas.openxmlformats.org/drawingml/2006/picture">
                <pic:pic>
                  <pic:nvPicPr>
                    <pic:cNvPr descr="02_structure_menages_files/figure-docx/fig_cm_write_sex-1.png" id="229" name="Picture"/>
                    <pic:cNvPicPr>
                      <a:picLocks noChangeArrowheads="1" noChangeAspect="1"/>
                    </pic:cNvPicPr>
                  </pic:nvPicPr>
                  <pic:blipFill>
                    <a:blip r:embed="rId227"/>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0"/>
    <w:bookmarkEnd w:id="231"/>
    <w:bookmarkStart w:id="240"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35"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5544151"/>
                  <wp:effectExtent b="0" l="0" r="0" t="0"/>
                  <wp:docPr descr="" title="" id="233" name="Picture"/>
                  <a:graphic>
                    <a:graphicData uri="http://schemas.openxmlformats.org/drawingml/2006/picture">
                      <pic:pic>
                        <pic:nvPicPr>
                          <pic:cNvPr descr="02_structure_menages_files/figure-docx/fig-cm-act-1.png" id="234" name="Picture"/>
                          <pic:cNvPicPr>
                            <a:picLocks noChangeArrowheads="1" noChangeAspect="1"/>
                          </pic:cNvPicPr>
                        </pic:nvPicPr>
                        <pic:blipFill>
                          <a:blip r:embed="rId232"/>
                          <a:stretch>
                            <a:fillRect/>
                          </a:stretch>
                        </pic:blipFill>
                        <pic:spPr bwMode="auto">
                          <a:xfrm>
                            <a:off x="0" y="0"/>
                            <a:ext cx="4620126" cy="5544151"/>
                          </a:xfrm>
                          <a:prstGeom prst="rect">
                            <a:avLst/>
                          </a:prstGeom>
                          <a:noFill/>
                          <a:ln w="9525">
                            <a:noFill/>
                            <a:headEnd/>
                            <a:tailEnd/>
                          </a:ln>
                        </pic:spPr>
                      </pic:pic>
                    </a:graphicData>
                  </a:graphic>
                </wp:inline>
              </w:drawing>
            </w:r>
          </w:p>
          <w:bookmarkEnd w:id="235"/>
        </w:tc>
      </w:tr>
    </w:tbl>
    <w:bookmarkStart w:id="239"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4158113"/>
            <wp:effectExtent b="0" l="0" r="0" t="0"/>
            <wp:docPr descr="Activités principales des CM par observatoire et sexe" title="" id="237" name="Picture"/>
            <a:graphic>
              <a:graphicData uri="http://schemas.openxmlformats.org/drawingml/2006/picture">
                <pic:pic>
                  <pic:nvPicPr>
                    <pic:cNvPr descr="02_structure_menages_files/figure-docx/fig_cm_act_sex-1.png" id="238" name="Picture"/>
                    <pic:cNvPicPr>
                      <a:picLocks noChangeArrowheads="1" noChangeAspect="1"/>
                    </pic:cNvPicPr>
                  </pic:nvPicPr>
                  <pic:blipFill>
                    <a:blip r:embed="rId236"/>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39"/>
    <w:bookmarkEnd w:id="240"/>
    <w:bookmarkEnd w:id="241"/>
    <w:bookmarkStart w:id="281"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45"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p>
      <w:pPr>
        <w:pStyle w:val="CaptionedFigure"/>
      </w:pPr>
      <w:r>
        <w:drawing>
          <wp:inline>
            <wp:extent cx="4620126" cy="4620126"/>
            <wp:effectExtent b="0" l="0" r="0" t="0"/>
            <wp:docPr descr="Statut matrimonial des autres membres (12 ans et plus)" title="" id="243" name="Picture"/>
            <a:graphic>
              <a:graphicData uri="http://schemas.openxmlformats.org/drawingml/2006/picture">
                <pic:pic>
                  <pic:nvPicPr>
                    <pic:cNvPr descr="02_structure_menages_files/figure-docx/fig_other_statut-1.png" id="244" name="Picture"/>
                    <pic:cNvPicPr>
                      <a:picLocks noChangeArrowheads="1" noChangeAspect="1"/>
                    </pic:cNvPicPr>
                  </pic:nvPicPr>
                  <pic:blipFill>
                    <a:blip r:embed="rId24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45"/>
    <w:bookmarkStart w:id="263"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49"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7392202"/>
            <wp:effectExtent b="0" l="0" r="0" t="0"/>
            <wp:docPr descr="Niveau d’éducation des autres membres" title="" id="247" name="Picture"/>
            <a:graphic>
              <a:graphicData uri="http://schemas.openxmlformats.org/drawingml/2006/picture">
                <pic:pic>
                  <pic:nvPicPr>
                    <pic:cNvPr descr="02_structure_menages_files/figure-docx/fig_other_educ-1.png" id="248" name="Picture"/>
                    <pic:cNvPicPr>
                      <a:picLocks noChangeArrowheads="1" noChangeAspect="1"/>
                    </pic:cNvPicPr>
                  </pic:nvPicPr>
                  <pic:blipFill>
                    <a:blip r:embed="rId24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w:t>
      </w:r>
    </w:p>
    <w:bookmarkEnd w:id="249"/>
    <w:bookmarkStart w:id="253" w:name="X5230d9ccd8aefad0269f3712b7f434c0dfba0a8"/>
    <w:p>
      <w:pPr>
        <w:pStyle w:val="Titre4"/>
      </w:pPr>
      <w:r>
        <w:t xml:space="preserve">2.3.2.2 Niveau d’éducation des autres membres par sexe</w:t>
      </w:r>
    </w:p>
    <w:p>
      <w:pPr>
        <w:pStyle w:val="FirstParagraph"/>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7392202"/>
            <wp:effectExtent b="0" l="0" r="0" t="0"/>
            <wp:docPr descr="Niveau d’éducation des autres membres par sexe" title="" id="251" name="Picture"/>
            <a:graphic>
              <a:graphicData uri="http://schemas.openxmlformats.org/drawingml/2006/picture">
                <pic:pic>
                  <pic:nvPicPr>
                    <pic:cNvPr descr="02_structure_menages_files/figure-docx/fig_other_educ_sex-1.png" id="252" name="Picture"/>
                    <pic:cNvPicPr>
                      <a:picLocks noChangeArrowheads="1" noChangeAspect="1"/>
                    </pic:cNvPicPr>
                  </pic:nvPicPr>
                  <pic:blipFill>
                    <a:blip r:embed="rId250"/>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3"/>
    <w:bookmarkStart w:id="262"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57" w:name="savoir-lire-1"/>
    <w:p>
      <w:pPr>
        <w:pStyle w:val="Titre5"/>
      </w:pPr>
      <w:r>
        <w:t xml:space="preserve">2.3.2.3.1 Savoir lire</w:t>
      </w:r>
    </w:p>
    <w:p>
      <w:pPr>
        <w:pStyle w:val="FirstParagraph"/>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7392202"/>
            <wp:effectExtent b="0" l="0" r="0" t="0"/>
            <wp:docPr descr="Aptitude à la lecture des autres membres selon le sexe" title="" id="255" name="Picture"/>
            <a:graphic>
              <a:graphicData uri="http://schemas.openxmlformats.org/drawingml/2006/picture">
                <pic:pic>
                  <pic:nvPicPr>
                    <pic:cNvPr descr="02_structure_menages_files/figure-docx/fig_other_read_sex-1.png" id="256" name="Picture"/>
                    <pic:cNvPicPr>
                      <a:picLocks noChangeArrowheads="1" noChangeAspect="1"/>
                    </pic:cNvPicPr>
                  </pic:nvPicPr>
                  <pic:blipFill>
                    <a:blip r:embed="rId25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57"/>
    <w:bookmarkStart w:id="261" w:name="savoir-écrire-1"/>
    <w:p>
      <w:pPr>
        <w:pStyle w:val="Titre5"/>
      </w:pPr>
      <w:r>
        <w:t xml:space="preserve">2.3.2.3.2 Savoir écrire</w:t>
      </w:r>
    </w:p>
    <w:p>
      <w:pPr>
        <w:pStyle w:val="FirstParagraph"/>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7392202"/>
            <wp:effectExtent b="0" l="0" r="0" t="0"/>
            <wp:docPr descr="Aptitude à l’écriture des autres membres selon le sexe" title="" id="259" name="Picture"/>
            <a:graphic>
              <a:graphicData uri="http://schemas.openxmlformats.org/drawingml/2006/picture">
                <pic:pic>
                  <pic:nvPicPr>
                    <pic:cNvPr descr="02_structure_menages_files/figure-docx/fig_other_write_sex-1.png" id="260" name="Picture"/>
                    <pic:cNvPicPr>
                      <a:picLocks noChangeArrowheads="1" noChangeAspect="1"/>
                    </pic:cNvPicPr>
                  </pic:nvPicPr>
                  <pic:blipFill>
                    <a:blip r:embed="rId25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1"/>
    <w:bookmarkEnd w:id="262"/>
    <w:bookmarkEnd w:id="263"/>
    <w:bookmarkStart w:id="270"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4" w:name="X018eed9deeb686660e0600abc5f043ef00d6169"/>
    <w:p>
      <w:pPr>
        <w:pStyle w:val="Titre4"/>
      </w:pPr>
      <w:r>
        <w:t xml:space="preserve">2.3.3.1 Taux net de scolarisation des enfants de 6 à 14 ans</w:t>
      </w:r>
    </w:p>
    <w:p>
      <w:pPr>
        <w:pStyle w:val="FirstParagraph"/>
      </w:pPr>
      <w:r>
        <w:t xml:space="preserve">Dans Marovoay, le taux net de scolarisation s’élève à 81.7 %.</w:t>
      </w:r>
    </w:p>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64"/>
    <w:bookmarkStart w:id="269"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68"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410857"/>
                  <wp:effectExtent b="0" l="0" r="0" t="0"/>
                  <wp:docPr descr="" title="" id="266" name="Picture"/>
                  <a:graphic>
                    <a:graphicData uri="http://schemas.openxmlformats.org/drawingml/2006/picture">
                      <pic:pic>
                        <pic:nvPicPr>
                          <pic:cNvPr descr="02_structure_menages_files/figure-docx/fig-raisons-non-scol-1.png" id="267" name="Picture"/>
                          <pic:cNvPicPr>
                            <a:picLocks noChangeArrowheads="1" noChangeAspect="1"/>
                          </pic:cNvPicPr>
                        </pic:nvPicPr>
                        <pic:blipFill>
                          <a:blip r:embed="rId265"/>
                          <a:stretch>
                            <a:fillRect/>
                          </a:stretch>
                        </pic:blipFill>
                        <pic:spPr bwMode="auto">
                          <a:xfrm>
                            <a:off x="0" y="0"/>
                            <a:ext cx="5969000" cy="3410857"/>
                          </a:xfrm>
                          <a:prstGeom prst="rect">
                            <a:avLst/>
                          </a:prstGeom>
                          <a:noFill/>
                          <a:ln w="9525">
                            <a:noFill/>
                            <a:headEnd/>
                            <a:tailEnd/>
                          </a:ln>
                        </pic:spPr>
                      </pic:pic>
                    </a:graphicData>
                  </a:graphic>
                </wp:inline>
              </w:drawing>
            </w:r>
          </w:p>
          <w:bookmarkEnd w:id="268"/>
        </w:tc>
      </w:tr>
    </w:tbl>
    <w:bookmarkEnd w:id="269"/>
    <w:bookmarkEnd w:id="270"/>
    <w:bookmarkStart w:id="280"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75" w:name="fig-other-act"/>
          <w:p>
            <w:pPr>
              <w:jc w:val="center"/>
            </w:pPr>
            <w:pPr>
              <w:jc w:val="left"/>
              <w:spacing w:before="200"/>
              <w:pStyle w:val="ImageCaption"/>
            </w:pPr>
            <w:r>
              <w:t xml:space="preserve">Figure 2.3</w:t>
            </w:r>
          </w:p>
          <w:p>
            <w:pPr>
              <w:pStyle w:val="Compact"/>
              <w:jc w:val="center"/>
            </w:pPr>
            <w:bookmarkStart w:id="274" w:name="fig-other-act"/>
            <w:r>
              <w:drawing>
                <wp:inline>
                  <wp:extent cx="4620126" cy="3696101"/>
                  <wp:effectExtent b="0" l="0" r="0" t="0"/>
                  <wp:docPr descr="" title="" id="272" name="Picture"/>
                  <a:graphic>
                    <a:graphicData uri="http://schemas.openxmlformats.org/drawingml/2006/picture">
                      <pic:pic>
                        <pic:nvPicPr>
                          <pic:cNvPr descr="02_structure_menages_files/figure-docx/fig-other-act-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bookmarkEnd w:id="274"/>
          </w:p>
          <w:bookmarkEnd w:id="275"/>
        </w:tc>
      </w:tr>
    </w:tbl>
    <w:bookmarkStart w:id="279" w:name="X46ff1d61f791f42f47b783b920cfc68895dbbf2"/>
    <w:p>
      <w:pPr>
        <w:pStyle w:val="Titre4"/>
      </w:pPr>
      <w:r>
        <w:t xml:space="preserve">2.3.4.1 Activités principales des autres membres par sexe</w:t>
      </w:r>
    </w:p>
    <w:p>
      <w:pPr>
        <w:pStyle w:val="FirstParagraph"/>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4620126"/>
            <wp:effectExtent b="0" l="0" r="0" t="0"/>
            <wp:docPr descr="" title="" id="277" name="Picture"/>
            <a:graphic>
              <a:graphicData uri="http://schemas.openxmlformats.org/drawingml/2006/picture">
                <pic:pic>
                  <pic:nvPicPr>
                    <pic:cNvPr descr="02_structure_menages_files/figure-docx/fig_other_act_sex-1.png" id="278" name="Picture"/>
                    <pic:cNvPicPr>
                      <a:picLocks noChangeArrowheads="1" noChangeAspect="1"/>
                    </pic:cNvPicPr>
                  </pic:nvPicPr>
                  <pic:blipFill>
                    <a:blip r:embed="rId276"/>
                    <a:stretch>
                      <a:fillRect/>
                    </a:stretch>
                  </pic:blipFill>
                  <pic:spPr bwMode="auto">
                    <a:xfrm>
                      <a:off x="0" y="0"/>
                      <a:ext cx="4620126" cy="4620126"/>
                    </a:xfrm>
                    <a:prstGeom prst="rect">
                      <a:avLst/>
                    </a:prstGeom>
                    <a:noFill/>
                    <a:ln w="9525">
                      <a:noFill/>
                      <a:headEnd/>
                      <a:tailEnd/>
                    </a:ln>
                  </pic:spPr>
                </pic:pic>
              </a:graphicData>
            </a:graphic>
          </wp:inline>
        </w:drawing>
      </w:r>
    </w:p>
    <w:bookmarkEnd w:id="279"/>
    <w:bookmarkEnd w:id="280"/>
    <w:bookmarkEnd w:id="281"/>
    <w:bookmarkEnd w:id="282"/>
    <w:bookmarkStart w:id="346"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09"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87"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286"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295769"/>
                  <wp:effectExtent b="0" l="0" r="0" t="0"/>
                  <wp:docPr descr="" title="" id="284" name="Picture"/>
                  <a:graphic>
                    <a:graphicData uri="http://schemas.openxmlformats.org/drawingml/2006/picture">
                      <pic:pic>
                        <pic:nvPicPr>
                          <pic:cNvPr descr="03_habitat_niveau_de_vie_files/figure-docx/fig-statut-logement-1.png" id="285" name="Picture"/>
                          <pic:cNvPicPr>
                            <a:picLocks noChangeArrowheads="1" noChangeAspect="1"/>
                          </pic:cNvPicPr>
                        </pic:nvPicPr>
                        <pic:blipFill>
                          <a:blip r:embed="rId283"/>
                          <a:stretch>
                            <a:fillRect/>
                          </a:stretch>
                        </pic:blipFill>
                        <pic:spPr bwMode="auto">
                          <a:xfrm>
                            <a:off x="0" y="0"/>
                            <a:ext cx="5969000" cy="2295769"/>
                          </a:xfrm>
                          <a:prstGeom prst="rect">
                            <a:avLst/>
                          </a:prstGeom>
                          <a:noFill/>
                          <a:ln w="9525">
                            <a:noFill/>
                            <a:headEnd/>
                            <a:tailEnd/>
                          </a:ln>
                        </pic:spPr>
                      </pic:pic>
                    </a:graphicData>
                  </a:graphic>
                </wp:inline>
              </w:drawing>
            </w:r>
          </w:p>
          <w:bookmarkEnd w:id="286"/>
        </w:tc>
      </w:tr>
    </w:tbl>
    <w:bookmarkEnd w:id="287"/>
    <w:bookmarkStart w:id="292"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291" w:name="fig-latrine"/>
          <w:p>
            <w:pPr>
              <w:jc w:val="center"/>
            </w:pPr>
            <w:pPr>
              <w:jc w:val="left"/>
              <w:spacing w:before="200"/>
              <w:pStyle w:val="ImageCaption"/>
            </w:pPr>
            <w:r>
              <w:t xml:space="preserve">Figure 3.2: Types de latrine</w:t>
            </w:r>
          </w:p>
          <w:p>
            <w:pPr>
              <w:pStyle w:val="Compact"/>
              <w:jc w:val="center"/>
            </w:pPr>
            <w:r>
              <w:drawing>
                <wp:inline>
                  <wp:extent cx="5969000" cy="2754923"/>
                  <wp:effectExtent b="0" l="0" r="0" t="0"/>
                  <wp:docPr descr="" title="" id="289" name="Picture"/>
                  <a:graphic>
                    <a:graphicData uri="http://schemas.openxmlformats.org/drawingml/2006/picture">
                      <pic:pic>
                        <pic:nvPicPr>
                          <pic:cNvPr descr="03_habitat_niveau_de_vie_files/figure-docx/fig-latrine-1.png" id="290" name="Picture"/>
                          <pic:cNvPicPr>
                            <a:picLocks noChangeArrowheads="1" noChangeAspect="1"/>
                          </pic:cNvPicPr>
                        </pic:nvPicPr>
                        <pic:blipFill>
                          <a:blip r:embed="rId288"/>
                          <a:stretch>
                            <a:fillRect/>
                          </a:stretch>
                        </pic:blipFill>
                        <pic:spPr bwMode="auto">
                          <a:xfrm>
                            <a:off x="0" y="0"/>
                            <a:ext cx="5969000" cy="2754923"/>
                          </a:xfrm>
                          <a:prstGeom prst="rect">
                            <a:avLst/>
                          </a:prstGeom>
                          <a:noFill/>
                          <a:ln w="9525">
                            <a:noFill/>
                            <a:headEnd/>
                            <a:tailEnd/>
                          </a:ln>
                        </pic:spPr>
                      </pic:pic>
                    </a:graphicData>
                  </a:graphic>
                </wp:inline>
              </w:drawing>
            </w:r>
          </w:p>
          <w:bookmarkEnd w:id="291"/>
        </w:tc>
      </w:tr>
    </w:tbl>
    <w:bookmarkEnd w:id="292"/>
    <w:bookmarkStart w:id="297"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296" w:name="fig-eau"/>
          <w:p>
            <w:pPr>
              <w:jc w:val="center"/>
            </w:pPr>
            <w:pPr>
              <w:jc w:val="left"/>
              <w:spacing w:before="200"/>
              <w:pStyle w:val="ImageCaption"/>
            </w:pPr>
            <w:r>
              <w:t xml:space="preserve">Figure 3.3: Mode d’approvisionnement en eau</w:t>
            </w:r>
          </w:p>
          <w:p>
            <w:pPr>
              <w:pStyle w:val="Compact"/>
              <w:jc w:val="center"/>
            </w:pPr>
            <w:r>
              <w:drawing>
                <wp:inline>
                  <wp:extent cx="5969000" cy="3673230"/>
                  <wp:effectExtent b="0" l="0" r="0" t="0"/>
                  <wp:docPr descr="" title="" id="294" name="Picture"/>
                  <a:graphic>
                    <a:graphicData uri="http://schemas.openxmlformats.org/drawingml/2006/picture">
                      <pic:pic>
                        <pic:nvPicPr>
                          <pic:cNvPr descr="03_habitat_niveau_de_vie_files/figure-docx/fig-eau-1.png" id="295" name="Picture"/>
                          <pic:cNvPicPr>
                            <a:picLocks noChangeArrowheads="1" noChangeAspect="1"/>
                          </pic:cNvPicPr>
                        </pic:nvPicPr>
                        <pic:blipFill>
                          <a:blip r:embed="rId293"/>
                          <a:stretch>
                            <a:fillRect/>
                          </a:stretch>
                        </pic:blipFill>
                        <pic:spPr bwMode="auto">
                          <a:xfrm>
                            <a:off x="0" y="0"/>
                            <a:ext cx="5969000" cy="3673230"/>
                          </a:xfrm>
                          <a:prstGeom prst="rect">
                            <a:avLst/>
                          </a:prstGeom>
                          <a:noFill/>
                          <a:ln w="9525">
                            <a:noFill/>
                            <a:headEnd/>
                            <a:tailEnd/>
                          </a:ln>
                        </pic:spPr>
                      </pic:pic>
                    </a:graphicData>
                  </a:graphic>
                </wp:inline>
              </w:drawing>
            </w:r>
          </w:p>
          <w:bookmarkEnd w:id="296"/>
        </w:tc>
      </w:tr>
    </w:tbl>
    <w:bookmarkEnd w:id="297"/>
    <w:bookmarkStart w:id="302" w:name="mode-déclairage"/>
    <w:p>
      <w:pPr>
        <w:pStyle w:val="Titre3"/>
      </w:pPr>
      <w:r>
        <w:t xml:space="preserve">3.1.4 Mode d’éclairage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01" w:name="fig-eclairage"/>
          <w:p>
            <w:pPr>
              <w:jc w:val="center"/>
            </w:pPr>
            <w:pPr>
              <w:jc w:val="left"/>
              <w:spacing w:before="200"/>
              <w:pStyle w:val="ImageCaption"/>
            </w:pPr>
            <w:r>
              <w:t xml:space="preserve">Figure 3.4: Modes d’éclairage</w:t>
            </w:r>
          </w:p>
          <w:p>
            <w:pPr>
              <w:pStyle w:val="Compact"/>
              <w:jc w:val="center"/>
            </w:pPr>
            <w:r>
              <w:drawing>
                <wp:inline>
                  <wp:extent cx="5969000" cy="3357562"/>
                  <wp:effectExtent b="0" l="0" r="0" t="0"/>
                  <wp:docPr descr="" title="" id="299" name="Picture"/>
                  <a:graphic>
                    <a:graphicData uri="http://schemas.openxmlformats.org/drawingml/2006/picture">
                      <pic:pic>
                        <pic:nvPicPr>
                          <pic:cNvPr descr="03_habitat_niveau_de_vie_files/figure-docx/fig-eclairage-1.png" id="300" name="Picture"/>
                          <pic:cNvPicPr>
                            <a:picLocks noChangeArrowheads="1" noChangeAspect="1"/>
                          </pic:cNvPicPr>
                        </pic:nvPicPr>
                        <pic:blipFill>
                          <a:blip r:embed="rId298"/>
                          <a:stretch>
                            <a:fillRect/>
                          </a:stretch>
                        </pic:blipFill>
                        <pic:spPr bwMode="auto">
                          <a:xfrm>
                            <a:off x="0" y="0"/>
                            <a:ext cx="5969000" cy="3357562"/>
                          </a:xfrm>
                          <a:prstGeom prst="rect">
                            <a:avLst/>
                          </a:prstGeom>
                          <a:noFill/>
                          <a:ln w="9525">
                            <a:noFill/>
                            <a:headEnd/>
                            <a:tailEnd/>
                          </a:ln>
                        </pic:spPr>
                      </pic:pic>
                    </a:graphicData>
                  </a:graphic>
                </wp:inline>
              </w:drawing>
            </w:r>
          </w:p>
          <w:bookmarkEnd w:id="301"/>
        </w:tc>
      </w:tr>
    </w:tbl>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bookmarkEnd w:id="302"/>
    <w:bookmarkStart w:id="308"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07" w:name="fig-cooking"/>
          <w:p>
            <w:pPr>
              <w:jc w:val="center"/>
            </w:pPr>
            <w:pPr>
              <w:jc w:val="left"/>
              <w:spacing w:before="200"/>
              <w:pStyle w:val="ImageCaption"/>
            </w:pPr>
            <w:r>
              <w:t xml:space="preserve">Figure 3.5</w:t>
            </w:r>
          </w:p>
          <w:p>
            <w:pPr>
              <w:pStyle w:val="Compact"/>
              <w:jc w:val="center"/>
            </w:pPr>
            <w:bookmarkStart w:id="306" w:name="fig-cooking"/>
            <w:r>
              <w:drawing>
                <wp:inline>
                  <wp:extent cx="4620126" cy="2310063"/>
                  <wp:effectExtent b="0" l="0" r="0" t="0"/>
                  <wp:docPr descr="" title="" id="304" name="Picture"/>
                  <a:graphic>
                    <a:graphicData uri="http://schemas.openxmlformats.org/drawingml/2006/picture">
                      <pic:pic>
                        <pic:nvPicPr>
                          <pic:cNvPr descr="03_habitat_niveau_de_vie_files/figure-docx/fig-cooking-1.png" id="305" name="Picture"/>
                          <pic:cNvPicPr>
                            <a:picLocks noChangeArrowheads="1" noChangeAspect="1"/>
                          </pic:cNvPicPr>
                        </pic:nvPicPr>
                        <pic:blipFill>
                          <a:blip r:embed="rId303"/>
                          <a:stretch>
                            <a:fillRect/>
                          </a:stretch>
                        </pic:blipFill>
                        <pic:spPr bwMode="auto">
                          <a:xfrm>
                            <a:off x="0" y="0"/>
                            <a:ext cx="4620126" cy="2310063"/>
                          </a:xfrm>
                          <a:prstGeom prst="rect">
                            <a:avLst/>
                          </a:prstGeom>
                          <a:noFill/>
                          <a:ln w="9525">
                            <a:noFill/>
                            <a:headEnd/>
                            <a:tailEnd/>
                          </a:ln>
                        </pic:spPr>
                      </pic:pic>
                    </a:graphicData>
                  </a:graphic>
                </wp:inline>
              </w:drawing>
            </w:r>
            <w:bookmarkEnd w:id="306"/>
          </w:p>
          <w:bookmarkEnd w:id="307"/>
        </w:tc>
      </w:tr>
    </w:tbl>
    <w:bookmarkEnd w:id="308"/>
    <w:bookmarkEnd w:id="309"/>
    <w:bookmarkStart w:id="328"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15"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14" w:name="fig-comfort"/>
          <w:p>
            <w:pPr>
              <w:jc w:val="center"/>
            </w:pPr>
            <w:pPr>
              <w:jc w:val="left"/>
              <w:spacing w:before="200"/>
              <w:pStyle w:val="ImageCaption"/>
            </w:pPr>
            <w:r>
              <w:t xml:space="preserve">Figure 3.6</w:t>
            </w:r>
          </w:p>
          <w:p>
            <w:pPr>
              <w:pStyle w:val="Compact"/>
              <w:jc w:val="center"/>
            </w:pPr>
            <w:bookmarkStart w:id="313" w:name="fig-comfort"/>
            <w:r>
              <w:drawing>
                <wp:inline>
                  <wp:extent cx="4620126" cy="4620126"/>
                  <wp:effectExtent b="0" l="0" r="0" t="0"/>
                  <wp:docPr descr="" title="" id="311" name="Picture"/>
                  <a:graphic>
                    <a:graphicData uri="http://schemas.openxmlformats.org/drawingml/2006/picture">
                      <pic:pic>
                        <pic:nvPicPr>
                          <pic:cNvPr descr="03_habitat_niveau_de_vie_files/figure-docx/fig-comfort-1.png" id="312" name="Picture"/>
                          <pic:cNvPicPr>
                            <a:picLocks noChangeArrowheads="1" noChangeAspect="1"/>
                          </pic:cNvPicPr>
                        </pic:nvPicPr>
                        <pic:blipFill>
                          <a:blip r:embed="rId310"/>
                          <a:stretch>
                            <a:fillRect/>
                          </a:stretch>
                        </pic:blipFill>
                        <pic:spPr bwMode="auto">
                          <a:xfrm>
                            <a:off x="0" y="0"/>
                            <a:ext cx="4620126" cy="4620126"/>
                          </a:xfrm>
                          <a:prstGeom prst="rect">
                            <a:avLst/>
                          </a:prstGeom>
                          <a:noFill/>
                          <a:ln w="9525">
                            <a:noFill/>
                            <a:headEnd/>
                            <a:tailEnd/>
                          </a:ln>
                        </pic:spPr>
                      </pic:pic>
                    </a:graphicData>
                  </a:graphic>
                </wp:inline>
              </w:drawing>
            </w:r>
            <w:bookmarkEnd w:id="313"/>
          </w:p>
          <w:bookmarkEnd w:id="314"/>
        </w:tc>
      </w:tr>
    </w:tbl>
    <w:bookmarkEnd w:id="315"/>
    <w:bookmarkStart w:id="321"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notamment la charette attelée, la sarcleuse, la pompe hydraulique ou le motoculteur du type Kubota, et le tracteur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20" w:name="fig-table-equip"/>
          <w:p>
            <w:pPr>
              <w:jc w:val="center"/>
            </w:pPr>
            <w:pPr>
              <w:jc w:val="left"/>
              <w:spacing w:before="200"/>
              <w:pStyle w:val="ImageCaption"/>
            </w:pPr>
            <w:r>
              <w:t xml:space="preserve">Figure 3.7</w:t>
            </w:r>
          </w:p>
          <w:p>
            <w:pPr>
              <w:pStyle w:val="Compact"/>
              <w:jc w:val="center"/>
            </w:pPr>
            <w:bookmarkStart w:id="319" w:name="fig-table-equip"/>
            <w:r>
              <w:drawing>
                <wp:inline>
                  <wp:extent cx="4620126" cy="5544151"/>
                  <wp:effectExtent b="0" l="0" r="0" t="0"/>
                  <wp:docPr descr="" title="" id="317" name="Picture"/>
                  <a:graphic>
                    <a:graphicData uri="http://schemas.openxmlformats.org/drawingml/2006/picture">
                      <pic:pic>
                        <pic:nvPicPr>
                          <pic:cNvPr descr="03_habitat_niveau_de_vie_files/figure-docx/fig-table-equip-1.png" id="318" name="Picture"/>
                          <pic:cNvPicPr>
                            <a:picLocks noChangeArrowheads="1" noChangeAspect="1"/>
                          </pic:cNvPicPr>
                        </pic:nvPicPr>
                        <pic:blipFill>
                          <a:blip r:embed="rId316"/>
                          <a:stretch>
                            <a:fillRect/>
                          </a:stretch>
                        </pic:blipFill>
                        <pic:spPr bwMode="auto">
                          <a:xfrm>
                            <a:off x="0" y="0"/>
                            <a:ext cx="4620126" cy="5544151"/>
                          </a:xfrm>
                          <a:prstGeom prst="rect">
                            <a:avLst/>
                          </a:prstGeom>
                          <a:noFill/>
                          <a:ln w="9525">
                            <a:noFill/>
                            <a:headEnd/>
                            <a:tailEnd/>
                          </a:ln>
                        </pic:spPr>
                      </pic:pic>
                    </a:graphicData>
                  </a:graphic>
                </wp:inline>
              </w:drawing>
            </w:r>
            <w:bookmarkEnd w:id="319"/>
          </w:p>
          <w:bookmarkEnd w:id="320"/>
        </w:tc>
      </w:tr>
    </w:tbl>
    <w:bookmarkEnd w:id="321"/>
    <w:bookmarkStart w:id="327"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26" w:name="fig-comm"/>
          <w:p>
            <w:pPr>
              <w:jc w:val="center"/>
            </w:pPr>
            <w:pPr>
              <w:jc w:val="left"/>
              <w:spacing w:before="200"/>
              <w:pStyle w:val="ImageCaption"/>
            </w:pPr>
            <w:r>
              <w:t xml:space="preserve">Figure 3.8</w:t>
            </w:r>
          </w:p>
          <w:p>
            <w:pPr>
              <w:pStyle w:val="Compact"/>
              <w:jc w:val="center"/>
            </w:pPr>
            <w:bookmarkStart w:id="325" w:name="fig-comm"/>
            <w:r>
              <w:drawing>
                <wp:inline>
                  <wp:extent cx="4620126" cy="2772075"/>
                  <wp:effectExtent b="0" l="0" r="0" t="0"/>
                  <wp:docPr descr="" title="" id="323" name="Picture"/>
                  <a:graphic>
                    <a:graphicData uri="http://schemas.openxmlformats.org/drawingml/2006/picture">
                      <pic:pic>
                        <pic:nvPicPr>
                          <pic:cNvPr descr="03_habitat_niveau_de_vie_files/figure-docx/fig-comm-1.png" id="324" name="Picture"/>
                          <pic:cNvPicPr>
                            <a:picLocks noChangeArrowheads="1" noChangeAspect="1"/>
                          </pic:cNvPicPr>
                        </pic:nvPicPr>
                        <pic:blipFill>
                          <a:blip r:embed="rId322"/>
                          <a:stretch>
                            <a:fillRect/>
                          </a:stretch>
                        </pic:blipFill>
                        <pic:spPr bwMode="auto">
                          <a:xfrm>
                            <a:off x="0" y="0"/>
                            <a:ext cx="4620126" cy="2772075"/>
                          </a:xfrm>
                          <a:prstGeom prst="rect">
                            <a:avLst/>
                          </a:prstGeom>
                          <a:noFill/>
                          <a:ln w="9525">
                            <a:noFill/>
                            <a:headEnd/>
                            <a:tailEnd/>
                          </a:ln>
                        </pic:spPr>
                      </pic:pic>
                    </a:graphicData>
                  </a:graphic>
                </wp:inline>
              </w:drawing>
            </w:r>
            <w:bookmarkEnd w:id="325"/>
          </w:p>
          <w:bookmarkEnd w:id="326"/>
        </w:tc>
      </w:tr>
    </w:tbl>
    <w:bookmarkEnd w:id="327"/>
    <w:bookmarkEnd w:id="328"/>
    <w:bookmarkStart w:id="338"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32"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836615"/>
                  <wp:effectExtent b="0" l="0" r="0" t="0"/>
                  <wp:docPr descr="" title="" id="330" name="Picture"/>
                  <a:graphic>
                    <a:graphicData uri="http://schemas.openxmlformats.org/drawingml/2006/picture">
                      <pic:pic>
                        <pic:nvPicPr>
                          <pic:cNvPr descr="03_habitat_niveau_de_vie_files/figure-docx/fig-transferts-sortants-1.png" id="331" name="Picture"/>
                          <pic:cNvPicPr>
                            <a:picLocks noChangeArrowheads="1" noChangeAspect="1"/>
                          </pic:cNvPicPr>
                        </pic:nvPicPr>
                        <pic:blipFill>
                          <a:blip r:embed="rId329"/>
                          <a:stretch>
                            <a:fillRect/>
                          </a:stretch>
                        </pic:blipFill>
                        <pic:spPr bwMode="auto">
                          <a:xfrm>
                            <a:off x="0" y="0"/>
                            <a:ext cx="5969000" cy="1836615"/>
                          </a:xfrm>
                          <a:prstGeom prst="rect">
                            <a:avLst/>
                          </a:prstGeom>
                          <a:noFill/>
                          <a:ln w="9525">
                            <a:noFill/>
                            <a:headEnd/>
                            <a:tailEnd/>
                          </a:ln>
                        </pic:spPr>
                      </pic:pic>
                    </a:graphicData>
                  </a:graphic>
                </wp:inline>
              </w:drawing>
            </w:r>
          </w:p>
          <w:bookmarkEnd w:id="332"/>
        </w:tc>
      </w:tr>
    </w:tbl>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33" w:name="tbl-transferts-sortants"/>
          <w:p>
            <w:pPr>
              <w:jc w:val="center"/>
            </w:pPr>
            <w:pPr>
              <w:jc w:val="left"/>
              <w:spacing w:before="200"/>
              <w:pStyle w:val="ImageCaption"/>
            </w:pPr>
            <w:r>
              <w:t xml:space="preserve">Table 3.1: Transferts sortants : resume par observatoire</w:t>
            </w:r>
          </w:p>
          <w:bookmarkEnd w:id="333"/>
        </w:tc>
      </w:tr>
    </w:tbl>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37"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295769"/>
                  <wp:effectExtent b="0" l="0" r="0" t="0"/>
                  <wp:docPr descr="" title="" id="335" name="Picture"/>
                  <a:graphic>
                    <a:graphicData uri="http://schemas.openxmlformats.org/drawingml/2006/picture">
                      <pic:pic>
                        <pic:nvPicPr>
                          <pic:cNvPr descr="03_habitat_niveau_de_vie_files/figure-docx/fig-destination-transferts-1.png" id="336" name="Picture"/>
                          <pic:cNvPicPr>
                            <a:picLocks noChangeArrowheads="1" noChangeAspect="1"/>
                          </pic:cNvPicPr>
                        </pic:nvPicPr>
                        <pic:blipFill>
                          <a:blip r:embed="rId334"/>
                          <a:stretch>
                            <a:fillRect/>
                          </a:stretch>
                        </pic:blipFill>
                        <pic:spPr bwMode="auto">
                          <a:xfrm>
                            <a:off x="0" y="0"/>
                            <a:ext cx="5969000" cy="2295769"/>
                          </a:xfrm>
                          <a:prstGeom prst="rect">
                            <a:avLst/>
                          </a:prstGeom>
                          <a:noFill/>
                          <a:ln w="9525">
                            <a:noFill/>
                            <a:headEnd/>
                            <a:tailEnd/>
                          </a:ln>
                        </pic:spPr>
                      </pic:pic>
                    </a:graphicData>
                  </a:graphic>
                </wp:inline>
              </w:drawing>
            </w:r>
          </w:p>
          <w:bookmarkEnd w:id="337"/>
        </w:tc>
      </w:tr>
    </w:tbl>
    <w:bookmarkEnd w:id="338"/>
    <w:bookmarkStart w:id="345"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présentés ici sont des revenus annuels par ménage, calculés sur la période de référence (PR) de la campagne 2025. Le revenu total se décompose en revenu courant et revenu exceptionnel.</w:t>
      </w:r>
    </w:p>
    <w:p>
      <w:pPr>
        <w:pStyle w:val="Corpsdetexte"/>
      </w:pPr>
      <w:r>
        <w:t xml:space="preserve">Le revenu courant agrège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rémunération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rémunération du travail salarié hors agriculture ;</w:t>
      </w:r>
    </w:p>
    <w:p>
      <w:pPr>
        <w:pStyle w:val="Compact"/>
        <w:numPr>
          <w:ilvl w:val="0"/>
          <w:numId w:val="1003"/>
        </w:numPr>
      </w:pPr>
      <w:r>
        <w:t xml:space="preserve">les</w:t>
      </w:r>
      <w:r>
        <w:t xml:space="preserve"> </w:t>
      </w:r>
      <w:r>
        <w:rPr>
          <w:b/>
          <w:bCs/>
        </w:rPr>
        <w:t xml:space="preserve">revenus indépendants</w:t>
      </w:r>
      <w:r>
        <w:t xml:space="preserve"> </w:t>
      </w:r>
      <w:r>
        <w:t xml:space="preserve">: revenus des activités libérales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foncières, les autres revenus, le travail HIMO, la décapitalisation (y compris la vente des animaux considérés comme capitaux) et les transferts reçus.</w:t>
      </w:r>
    </w:p>
    <w:bookmarkStart w:id="339"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w:t>
      </w:r>
      <w:r>
        <w:t xml:space="preserve"> </w:t>
      </w:r>
      <w:r>
        <w:t xml:space="preserve">Chaque individu dispose en moyenne d’un revenu annuel de 870.716 Ar, soit environ 72.560 Ar par mois.</w:t>
      </w:r>
      <w:r>
        <w:t xml:space="preserve"> </w:t>
      </w:r>
      <w:r>
        <w:t xml:space="preserve">Après ajustement selon l’échelle d’équivalence de l’OCDE modifiée, le revenu annuel moyen atteint 1.473.963 Ar par unité de consommation, soit environ 122.830 Ar par mois.</w:t>
      </w:r>
    </w:p>
    <w:bookmarkEnd w:id="339"/>
    <w:bookmarkStart w:id="343"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Marovoay, les revenus nets rizicoles représentent la plus grande part du revenu courant moyen par ménage avec 39.2 % du total, soit 1 287 310 Ar/an. Les revenus indépendants se placent en deuxième position avec 23.2 %, correspondant à 759 874 Ar/an. Les salaires agricoles arrivent ensuite avec 18.4 %, soit 604 846 Ar/an. L’élevage contribue pour 7.7 % du revenu courant moyen, représentant 253 697 Ar/an. Les salaires non agricoles participent à hauteur de 6.2 %, soit 204 131 Ar/an. Les revenus nets des autres cultures représentent 5.2 %, correspondant à 170 901 Ar/an. Le revenu courant moyen total par ménage dans l’observatoire de Marovoay est de 3 280 758 Ar/an.</w:t>
      </w:r>
    </w:p>
    <w:p>
      <w:pPr>
        <w:pStyle w:val="Corpsdetexte"/>
      </w:pPr>
      <w:r>
        <w:t xml:space="preserve">Pour les deux observatoires, la pêche ne contribue pas au revenu courant moyen.</w:t>
      </w:r>
    </w:p>
    <w:p>
      <w:pPr>
        <w:pStyle w:val="CaptionedFigure"/>
      </w:pPr>
      <w:r>
        <w:drawing>
          <wp:inline>
            <wp:extent cx="5969000" cy="4591538"/>
            <wp:effectExtent b="0" l="0" r="0" t="0"/>
            <wp:docPr descr="Part des composantes dans le revenu courant moyen par observatoire" title="" id="341" name="Picture"/>
            <a:graphic>
              <a:graphicData uri="http://schemas.openxmlformats.org/drawingml/2006/picture">
                <pic:pic>
                  <pic:nvPicPr>
                    <pic:cNvPr descr="03_habitat_niveau_de_vie_files/figure-docx/fig_revcou_shares-1.png" id="342" name="Picture"/>
                    <pic:cNvPicPr>
                      <a:picLocks noChangeArrowheads="1" noChangeAspect="1"/>
                    </pic:cNvPicPr>
                  </pic:nvPicPr>
                  <pic:blipFill>
                    <a:blip r:embed="rId340"/>
                    <a:stretch>
                      <a:fillRect/>
                    </a:stretch>
                  </pic:blipFill>
                  <pic:spPr bwMode="auto">
                    <a:xfrm>
                      <a:off x="0" y="0"/>
                      <a:ext cx="5969000" cy="4591538"/>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43"/>
    <w:bookmarkStart w:id="344"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bookmarkEnd w:id="344"/>
    <w:bookmarkEnd w:id="345"/>
    <w:bookmarkEnd w:id="346"/>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5" Target="media/rId175.png"/>
  <Relationship Type="http://schemas.openxmlformats.org/officeDocument/2006/relationships/image" Id="rId185" Target="media/rId185.png"/>
  <Relationship Type="http://schemas.openxmlformats.org/officeDocument/2006/relationships/image" Id="rId232" Target="media/rId232.png"/>
  <Relationship Type="http://schemas.openxmlformats.org/officeDocument/2006/relationships/image" Id="rId271" Target="media/rId271.png"/>
  <Relationship Type="http://schemas.openxmlformats.org/officeDocument/2006/relationships/image" Id="rId265" Target="media/rId265.png"/>
  <Relationship Type="http://schemas.openxmlformats.org/officeDocument/2006/relationships/image" Id="rId236" Target="media/rId236.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10" Target="media/rId210.png"/>
  <Relationship Type="http://schemas.openxmlformats.org/officeDocument/2006/relationships/image" Id="rId227" Target="media/rId227.png"/>
  <Relationship Type="http://schemas.openxmlformats.org/officeDocument/2006/relationships/image" Id="rId192" Target="media/rId192.png"/>
  <Relationship Type="http://schemas.openxmlformats.org/officeDocument/2006/relationships/image" Id="rId201" Target="media/rId201.png"/>
  <Relationship Type="http://schemas.openxmlformats.org/officeDocument/2006/relationships/image" Id="rId276" Target="media/rId276.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42" Target="media/rId242.png"/>
  <Relationship Type="http://schemas.openxmlformats.org/officeDocument/2006/relationships/image" Id="rId258" Target="media/rId258.png"/>
  <Relationship Type="http://schemas.openxmlformats.org/officeDocument/2006/relationships/image" Id="rId196" Target="media/rId196.png"/>
  <Relationship Type="http://schemas.openxmlformats.org/officeDocument/2006/relationships/image" Id="rId205" Target="media/rId205.png"/>
  <Relationship Type="http://schemas.openxmlformats.org/officeDocument/2006/relationships/image" Id="rId310" Target="media/rId310.png"/>
  <Relationship Type="http://schemas.openxmlformats.org/officeDocument/2006/relationships/image" Id="rId322" Target="media/rId322.png"/>
  <Relationship Type="http://schemas.openxmlformats.org/officeDocument/2006/relationships/image" Id="rId303" Target="media/rId303.png"/>
  <Relationship Type="http://schemas.openxmlformats.org/officeDocument/2006/relationships/image" Id="rId334" Target="media/rId334.png"/>
  <Relationship Type="http://schemas.openxmlformats.org/officeDocument/2006/relationships/image" Id="rId293" Target="media/rId293.png"/>
  <Relationship Type="http://schemas.openxmlformats.org/officeDocument/2006/relationships/image" Id="rId298" Target="media/rId298.png"/>
  <Relationship Type="http://schemas.openxmlformats.org/officeDocument/2006/relationships/image" Id="rId288" Target="media/rId288.png"/>
  <Relationship Type="http://schemas.openxmlformats.org/officeDocument/2006/relationships/image" Id="rId283" Target="media/rId283.png"/>
  <Relationship Type="http://schemas.openxmlformats.org/officeDocument/2006/relationships/image" Id="rId316" Target="media/rId316.png"/>
  <Relationship Type="http://schemas.openxmlformats.org/officeDocument/2006/relationships/image" Id="rId329" Target="media/rId329.png"/>
  <Relationship Type="http://schemas.openxmlformats.org/officeDocument/2006/relationships/image" Id="rId340" Target="media/rId340.png"/>
  <Relationship Type="http://schemas.openxmlformats.org/officeDocument/2006/relationships/image" Id="rId171" Target="media/rId171.png"/>
  <Relationship Id="rId341"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2026-07-21T21:18:17Z</dcterms:created>
  <dcterms:modified xsi:type="dcterms:W3CDTF">2026-07-21T21:18:17Z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2026-07-22</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