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191.png" ContentType="image/png"/>
  <Override PartName="/word/media/rId244.png" ContentType="image/png"/>
  <Override PartName="/word/media/rId284.png" ContentType="image/png"/>
  <Override PartName="/word/media/rId278.png" ContentType="image/png"/>
  <Override PartName="/word/media/rId248.png" ContentType="image/png"/>
  <Override PartName="/word/media/rId226.png" ContentType="image/png"/>
  <Override PartName="/word/media/rId230.png" ContentType="image/png"/>
  <Override PartName="/word/media/rId235.png" ContentType="image/png"/>
  <Override PartName="/word/media/rId222.png" ContentType="image/png"/>
  <Override PartName="/word/media/rId239.png" ContentType="image/png"/>
  <Override PartName="/word/media/rId307.png" ContentType="image/png"/>
  <Override PartName="/word/media/rId301.png" ContentType="image/png"/>
  <Override PartName="/word/media/rId304.png" ContentType="image/png"/>
  <Override PartName="/word/media/rId298.png" ContentType="image/png"/>
  <Override PartName="/word/media/rId213.png" ContentType="image/png"/>
  <Override PartName="/word/media/rId200.png" ContentType="image/png"/>
  <Override PartName="/word/media/rId209.png" ContentType="image/png"/>
  <Override PartName="/word/media/rId289.png" ContentType="image/png"/>
  <Override PartName="/word/media/rId258.png" ContentType="image/png"/>
  <Override PartName="/word/media/rId262.png" ContentType="image/png"/>
  <Override PartName="/word/media/rId266.png" ContentType="image/png"/>
  <Override PartName="/word/media/rId254.png" ContentType="image/png"/>
  <Override PartName="/word/media/rId270.png" ContentType="image/png"/>
  <Override PartName="/word/media/rId204.png" ContentType="image/png"/>
  <Override PartName="/word/media/rId217.png" ContentType="image/png"/>
  <Override PartName="/word/media/rId341.png" ContentType="image/png"/>
  <Override PartName="/word/media/rId353.png" ContentType="image/png"/>
  <Override PartName="/word/media/rId334.png" ContentType="image/png"/>
  <Override PartName="/word/media/rId365.png" ContentType="image/png"/>
  <Override PartName="/word/media/rId324.png" ContentType="image/png"/>
  <Override PartName="/word/media/rId329.png" ContentType="image/png"/>
  <Override PartName="/word/media/rId319.png" ContentType="image/png"/>
  <Override PartName="/word/media/rId314.png" ContentType="image/png"/>
  <Override PartName="/word/media/rId347.png" ContentType="image/png"/>
  <Override PartName="/word/media/rId360.png" ContentType="image/png"/>
  <Override PartName="/word/media/rId431.png" ContentType="image/png"/>
  <Override PartName="/word/media/rId393.png" ContentType="image/png"/>
  <Override PartName="/word/media/rId400.png" ContentType="image/png"/>
  <Override PartName="/word/media/rId372.png" ContentType="image/png"/>
  <Override PartName="/word/media/rId376.png" ContentType="image/png"/>
  <Override PartName="/word/media/rId388.png" ContentType="image/png"/>
  <Override PartName="/word/media/rId397.png" ContentType="image/png"/>
  <Override PartName="/word/media/rId385.png" ContentType="image/png"/>
  <Override PartName="/word/media/rId426.png" ContentType="image/png"/>
  <Override PartName="/word/media/rId413.png" ContentType="image/png"/>
  <Override PartName="/word/media/rId419.png" ContentType="image/png"/>
  <Override PartName="/word/media/rId416.png" ContentType="image/png"/>
  <Override PartName="/word/media/rId382.png" ContentType="image/png"/>
  <Override PartName="/word/media/rId423.png" ContentType="image/png"/>
  <Override PartName="/word/media/rId404.png" ContentType="image/png"/>
  <Override PartName="/word/media/rId410.png" ContentType="image/png"/>
  <Override PartName="/word/media/rId407.png" ContentType="image/png"/>
  <Override PartName="/word/media/rId462.png" ContentType="image/png"/>
  <Override PartName="/word/media/rId466.png" ContentType="image/png"/>
  <Override PartName="/word/media/rId490.png" ContentType="image/png"/>
  <Override PartName="/word/media/rId500.png" ContentType="image/png"/>
  <Override PartName="/word/media/rId508.png" ContentType="image/png"/>
  <Override PartName="/word/media/rId457.png" ContentType="image/png"/>
  <Override PartName="/word/media/rId452.png" ContentType="image/png"/>
  <Override PartName="/word/media/rId482.png" ContentType="image/png"/>
  <Override PartName="/word/media/rId486.png" ContentType="image/png"/>
  <Override PartName="/word/media/rId438.png" ContentType="image/png"/>
  <Override PartName="/word/media/rId476.png" ContentType="image/png"/>
  <Override PartName="/word/media/rId504.png" ContentType="image/png"/>
  <Override PartName="/word/media/rId515.png" ContentType="image/png"/>
  <Override PartName="/word/media/rId472.png" ContentType="image/png"/>
  <Override PartName="/word/media/rId496.png" ContentType="image/png"/>
  <Override PartName="/word/media/rId444.png" ContentType="image/png"/>
  <Override PartName="/word/media/rId448.png" ContentType="image/png"/>
  <Override PartName="/word/media/rId649.png" ContentType="image/png"/>
  <Override PartName="/word/media/rId653.png" ContentType="image/png"/>
  <Override PartName="/word/media/rId585.png" ContentType="image/png"/>
  <Override PartName="/word/media/rId528.png" ContentType="image/png"/>
  <Override PartName="/word/media/rId594.png" ContentType="image/png"/>
  <Override PartName="/word/media/rId537.png" ContentType="image/png"/>
  <Override PartName="/word/media/rId627.png" ContentType="image/png"/>
  <Override PartName="/word/media/rId657.png" ContentType="image/png"/>
  <Override PartName="/word/media/rId632.png" ContentType="image/png"/>
  <Override PartName="/word/media/rId561.png" ContentType="image/png"/>
  <Override PartName="/word/media/rId638.png" ContentType="image/png"/>
  <Override PartName="/word/media/rId615.png" ContentType="image/png"/>
  <Override PartName="/word/media/rId574.png" ContentType="image/png"/>
  <Override PartName="/word/media/rId619.png" ContentType="image/png"/>
  <Override PartName="/word/media/rId603.png" ContentType="image/png"/>
  <Override PartName="/word/media/rId599.png" ContentType="image/png"/>
  <Override PartName="/word/media/rId548.png" ContentType="image/png"/>
  <Override PartName="/word/media/rId557.png" ContentType="image/png"/>
  <Override PartName="/word/media/rId661.png" ContentType="image/png"/>
  <Override PartName="/word/media/rId533.png" ContentType="image/png"/>
  <Override PartName="/word/media/rId524.png" ContentType="image/png"/>
  <Override PartName="/word/media/rId589.png" ContentType="image/png"/>
  <Override PartName="/word/media/rId610.png" ContentType="image/png"/>
  <Override PartName="/word/media/rId553.png" ContentType="image/png"/>
  <Override PartName="/word/media/rId570.png" ContentType="image/png"/>
  <Override PartName="/word/media/rId566.png" ContentType="image/png"/>
  <Override PartName="/word/media/rId677.png" ContentType="image/png"/>
  <Override PartName="/word/media/rId674.png" ContentType="image/png"/>
  <Override PartName="/word/media/rId579.png" ContentType="image/png"/>
  <Override PartName="/word/media/rId643.png" ContentType="image/png"/>
  <Override PartName="/word/media/rId545.png" ContentType="image/png"/>
  <Override PartName="/word/media/rId541.png" ContentType="image/png"/>
  <Override PartName="/word/media/rId700.png" ContentType="image/png"/>
  <Override PartName="/word/media/rId737.png" ContentType="image/png"/>
  <Override PartName="/word/media/rId734.png" ContentType="image/png"/>
  <Override PartName="/word/media/rId685.png" ContentType="image/png"/>
  <Override PartName="/word/media/rId722.png" ContentType="image/png"/>
  <Override PartName="/word/media/rId719.png" ContentType="image/png"/>
  <Override PartName="/word/media/rId689.png" ContentType="image/png"/>
  <Override PartName="/word/media/rId693.png" ContentType="image/png"/>
  <Override PartName="/word/media/rId708.png" ContentType="image/png"/>
  <Override PartName="/word/media/rId715.png" ContentType="image/png"/>
  <Override PartName="/word/media/rId725.png" ContentType="image/png"/>
  <Override PartName="/word/media/rId730.png" ContentType="image/png"/>
  <Override PartName="/word/media/rId862.png" ContentType="image/png"/>
  <Override PartName="/word/media/rId754.png" ContentType="image/png"/>
  <Override PartName="/word/media/rId774.png" ContentType="image/png"/>
  <Override PartName="/word/media/rId770.png" ContentType="image/png"/>
  <Override PartName="/word/media/rId779.png" ContentType="image/png"/>
  <Override PartName="/word/media/rId823.png" ContentType="image/png"/>
  <Override PartName="/word/media/rId749.png" ContentType="image/png"/>
  <Override PartName="/word/media/rId797.png" ContentType="image/png"/>
  <Override PartName="/word/media/rId847.png" ContentType="image/png"/>
  <Override PartName="/word/media/rId842.png" ContentType="image/png"/>
  <Override PartName="/word/media/rId852.png" ContentType="image/png"/>
  <Override PartName="/word/media/rId788.png" ContentType="image/png"/>
  <Override PartName="/word/media/rId857.png" ContentType="image/png"/>
  <Override PartName="/word/media/rId827.png" ContentType="image/png"/>
  <Override PartName="/word/media/rId808.png" ContentType="image/png"/>
  <Override PartName="/word/media/rId831.png" ContentType="image/png"/>
  <Override PartName="/word/media/rId764.png" ContentType="image/png"/>
  <Override PartName="/word/media/rId744.png" ContentType="image/png"/>
  <Override PartName="/word/media/rId802.png" ContentType="image/png"/>
  <Override PartName="/word/media/rId818.png" ContentType="image/png"/>
  <Override PartName="/word/media/rId793.png" ContentType="image/png"/>
  <Override PartName="/word/media/rId838.png" ContentType="image/png"/>
  <Override PartName="/word/media/rId814.png" ContentType="image/png"/>
  <Override PartName="/word/media/rId760.png" ContentType="image/png"/>
  <Override PartName="/word/media/rId912.png" ContentType="image/png"/>
  <Override PartName="/word/media/rId895.png" ContentType="image/png"/>
  <Override PartName="/word/media/rId899.png" ContentType="image/png"/>
  <Override PartName="/word/media/rId877.png" ContentType="image/png"/>
  <Override PartName="/word/media/rId882.png" ContentType="image/png"/>
  <Override PartName="/word/media/rId903.png" ContentType="image/png"/>
  <Override PartName="/word/media/rId872.png" ContentType="image/png"/>
  <Override PartName="/word/media/rId886.png" ContentType="image/png"/>
  <Override PartName="/word/media/rId891.png" ContentType="image/png"/>
  <Override PartName="/word/media/rId907.png" ContentType="image/png"/>
  <Override PartName="/word/media/rId946.png" ContentType="image/png"/>
  <Override PartName="/word/media/rId921.png" ContentType="image/png"/>
  <Override PartName="/word/media/rId931.png" ContentType="image/png"/>
  <Override PartName="/word/media/rId936.png" ContentType="image/png"/>
  <Override PartName="/word/media/rId951.png" ContentType="image/png"/>
  <Override PartName="/word/media/rId926.png" ContentType="image/png"/>
  <Override PartName="/word/media/rId959.png" ContentType="image/png"/>
  <Override PartName="/word/media/rId942.png" ContentType="image/png"/>
  <Override PartName="/word/media/rId295.png" ContentType="image/png"/>
  <Override PartName="/word/media/rId177.png" ContentType="image/png"/>
  <Override PartName="/word/media/rId173.png" ContentType="image/png"/>
  <Override PartName="/word/media/rId169.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des Observatoires ruraux d’Alaotra et Marovoay</w:t>
      </w:r>
    </w:p>
    <w:p>
      <w:pPr>
        <w:pStyle w:val="Sous-titre"/>
      </w:pPr>
      <w:r>
        <w:t xml:space="preserve">Rapport consolidé d’enquêtes</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2026-06-11</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955809"/>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960"/>
                    <a:stretch>
                      <a:fillRect/>
                    </a:stretch>
                  </pic:blipFill>
                  <pic:spPr>
                    <a:xfrm>
                      <a:off x="0" y="0"/>
                      <a:ext cx="5943000" cy="3955809"/>
                    </a:xfrm>
                    <a:prstGeom prst="rect">
                      <a:avLst/>
                    </a:prstGeom>
                  </pic:spPr>
                </pic:pic>
              </a:graphicData>
            </a:graphic>
          </wp:inline>
        </w:drawing>
      </w:r>
    </w:p>
    <w:p xmlns:w="http://schemas.openxmlformats.org/wordprocessingml/2006/main">
      <w:pPr>
        <w:jc w:val="center"/>
        <w:spacing w:before="120"/>
      </w:pPr>
      <w:r>
        <w:rPr>
          <w:i/>
          <w:sz w:val="18"/>
          <w:szCs w:val="18"/>
        </w:rPr>
        <w:t xml:space="preserve">Rizière dans la région d’Alaotra Mangoro. Photo : Leja Mitarika / NJProduction, CC BY-SA 4.0, via Wikimedia Commons.</w:t>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172" w:name="introduction"/>
    <w:p>
      <w:pPr>
        <w:pStyle w:val="Titre1"/>
      </w:pPr>
      <w:r>
        <w:t xml:space="preserve">Introduction</w:t>
      </w:r>
    </w:p>
    <w:p>
      <w:pPr>
        <w:pStyle w:val="FirstParagraph"/>
      </w:pPr>
      <w:r>
        <w:t xml:space="preserve">Rapport consolidé d’enquêtes (Version provisoire)</w:t>
      </w:r>
    </w:p>
    <w:p>
      <w:pPr>
        <w:pStyle w:val="Corpsdetexte"/>
      </w:pPr>
      <w:r>
        <w:br/>
      </w:r>
    </w:p>
    <w:p>
      <w:pPr>
        <w:pStyle w:val="Corpsdetexte"/>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969000" cy="4178299"/>
            <wp:effectExtent b="0" l="0" r="0" t="0"/>
            <wp:docPr descr="Carte historique des observatoires ruraux à Madagascar" title="" id="170" name="Picture"/>
            <a:graphic>
              <a:graphicData uri="http://schemas.openxmlformats.org/drawingml/2006/picture">
                <pic:pic>
                  <pic:nvPicPr>
                    <pic:cNvPr descr="images/carte_historique_nat_or.png" id="171" name="Picture"/>
                    <pic:cNvPicPr>
                      <a:picLocks noChangeArrowheads="1" noChangeAspect="1"/>
                    </pic:cNvPicPr>
                  </pic:nvPicPr>
                  <pic:blipFill>
                    <a:blip r:embed="rId169"/>
                    <a:stretch>
                      <a:fillRect/>
                    </a:stretch>
                  </pic:blipFill>
                  <pic:spPr bwMode="auto">
                    <a:xfrm>
                      <a:off x="0" y="0"/>
                      <a:ext cx="5969000" cy="41782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Corpsdetexte"/>
      </w:pPr>
      <w:r>
        <w:t xml:space="preserve">Ce document présente le traitement et l’analyse des données de l’observatoire rural de Marovoay pour la campagne 2025. La période de référence s’étend d’octobre 2024 à septembre 2025. Ces données ont été récoltées afin d’étudier l’évaluation d’impact de la conservation sur les conditions de vie des ménages aux alentours de l’aire protégée d’Ankarafantsika.</w:t>
      </w:r>
    </w:p>
    <w:p>
      <w:pPr>
        <w:pStyle w:val="Corpsdetexte"/>
      </w:pPr>
      <w:r>
        <w:t xml:space="preserve">Ce document présente le traitement et l’analyse des données de l’observatoire rural d’Alaotra pour la campagne 2025. La période de référence s’étend d’octobre 2024 à septembre 2025. Ces données ont été récoltées afin d’étudier l’évaluation d’impact de la conservation sur les conditions de vie des ménages aux alentours de l’aire protégée du corridor forestier d’Ankeniheny-Zahamena.</w:t>
      </w:r>
    </w:p>
    <w:p>
      <w:pPr>
        <w:pStyle w:val="Corpsdetexte"/>
      </w:pPr>
      <w:r>
        <w:t xml:space="preserve">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172"/>
    <w:bookmarkStart w:id="197"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C:\PROGRA~1\Quarto\share\formats\docx\warning.png" id="175"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176"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en charge de l’Agriculture.</w:t>
      </w:r>
    </w:p>
    <w:p>
      <w:pPr>
        <w:pStyle w:val="Corpsdetexte"/>
      </w:pPr>
      <w:r>
        <w:t xml:space="preserve">Deux OR font l’objet de cette campagne d’enquête en 2025 :</w:t>
      </w:r>
    </w:p>
    <w:p>
      <w:pPr>
        <w:pStyle w:val="Compact"/>
        <w:numPr>
          <w:ilvl w:val="0"/>
          <w:numId w:val="1001"/>
        </w:numPr>
      </w:pPr>
      <w:r>
        <w:rPr>
          <w:b/>
          <w:bCs/>
        </w:rPr>
        <w:t xml:space="preserve">Marovoay</w:t>
      </w:r>
      <w:r>
        <w:t xml:space="preserve"> </w:t>
      </w:r>
      <w:r>
        <w:t xml:space="preserve">, situé dans la région Boeny, dans le district de Marovoay. Marovoay constitue le deuxième pôle rizicole du pays, avec une production reposant sur l’irrigation par les eaux du fleuve Betsiboka. L’observatoire de Marovoay est situé dans la plaine alluviale du fleuve Betsiboka,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Compact"/>
        <w:numPr>
          <w:ilvl w:val="0"/>
          <w:numId w:val="1002"/>
        </w:numPr>
      </w:pPr>
      <w:r>
        <w:rPr>
          <w:b/>
          <w:bCs/>
        </w:rPr>
        <w:t xml:space="preserve">Alaotra</w:t>
      </w:r>
      <w:r>
        <w:t xml:space="preserve">,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Ces enquêtes d’observatoires ruraux ont été menées de manière régulière entre 1995 et 2014 (Marovoay) et entre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enquêtes de l’observatoire rural de Marovoay ont été menées de manière régulière entre 1995 et 2014,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enquêtes de l’observatoire rural d’Alaotra ont été menées de manière régulière entre 1999 et 2014,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w:t>
      </w:r>
    </w:p>
    <w:p>
      <w:pPr>
        <w:numPr>
          <w:ilvl w:val="0"/>
          <w:numId w:val="1003"/>
        </w:numPr>
      </w:pPr>
      <w:r>
        <w:t xml:space="preserve">la suppression du module dédié aux dépenses (D), qui était très long à administrer et qui avait peu été exploité dans le passé ;</w:t>
      </w:r>
    </w:p>
    <w:p>
      <w:pPr>
        <w:numPr>
          <w:ilvl w:val="0"/>
          <w:numId w:val="1003"/>
        </w:numPr>
      </w:pPr>
      <w:r>
        <w:t xml:space="preserve">l’introduction de nouveaux modules sur les feux (S), le rapport des ménages ruraux avec l’environnement (RM-UM-AP).</w:t>
      </w:r>
    </w:p>
    <w:p>
      <w:pPr>
        <w:pStyle w:val="FirstParagraph"/>
      </w:pPr>
      <w:r>
        <w:t xml:space="preserve">La période de référence couvre les douze mois précédant l’interview, soit du 1</w:t>
      </w:r>
      <w:r>
        <w:rPr>
          <w:vertAlign w:val="superscript"/>
        </w:rPr>
        <w:t xml:space="preserve">er</w:t>
      </w:r>
      <w:r>
        <w:t xml:space="preserve"> </w:t>
      </w:r>
      <w:r>
        <w:t xml:space="preserve">octobre 2024 au 30 septembre 2025.</w:t>
      </w:r>
    </w:p>
    <w:p>
      <w:pPr>
        <w:pStyle w:val="Corpsdetexte"/>
      </w:pPr>
      <w:r>
        <w:rPr>
          <w:i/>
          <w:iCs/>
        </w:rPr>
        <w:t xml:space="preserve">Note méthodologique.</w:t>
      </w:r>
      <w:r>
        <w:t xml:space="preserve"> </w:t>
      </w:r>
      <w:r>
        <w:t xml:space="preserve">Après plus de dix ans d’interruption (la dernière campagne régulière date de 2014), la reconstitution du panel de ménages constitue un défi majeur. Le suivi longitudinal est affecté par l’attrition (décès, migration, éclatement des ménages). Ce qui a conduit à compléter le panel historique par un nouveau tirage aléatoire. Les comparaisons inter-temporelles doivent donc être interprétées avec prudence, en tenant compte de ce renouvellement partiel de l’échantillon. Un chapitre d’approfondissement est consacré à cette question, voir</w:t>
      </w:r>
      <w:r>
        <w:t xml:space="preserve"> </w:t>
      </w:r>
      <w:r>
        <w:rPr>
          <w:b/>
          <w:bCs/>
        </w:rPr>
        <w:t xml:space="preserve">?@sec-representativite</w:t>
      </w:r>
      <w:r>
        <w:t xml:space="preserve">.</w:t>
      </w:r>
    </w:p>
    <w:bookmarkEnd w:id="176"/>
    <w:bookmarkStart w:id="180"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Avant le déploiement sur le terrain, Les enquêteurs ont été formés par les superviseurs selon une approche de formation en cascade. La saisie des données a été réalisée directement sur le terrain à l’aide de masques de saisie dédiés permettant un gain de temps grâce à la disponibilité immédiate des données pour l’analyse, une détection précoce des incohérences facilitant leur nettoyage, ainsi qu’un retour possible dans les ménages en cas de besoin pendant la phase de collecte.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C:\PROGRA~1\Quarto\share\formats\docx\note.png" id="179" name="Picture"/>
                          <pic:cNvPicPr>
                            <a:picLocks noChangeArrowheads="1" noChangeAspect="1"/>
                          </pic:cNvPicPr>
                        </pic:nvPicPr>
                        <pic:blipFill>
                          <a:blip r:embed="rId1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180"/>
    <w:bookmarkStart w:id="184"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w:t>
      </w:r>
    </w:p>
    <w:p>
      <w:pPr>
        <w:pStyle w:val="Corpsdetexte"/>
      </w:pPr>
      <w:r>
        <w:t xml:space="preserve">Les deux observatoires se situent dans le nord-ouest (Marovoay) et le centre-est (Alaotra) de Madagascar.</w:t>
      </w:r>
    </w:p>
    <w:p>
      <w:pPr>
        <w:pStyle w:val="CaptionedFigure"/>
      </w:pPr>
      <w:r>
        <w:drawing>
          <wp:inline>
            <wp:extent cx="4620126" cy="3696101"/>
            <wp:effectExtent b="0" l="0" r="0" t="0"/>
            <wp:docPr descr="Localisation approximative des fokontany enquêtés (centroïde des hameaux)" title="" id="182" name="Picture"/>
            <a:graphic>
              <a:graphicData uri="http://schemas.openxmlformats.org/drawingml/2006/picture">
                <pic:pic>
                  <pic:nvPicPr>
                    <pic:cNvPr descr="01_description_files/figure-docx/carte_sites-1.png" id="183" name="Picture"/>
                    <pic:cNvPicPr>
                      <a:picLocks noChangeArrowheads="1" noChangeAspect="1"/>
                    </pic:cNvPicPr>
                  </pic:nvPicPr>
                  <pic:blipFill>
                    <a:blip r:embed="rId18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184"/>
    <w:bookmarkStart w:id="190" w:name="ménages-enquêtés"/>
    <w:p>
      <w:pPr>
        <w:pStyle w:val="Titre2"/>
      </w:pPr>
      <w:r>
        <w:t xml:space="preserve">1.4 Ménages enquêtés</w:t>
      </w:r>
    </w:p>
    <w:p>
      <w:pPr>
        <w:pStyle w:val="FirstParagraph"/>
      </w:pPr>
      <w:r>
        <w:t xml:space="preserve">Au total, 507 ménages enquêtés à Alaotra, pour 1 975 individus. A Marovoay, 519 ménages ont été enquêtés pour 2 297 individus.</w:t>
      </w:r>
    </w:p>
    <w:p>
      <w:pPr>
        <w:pStyle w:val="Corpsdetexte"/>
      </w:pPr>
      <w:r>
        <w:t xml:space="preserve">Voir</w:t>
      </w:r>
      <w:r>
        <w:t xml:space="preserve"> </w:t>
      </w:r>
      <w:hyperlink w:anchor="tbl-men-obs">
        <w:r>
          <w:rPr>
            <w:rStyle w:val="Lienhypertexte"/>
          </w:rPr>
          <w:t xml:space="preserve">Table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5"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r>
            <w:tr>
              <w:tc>
                <w:tcPr>
                  <w:gridSpan w:val="3"/>
                </w:tcPr>
                <w:p>
                  <w:pPr>
                    <w:pStyle w:val="Compact"/>
                    <w:jc w:val="left"/>
                    <w:jc w:val="center"/>
                  </w:pPr>
                  <w:r>
                    <w:rPr>
                      <w:b/>
                      <w:bCs/>
                    </w:rPr>
                    <w:t xml:space="preserve">Source : Enquête auprès des OR 2025</w:t>
                  </w:r>
                </w:p>
              </w:tc>
            </w:tr>
          </w:tbl>
          <w:bookmarkEnd w:id="185"/>
          <w:p/>
        </w:tc>
      </w:tr>
    </w:tbl>
    <w:bookmarkStart w:id="187"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Bien que le nombre de ménages enquêtés soit similaire, l’effort d’échantillonnage est 2.5 fois plus intense à Marovoay avec plus d’un ménage sur 5 interrogé. Cela s’explique par une population de base beaucoup plus vaste dans les hameaux sélectionnés de l’Alaotra (un ménage enqueté sur 12 parmi ceux recensés dans les hameaux).</w:t>
      </w:r>
      <w:r>
        <w:t xml:space="preserve"> </w:t>
      </w:r>
      <w:r>
        <w:t xml:space="preserve">Le taux de sondage global est de l’ordre de 18 %.</w:t>
      </w:r>
    </w:p>
    <w:p>
      <w:pPr>
        <w:pStyle w:val="Corpsdetexte"/>
      </w:pPr>
      <w:r>
        <w:rPr>
          <w:b/>
          <w:bCs/>
        </w:rPr>
        <w:t xml:space="preserve">Alaotra :</w:t>
      </w:r>
      <w:r>
        <w:t xml:space="preserve"> </w:t>
      </w:r>
      <w:r>
        <w:t xml:space="preserve">6 210 ménages dénombrés pour un taux de sondage de 8.2 %.</w:t>
      </w:r>
    </w:p>
    <w:p>
      <w:pPr>
        <w:pStyle w:val="Corpsdetexte"/>
      </w:pPr>
      <w:r>
        <w:rPr>
          <w:b/>
          <w:bCs/>
        </w:rPr>
        <w:t xml:space="preserve">Marovoay :</w:t>
      </w:r>
      <w:r>
        <w:t xml:space="preserve"> </w:t>
      </w:r>
      <w:r>
        <w:t xml:space="preserve">2 506 ménages dénombrés pour un taux de sondage de 20.7 %.</w:t>
      </w:r>
    </w:p>
    <w:tbl>
      <w:tblPr>
        <w:tblStyle w:val="Table"/>
        <w:tblW w:type="pct" w:w="5000"/>
        <w:tblLayout w:type="fixed"/>
        <w:tblLook w:firstRow="0" w:lastRow="0" w:firstColumn="0" w:lastColumn="0" w:noHBand="0" w:noVBand="0" w:val="0000"/>
      </w:tblPr>
      <w:tblGrid>
        <w:gridCol w:w="7920"/>
      </w:tblGrid>
      <w:tr>
        <w:tc>
          <w:tcPr/>
          <w:bookmarkStart w:id="186"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rPr>
                      <w:b/>
                      <w:bCs/>
                    </w:rPr>
                    <w:t xml:space="preserve">Source : Synthèse Dénombrement OR 2025 &amp; Enquête auprès des OR 2025</w:t>
                  </w:r>
                </w:p>
              </w:tc>
            </w:tr>
          </w:tbl>
          <w:bookmarkEnd w:id="186"/>
          <w:p/>
        </w:tc>
      </w:tr>
    </w:tbl>
    <w:bookmarkEnd w:id="187"/>
    <w:bookmarkStart w:id="189"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 La structure spatiale de l’échantillon à l’Alaotra est plus fragmentée (8 sites contre 4 à Marovoay), reflétant la diversité des contextes autour de ces deux observatoires.</w:t>
      </w:r>
    </w:p>
    <w:p>
      <w:pPr>
        <w:pStyle w:val="Corpsdetexte"/>
      </w:pPr>
      <w:r>
        <w:t xml:space="preserve">Alaotra : L’échantillon est réparti sur 8 hameaux. Les plus importants sont Avaradrano (17.8 %) et Feramanga Atsimo (17.6 %).</w:t>
      </w:r>
    </w:p>
    <w:p>
      <w:pPr>
        <w:pStyle w:val="Corpsdetexte"/>
      </w:pPr>
      <w:r>
        <w:t xml:space="preserve">Marovoay : La répartition est plus concentrée sur 4 sites avec une prédominance d’Ampijoroa (27.6 %) et de Madiromiongana (26.4 %).</w:t>
      </w:r>
    </w:p>
    <w:tbl>
      <w:tblPr>
        <w:tblStyle w:val="Table"/>
        <w:tblW w:type="pct" w:w="5000"/>
        <w:tblLayout w:type="fixed"/>
        <w:tblLook w:firstRow="0" w:lastRow="0" w:firstColumn="0" w:lastColumn="0" w:noHBand="0" w:noVBand="0" w:val="0000"/>
      </w:tblPr>
      <w:tblGrid>
        <w:gridCol w:w="7920"/>
      </w:tblGrid>
      <w:tr>
        <w:tc>
          <w:tcPr/>
          <w:bookmarkStart w:id="188"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188"/>
          <w:p/>
        </w:tc>
      </w:tr>
    </w:tbl>
    <w:bookmarkEnd w:id="189"/>
    <w:bookmarkEnd w:id="190"/>
    <w:bookmarkStart w:id="196" w:name="déroulement-de-lenquête"/>
    <w:p>
      <w:pPr>
        <w:pStyle w:val="Titre2"/>
      </w:pPr>
      <w:r>
        <w:t xml:space="preserve">1.5 Déroulement de l’enquête</w:t>
      </w:r>
    </w:p>
    <w:p>
      <w:pPr>
        <w:pStyle w:val="FirstParagraph"/>
      </w:pPr>
      <w:r>
        <w:t xml:space="preserve">Les entretiens se sont déroulés entre début octobre et mi-novembre 2025.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194"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131785"/>
                  <wp:effectExtent b="0" l="0" r="0" t="0"/>
                  <wp:docPr descr="" title="" id="192" name="Picture"/>
                  <a:graphic>
                    <a:graphicData uri="http://schemas.openxmlformats.org/drawingml/2006/picture">
                      <pic:pic>
                        <pic:nvPicPr>
                          <pic:cNvPr descr="01_description_files/figure-docx/fig-chronogramme-1.png" id="193" name="Picture"/>
                          <pic:cNvPicPr>
                            <a:picLocks noChangeArrowheads="1" noChangeAspect="1"/>
                          </pic:cNvPicPr>
                        </pic:nvPicPr>
                        <pic:blipFill>
                          <a:blip r:embed="rId191"/>
                          <a:stretch>
                            <a:fillRect/>
                          </a:stretch>
                        </pic:blipFill>
                        <pic:spPr bwMode="auto">
                          <a:xfrm>
                            <a:off x="0" y="0"/>
                            <a:ext cx="5969000" cy="2131785"/>
                          </a:xfrm>
                          <a:prstGeom prst="rect">
                            <a:avLst/>
                          </a:prstGeom>
                          <a:noFill/>
                          <a:ln w="9525">
                            <a:noFill/>
                            <a:headEnd/>
                            <a:tailEnd/>
                          </a:ln>
                        </pic:spPr>
                      </pic:pic>
                    </a:graphicData>
                  </a:graphic>
                </wp:inline>
              </w:drawing>
            </w:r>
          </w:p>
          <w:bookmarkEnd w:id="194"/>
        </w:tc>
      </w:tr>
    </w:tbl>
    <w:p>
      <w:pPr>
        <w:pStyle w:val="Corpsdetexte"/>
      </w:pPr>
      <w:r>
        <w:t xml:space="preserve">Les enquêteurs ont réalisé un nombre de questionnaires quotidien très stable sans interruption majeure ni ralentissement.</w:t>
      </w:r>
    </w:p>
    <w:tbl>
      <w:tblPr>
        <w:tblStyle w:val="Table"/>
        <w:tblW w:type="pct" w:w="5000"/>
        <w:tblLayout w:type="fixed"/>
        <w:tblLook w:firstRow="0" w:lastRow="0" w:firstColumn="0" w:lastColumn="0" w:noHBand="0" w:noVBand="0" w:val="0000"/>
      </w:tblPr>
      <w:tblGrid>
        <w:gridCol w:w="7920"/>
      </w:tblGrid>
      <w:tr>
        <w:tc>
          <w:tcPr/>
          <w:bookmarkStart w:id="195"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October 2025</w:t>
                  </w:r>
                </w:p>
              </w:tc>
              <w:tc>
                <w:tcPr/>
                <w:p>
                  <w:pPr>
                    <w:pStyle w:val="Compact"/>
                    <w:jc w:val="right"/>
                    <w:jc w:val="center"/>
                  </w:pPr>
                  <w:r>
                    <w:t xml:space="preserve">10 November 2025</w:t>
                  </w:r>
                </w:p>
              </w:tc>
              <w:tc>
                <w:tcPr/>
                <w:p>
                  <w:pPr>
                    <w:pStyle w:val="Compact"/>
                    <w:jc w:val="right"/>
                    <w:jc w:val="center"/>
                  </w:pPr>
                  <w:r>
                    <w:t xml:space="preserve">30</w:t>
                  </w:r>
                </w:p>
              </w:tc>
              <w:tc>
                <w:tcPr/>
                <w:p>
                  <w:pPr>
                    <w:pStyle w:val="Compact"/>
                    <w:jc w:val="right"/>
                    <w:jc w:val="center"/>
                  </w:pPr>
                  <w:r>
                    <w:t xml:space="preserve">519</w:t>
                  </w:r>
                </w:p>
              </w:tc>
            </w:tr>
            <w:tr>
              <w:tc>
                <w:tcPr>
                  <w:gridSpan w:val="5"/>
                </w:tcPr>
                <w:p>
                  <w:pPr>
                    <w:pStyle w:val="Compact"/>
                    <w:jc w:val="left"/>
                    <w:jc w:val="center"/>
                  </w:pPr>
                  <w:r>
                    <w:rPr>
                      <w:b/>
                      <w:bCs/>
                    </w:rPr>
                    <w:t xml:space="preserve">Source : Enquête auprès des OR 2025</w:t>
                  </w:r>
                </w:p>
              </w:tc>
            </w:tr>
          </w:tbl>
          <w:bookmarkEnd w:id="195"/>
          <w:p/>
        </w:tc>
      </w:tr>
    </w:tbl>
    <w:p>
      <w:pPr>
        <w:pStyle w:val="Corpsdetexte"/>
      </w:pPr>
      <w:r>
        <w:t xml:space="preserve">L’enquête a mobilisé 20 enquêteurs (10 par observatoire), encadrés par 6 superviseurs (3 par observatoire). La saisie des questionnaires a été assurée par 4 opérateurs.</w:t>
      </w:r>
    </w:p>
    <w:bookmarkEnd w:id="196"/>
    <w:bookmarkEnd w:id="197"/>
    <w:bookmarkStart w:id="311" w:name="X2f0b4bab865cbdc8f0c24eb5bc26af9f83197a2"/>
    <w:p>
      <w:pPr>
        <w:pStyle w:val="Titre1"/>
      </w:pPr>
      <w:r>
        <w:t xml:space="preserve">2. Caractéristiques socio-démographiques des ménages</w:t>
      </w:r>
    </w:p>
    <w:p>
      <w:pPr>
        <w:pStyle w:val="FirstParagraph"/>
      </w:pPr>
      <w:r>
        <w:t xml:space="preserve">Le ménage est l’unité de base de l’enquête.</w:t>
      </w:r>
      <w:r>
        <w:t xml:space="preserve"> </w:t>
      </w:r>
      <w:r>
        <w:t xml:space="preserve">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C:\PROGRA~1\Quarto\share\formats\docx\warning.png" id="199"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Dans l’Alaotra, la riziculture irriguée constitue le socle de l’économie domestique, et la taille des exploitations rizicoles influence directement la structure et les revenus des ménages.</w:t>
      </w:r>
      <w:r>
        <w:t xml:space="preserve"> </w:t>
      </w:r>
      <w:r>
        <w:t xml:space="preserve">Les fokontany proches des périmètres irrigués (Avaradrano, Feramanga Atsimo) présentent des profils économiques distincts de ceux situés en périphérie de la cuvette (Analamiranga, Maritampona), où la dépendance au riz pluvial et à l’élevage est plus marquée.</w:t>
      </w:r>
    </w:p>
    <w:p>
      <w:pPr>
        <w:pStyle w:val="Corpsdetexte"/>
      </w:pPr>
      <w:r>
        <w:t xml:space="preserve">À Marovoay, la structure des ménages est marquée par l’hétérogénéité des stratégies économiques et des structures familiales.</w:t>
      </w:r>
      <w:r>
        <w:t xml:space="preserve"> </w:t>
      </w:r>
      <w:r>
        <w:t xml:space="preserve">La proximité de la ville de Marovoay et de la route nationale RN4 reliant Antananarivo à Mahajanga facilite les échanges et influence les activités non agricoles des ménages.</w:t>
      </w:r>
    </w:p>
    <w:bookmarkStart w:id="221" w:name="description-des-ménages"/>
    <w:p>
      <w:pPr>
        <w:pStyle w:val="Titre2"/>
      </w:pPr>
      <w:r>
        <w:t xml:space="preserve">2.1 Description des ménages</w:t>
      </w:r>
    </w:p>
    <w:bookmarkStart w:id="203" w:name="taille-des-ménages"/>
    <w:p>
      <w:pPr>
        <w:pStyle w:val="Titre3"/>
      </w:pPr>
      <w:r>
        <w:t xml:space="preserve">2.1.1 Taille des ménages</w:t>
      </w:r>
    </w:p>
    <w:p>
      <w:pPr>
        <w:pStyle w:val="FirstParagraph"/>
      </w:pPr>
      <w:r>
        <w:t xml:space="preserve">Le ménage est un ensemble de personnes avec ou sans lien de parenté, vivant sous le même toit ou dans la même concession, prenant leur repas ensemble ou par petits groupes, mettant une partie ou la totalité de leurs revenus en commun pour la bonne marche du groupe.</w:t>
      </w:r>
    </w:p>
    <w:p>
      <w:pPr>
        <w:pStyle w:val="Corpsdetexte"/>
      </w:pPr>
      <w:r>
        <w:t xml:space="preserve">A Alaotra, on a recensé 1975 individus répartis dans 507 ménages. La taille moyenne des ménages s’établit à 3.9 personnes.</w:t>
      </w:r>
    </w:p>
    <w:p>
      <w:pPr>
        <w:pStyle w:val="Corpsdetexte"/>
      </w:pPr>
      <w:r>
        <w:t xml:space="preserve">A Marovoay, on a recensé 2297 individus répartis dans 519 ménages. La taille moyenne des ménages s’établit à 4.4 personnes.</w:t>
      </w:r>
    </w:p>
    <w:p>
      <w:pPr>
        <w:pStyle w:val="CaptionedFigure"/>
      </w:pPr>
      <w:r>
        <w:drawing>
          <wp:inline>
            <wp:extent cx="4620126" cy="4620126"/>
            <wp:effectExtent b="0" l="0" r="0" t="0"/>
            <wp:docPr descr="Taille moyenne des ménages par hameau selon les observatoires" title="" id="201" name="Picture"/>
            <a:graphic>
              <a:graphicData uri="http://schemas.openxmlformats.org/drawingml/2006/picture">
                <pic:pic>
                  <pic:nvPicPr>
                    <pic:cNvPr descr="02_structure_menages_files/figure-docx/fig_men_hameau-1.png" id="202" name="Picture"/>
                    <pic:cNvPicPr>
                      <a:picLocks noChangeArrowheads="1" noChangeAspect="1"/>
                    </pic:cNvPicPr>
                  </pic:nvPicPr>
                  <pic:blipFill>
                    <a:blip r:embed="rId200"/>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Taille moyenne des ménages par hameau selon les observatoires</w:t>
      </w:r>
    </w:p>
    <w:bookmarkEnd w:id="203"/>
    <w:bookmarkStart w:id="208" w:name="structure-par-âge"/>
    <w:p>
      <w:pPr>
        <w:pStyle w:val="Titre3"/>
      </w:pPr>
      <w:r>
        <w:t xml:space="preserve">2.1.2 Structure par âge</w:t>
      </w:r>
    </w:p>
    <w:p>
      <w:pPr>
        <w:pStyle w:val="FirstParagraph"/>
      </w:pPr>
      <w:r>
        <w:t xml:space="preserve">La structure démographique des ménages enquêtés révèle une population jeune.</w:t>
      </w:r>
      <w:r>
        <w:t xml:space="preserve"> </w:t>
      </w:r>
      <w:r>
        <w:t xml:space="preserve">Cette distribution, caractéristique des populations rurales malgaches, implique un fort taux de dépendance.</w:t>
      </w:r>
    </w:p>
    <w:bookmarkStart w:id="207" w:name="au-niveau-des-observatoires"/>
    <w:p>
      <w:pPr>
        <w:pStyle w:val="Titre4"/>
      </w:pPr>
      <w:r>
        <w:t xml:space="preserve">2.1.2.1 Au niveau des observatoires</w:t>
      </w:r>
    </w:p>
    <w:p>
      <w:pPr>
        <w:pStyle w:val="FirstParagraph"/>
      </w:pPr>
      <w:r>
        <w:t xml:space="preserve">La population est extrêmement jeune, avec une base de pyramide (0-10 ans) représentant près de 30 % des effectifs dans les deux zones.</w:t>
      </w:r>
      <w:r>
        <w:t xml:space="preserve"> </w:t>
      </w:r>
      <w:r>
        <w:t xml:space="preserve">Marovoay présente un taux de dépendance des jeunes plus élevé qu’Alaotra.</w:t>
      </w:r>
    </w:p>
    <w:p>
      <w:pPr>
        <w:pStyle w:val="Corpsdetexte"/>
      </w:pPr>
      <w:r>
        <w:t xml:space="preserve">A Alaotra, 37 % des individus ont moins de 15 ans.</w:t>
      </w:r>
      <w:r>
        <w:t xml:space="preserve"> </w:t>
      </w:r>
      <w:r>
        <w:t xml:space="preserve">La population en âge de travailler (15–64 ans) représente 57.9 %, tandis que les personnes de 65 ans et plus ne constituent que 5.1 %.</w:t>
      </w:r>
    </w:p>
    <w:p>
      <w:pPr>
        <w:pStyle w:val="Corpsdetexte"/>
      </w:pPr>
      <w:r>
        <w:t xml:space="preserve">A Marovoay, 40.7 % des individus ont moins de 15 ans, signe d’une population en croissance rapide.</w:t>
      </w:r>
      <w:r>
        <w:t xml:space="preserve"> </w:t>
      </w:r>
      <w:r>
        <w:t xml:space="preserve">La population en âge de travailler (15–64 ans) représente 54.7 %, tandis que les personnes de 65 ans et plus ne constituent que 4.6 %.</w:t>
      </w:r>
      <w:r>
        <w:t xml:space="preserve"> </w:t>
      </w:r>
      <w:r>
        <w:t xml:space="preserve">Cette structure démographique, caractérisée par une base large et un sommet étroit, est caractéristique des populations rurales malgaches et traduit un taux de dépendance élevé.</w:t>
      </w:r>
    </w:p>
    <w:p>
      <w:pPr>
        <w:pStyle w:val="CaptionedFigure"/>
      </w:pPr>
      <w:r>
        <w:drawing>
          <wp:inline>
            <wp:extent cx="4620126" cy="3234088"/>
            <wp:effectExtent b="0" l="0" r="0" t="0"/>
            <wp:docPr descr="Pyramide des âges des membres des ménages enquêtés par observatoire" title="" id="205" name="Picture"/>
            <a:graphic>
              <a:graphicData uri="http://schemas.openxmlformats.org/drawingml/2006/picture">
                <pic:pic>
                  <pic:nvPicPr>
                    <pic:cNvPr descr="02_structure_menages_files/figure-docx/fig_pyramide-1.png" id="206" name="Picture"/>
                    <pic:cNvPicPr>
                      <a:picLocks noChangeArrowheads="1" noChangeAspect="1"/>
                    </pic:cNvPicPr>
                  </pic:nvPicPr>
                  <pic:blipFill>
                    <a:blip r:embed="rId204"/>
                    <a:stretch>
                      <a:fillRect/>
                    </a:stretch>
                  </pic:blipFill>
                  <pic:spPr bwMode="auto">
                    <a:xfrm>
                      <a:off x="0" y="0"/>
                      <a:ext cx="4620126" cy="3234088"/>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207"/>
    <w:bookmarkEnd w:id="208"/>
    <w:bookmarkStart w:id="212" w:name="origine-des-chefs-de-ménage-et-conjoints"/>
    <w:p>
      <w:pPr>
        <w:pStyle w:val="Titre3"/>
      </w:pPr>
      <w:r>
        <w:t xml:space="preserve">2.1.3 Origine des Chefs de Ménage et conjoints</w:t>
      </w:r>
    </w:p>
    <w:p>
      <w:pPr>
        <w:pStyle w:val="FirstParagraph"/>
      </w:pPr>
      <w:r>
        <w:t xml:space="preserve">L’origine géographique des chefs de ménage (CM) et de leurs conjoints renseigne sur les dynamiques migratoires et le degré d’ancrage local des familles.</w:t>
      </w:r>
      <w:r>
        <w:t xml:space="preserve"> </w:t>
      </w:r>
      <w:r>
        <w:t xml:space="preserve">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w:t>
      </w:r>
    </w:p>
    <w:p>
      <w:pPr>
        <w:pStyle w:val="Corpsdetexte"/>
      </w:pPr>
      <w:r>
        <w:t xml:space="preserve">La répartition de ces catégories diffère sensiblement entre les deux observatoires.</w:t>
      </w:r>
      <w:r>
        <w:t xml:space="preserve"> </w:t>
      </w:r>
      <w:r>
        <w:t xml:space="preserve">L’Alaotra reste une zone de peuplement stable, tandis que Marovoay illustre une dynamique migratoire historique forte, où les descendants de migrants sont désormais aussi nombreux que les natifs.</w:t>
      </w:r>
    </w:p>
    <w:p>
      <w:pPr>
        <w:pStyle w:val="Corpsdetexte"/>
      </w:pPr>
      <w:r>
        <w:t xml:space="preserve">Dans l’Alaotra, la pression foncière croissante et l’attractivité des périmètres rizicoles aménagés se reflètent dans la composition des populations selon leur origine avec une forte dominance des «tompon-tany» à 66.8 % pour les chefs de ménage.</w:t>
      </w:r>
      <w:r>
        <w:t xml:space="preserve"> </w:t>
      </w:r>
      <w:r>
        <w:t xml:space="preserve">. Les dynamiques migratoires et l’ancrage local varient selon la position des fokontany par rapport aux zones irriguées.</w:t>
      </w:r>
    </w:p>
    <w:p>
      <w:pPr>
        <w:pStyle w:val="Corpsdetexte"/>
      </w:pPr>
      <w:r>
        <w:t xml:space="preserve">À Marovoay, l’équilibre entre</w:t>
      </w:r>
      <w:r>
        <w:t xml:space="preserve"> </w:t>
      </w:r>
      <w:r>
        <w:rPr>
          <w:i/>
          <w:iCs/>
        </w:rPr>
        <w:t xml:space="preserve">tompon-tany</w:t>
      </w:r>
      <w:r>
        <w:t xml:space="preserve"> </w:t>
      </w:r>
      <w:r>
        <w:t xml:space="preserve">(39 %) et</w:t>
      </w:r>
      <w:r>
        <w:t xml:space="preserve"> </w:t>
      </w:r>
      <w:r>
        <w:rPr>
          <w:i/>
          <w:iCs/>
        </w:rPr>
        <w:t xml:space="preserve">zana-tany</w:t>
      </w:r>
      <w:r>
        <w:t xml:space="preserve"> </w:t>
      </w:r>
      <w:r>
        <w:t xml:space="preserve">(39.4 %)varie selon les localités.</w:t>
      </w:r>
      <w:r>
        <w:t xml:space="preserve"> </w:t>
      </w:r>
      <w:r>
        <w:t xml:space="preserve">La proportion de</w:t>
      </w:r>
      <w:r>
        <w:t xml:space="preserve"> </w:t>
      </w:r>
      <w:r>
        <w:rPr>
          <w:i/>
          <w:iCs/>
        </w:rPr>
        <w:t xml:space="preserve">valivotaka</w:t>
      </w:r>
      <w:r>
        <w:t xml:space="preserve"> </w:t>
      </w:r>
      <w:r>
        <w:t xml:space="preserve">et</w:t>
      </w:r>
      <w:r>
        <w:t xml:space="preserve"> </w:t>
      </w:r>
      <w:r>
        <w:rPr>
          <w:i/>
          <w:iCs/>
        </w:rPr>
        <w:t xml:space="preserve">mpihavy</w:t>
      </w:r>
      <w:r>
        <w:t xml:space="preserve"> </w:t>
      </w:r>
      <w:r>
        <w:t xml:space="preserve">reflète l’attractivité des zones rizicoles pour les migrants des régions voisines.</w:t>
      </w:r>
      <w:r>
        <w:t xml:space="preserve"> </w:t>
      </w:r>
      <w:r>
        <w:t xml:space="preserve">Les raisons sociales (en particulier le mariage) dépassent largement les motivations économiques comme facteur d’installation.</w:t>
      </w:r>
    </w:p>
    <w:p>
      <w:pPr>
        <w:pStyle w:val="Corpsdetexte"/>
      </w:pPr>
      <w:r>
        <w:drawing>
          <wp:inline>
            <wp:extent cx="4620126" cy="3696101"/>
            <wp:effectExtent b="0" l="0" r="0" t="0"/>
            <wp:docPr descr="" title="" id="210" name="Picture"/>
            <a:graphic>
              <a:graphicData uri="http://schemas.openxmlformats.org/drawingml/2006/picture">
                <pic:pic>
                  <pic:nvPicPr>
                    <pic:cNvPr descr="02_structure_menages_files/figure-docx/fig_origine-1.png" id="211" name="Picture"/>
                    <pic:cNvPicPr>
                      <a:picLocks noChangeArrowheads="1" noChangeAspect="1"/>
                    </pic:cNvPicPr>
                  </pic:nvPicPr>
                  <pic:blipFill>
                    <a:blip r:embed="rId209"/>
                    <a:stretch>
                      <a:fillRect/>
                    </a:stretch>
                  </pic:blipFill>
                  <pic:spPr bwMode="auto">
                    <a:xfrm>
                      <a:off x="0" y="0"/>
                      <a:ext cx="4620126" cy="3696101"/>
                    </a:xfrm>
                    <a:prstGeom prst="rect">
                      <a:avLst/>
                    </a:prstGeom>
                    <a:noFill/>
                    <a:ln w="9525">
                      <a:noFill/>
                      <a:headEnd/>
                      <a:tailEnd/>
                    </a:ln>
                  </pic:spPr>
                </pic:pic>
              </a:graphicData>
            </a:graphic>
          </wp:inline>
        </w:drawing>
      </w:r>
    </w:p>
    <w:bookmarkEnd w:id="212"/>
    <w:bookmarkStart w:id="216" w:name="région-dorigine"/>
    <w:p>
      <w:pPr>
        <w:pStyle w:val="Titre3"/>
      </w:pPr>
      <w:r>
        <w:t xml:space="preserve">2.1.4 Région d’origine</w:t>
      </w:r>
    </w:p>
    <w:p>
      <w:pPr>
        <w:pStyle w:val="FirstParagraph"/>
      </w:pPr>
      <w:r>
        <w:t xml:space="preserve">La provenance régionale des CM et conjoints qui ne sont pas natifs de la localité permet d’identifier les principaux bassins migratoires alimentant chaque observatoire.</w:t>
      </w:r>
    </w:p>
    <w:p>
      <w:pPr>
        <w:pStyle w:val="Corpsdetexte"/>
      </w:pPr>
      <w:r>
        <w:t xml:space="preserve">À Alaotra, les chefs de ménage et leurs conjoints non natifs de la localité proviennent majoritairement de l’extérieur de la commune de résidence, avec respectivement 62.5% et 54.3%. Les personnes originaires de la même commune représentent ensuite 21.9% des chefs de ménage et 32.4% des conjoints. Enfin, les non natifs issus du même fokontany constituent 15.6% des chefs de ménage et 13.3% des conjoints.</w:t>
      </w:r>
    </w:p>
    <w:p>
      <w:pPr>
        <w:pStyle w:val="Corpsdetexte"/>
      </w:pPr>
      <w:r>
        <w:t xml:space="preserve">À Marovoay, l’origine principale des chefs de ménage et de leurs conjoints non natifs de la localité se situe également hors de la commune de résidence, avec 89.1% des chefs de ménage et 74.5% des conjoints concernés. Par ailleurs, 19.1% des conjoints non natifs proviennent de la même commune.</w:t>
      </w:r>
    </w:p>
    <w:p>
      <w:pPr>
        <w:pStyle w:val="Corpsdetexte"/>
      </w:pPr>
      <w:r>
        <w:drawing>
          <wp:inline>
            <wp:extent cx="4620126" cy="3696101"/>
            <wp:effectExtent b="0" l="0" r="0" t="0"/>
            <wp:docPr descr="" title="" id="214" name="Picture"/>
            <a:graphic>
              <a:graphicData uri="http://schemas.openxmlformats.org/drawingml/2006/picture">
                <pic:pic>
                  <pic:nvPicPr>
                    <pic:cNvPr descr="02_structure_menages_files/figure-docx/fig_homeland-1.png" id="215" name="Picture"/>
                    <pic:cNvPicPr>
                      <a:picLocks noChangeArrowheads="1" noChangeAspect="1"/>
                    </pic:cNvPicPr>
                  </pic:nvPicPr>
                  <pic:blipFill>
                    <a:blip r:embed="rId213"/>
                    <a:stretch>
                      <a:fillRect/>
                    </a:stretch>
                  </pic:blipFill>
                  <pic:spPr bwMode="auto">
                    <a:xfrm>
                      <a:off x="0" y="0"/>
                      <a:ext cx="4620126" cy="3696101"/>
                    </a:xfrm>
                    <a:prstGeom prst="rect">
                      <a:avLst/>
                    </a:prstGeom>
                    <a:noFill/>
                    <a:ln w="9525">
                      <a:noFill/>
                      <a:headEnd/>
                      <a:tailEnd/>
                    </a:ln>
                  </pic:spPr>
                </pic:pic>
              </a:graphicData>
            </a:graphic>
          </wp:inline>
        </w:drawing>
      </w:r>
    </w:p>
    <w:bookmarkEnd w:id="216"/>
    <w:bookmarkStart w:id="220" w:name="raison-dinstallation"/>
    <w:p>
      <w:pPr>
        <w:pStyle w:val="Titre3"/>
      </w:pPr>
      <w:r>
        <w:t xml:space="preserve">2.1.5 Raison d’installation</w:t>
      </w:r>
    </w:p>
    <w:p>
      <w:pPr>
        <w:pStyle w:val="FirstParagraph"/>
      </w:pPr>
      <w:r>
        <w:t xml:space="preserve">Les raisons d’installation des CM et conjoints non originaires du lieu éclairent les motivations migratoires.</w:t>
      </w:r>
      <w:r>
        <w:t xml:space="preserve"> </w:t>
      </w:r>
      <w:r>
        <w:t xml:space="preserve">Elles distinguent notamment les installations liées au mariage de celles motivées par les opportunités économiques (travail agricole ou non agricole).</w:t>
      </w:r>
    </w:p>
    <w:p>
      <w:pPr>
        <w:pStyle w:val="Corpsdetexte"/>
      </w:pPr>
      <w:r>
        <w:t xml:space="preserve">À Alaotra, les motifs sociaux liés à la naissance, au mariage et aux attaches familiales constituent la principale raison d’implantation, aussi bien pour les conjoints (92.7%) que pour les chefs de ménage (90.3%). Les motivations d’ordre économique, liées au travail ou à l’accès aux ressources, ainsi que les autres motifs conjoncturels, demeurent marginales et restent toutes inférieures à 10% dans cet observatoire.</w:t>
      </w:r>
    </w:p>
    <w:p>
      <w:pPr>
        <w:pStyle w:val="Corpsdetexte"/>
      </w:pPr>
      <w:r>
        <w:t xml:space="preserve">À Marovoay, les raisons sociales représentent également le principal motif d’implantation, avec 89.6% des conjoints et 83.8% des chefs de ménage concernés. Les motivations économiques, associées au travail et à l’accès aux ressources, occupent une place plus importante chez les chefs de ménage, où elles atteignent 15.6%, contre 9.8% chez les conjoints.</w:t>
      </w:r>
    </w:p>
    <w:p>
      <w:pPr>
        <w:pStyle w:val="Corpsdetexte"/>
      </w:pPr>
      <w:r>
        <w:drawing>
          <wp:inline>
            <wp:extent cx="4620126" cy="3696101"/>
            <wp:effectExtent b="0" l="0" r="0" t="0"/>
            <wp:docPr descr="" title="" id="218" name="Picture"/>
            <a:graphic>
              <a:graphicData uri="http://schemas.openxmlformats.org/drawingml/2006/picture">
                <pic:pic>
                  <pic:nvPicPr>
                    <pic:cNvPr descr="02_structure_menages_files/figure-docx/fig_raison-1.png" id="219" name="Picture"/>
                    <pic:cNvPicPr>
                      <a:picLocks noChangeArrowheads="1" noChangeAspect="1"/>
                    </pic:cNvPicPr>
                  </pic:nvPicPr>
                  <pic:blipFill>
                    <a:blip r:embed="rId217"/>
                    <a:stretch>
                      <a:fillRect/>
                    </a:stretch>
                  </pic:blipFill>
                  <pic:spPr bwMode="auto">
                    <a:xfrm>
                      <a:off x="0" y="0"/>
                      <a:ext cx="4620126" cy="3696101"/>
                    </a:xfrm>
                    <a:prstGeom prst="rect">
                      <a:avLst/>
                    </a:prstGeom>
                    <a:noFill/>
                    <a:ln w="9525">
                      <a:noFill/>
                      <a:headEnd/>
                      <a:tailEnd/>
                    </a:ln>
                  </pic:spPr>
                </pic:pic>
              </a:graphicData>
            </a:graphic>
          </wp:inline>
        </w:drawing>
      </w:r>
    </w:p>
    <w:bookmarkEnd w:id="220"/>
    <w:bookmarkEnd w:id="221"/>
    <w:bookmarkStart w:id="253" w:name="caractéristiques-des-chefs-de-ménages"/>
    <w:p>
      <w:pPr>
        <w:pStyle w:val="Titre2"/>
      </w:pPr>
      <w:r>
        <w:t xml:space="preserve">2.2 Caractéristiques des chefs de ménages</w:t>
      </w:r>
    </w:p>
    <w:p>
      <w:pPr>
        <w:pStyle w:val="FirstParagraph"/>
      </w:pPr>
      <w:r>
        <w:t xml:space="preserve">Cette section analyse le profil des chefs de ménage dans les deux observatoires, en examinant notamment leurs caractéristiques socio-démographiques, leur niveau d’éducation, leur alphabétisation, ainsi que leurs activités principales.</w:t>
      </w:r>
    </w:p>
    <w:bookmarkStart w:id="225" w:name="caractéristiques-socio-démographiques"/>
    <w:p>
      <w:pPr>
        <w:pStyle w:val="Titre3"/>
      </w:pPr>
      <w:r>
        <w:t xml:space="preserve">2.2.1 Caractéristiques socio-démographiques</w:t>
      </w:r>
    </w:p>
    <w:p>
      <w:pPr>
        <w:pStyle w:val="FirstParagraph"/>
      </w:pPr>
      <w:r>
        <w:t xml:space="preserve">Le profil des chefs de ménage (CM) est décrit ci-dessous.</w:t>
      </w:r>
    </w:p>
    <w:p>
      <w:pPr>
        <w:pStyle w:val="Corpsdetexte"/>
      </w:pPr>
      <w:r>
        <w:t xml:space="preserve">Dans l’Alaotra, 78.3 % des CM sont des hommes, soit 21.7 % de ménages dirigés par des femmes.</w:t>
      </w:r>
      <w:r>
        <w:t xml:space="preserve"> </w:t>
      </w:r>
      <w:r>
        <w:t xml:space="preserve">L’âge moyen des CM est de 45.4 ans.</w:t>
      </w:r>
      <w:r>
        <w:t xml:space="preserve"> </w:t>
      </w:r>
      <w:r>
        <w:t xml:space="preserve">Sur le plan conjugal, 74.2 % des CM vivent en couple (mariés ou en concubinage).</w:t>
      </w:r>
    </w:p>
    <w:p>
      <w:pPr>
        <w:pStyle w:val="Corpsdetexte"/>
      </w:pPr>
      <w:r>
        <w:t xml:space="preserve">A Marovoay, 78 % des CM sont des hommes, soit 22 % de ménages dirigés par des femmes.</w:t>
      </w:r>
      <w:r>
        <w:t xml:space="preserve"> </w:t>
      </w:r>
      <w:r>
        <w:t xml:space="preserve">L’âge moyen des CM est de 46.1 ans.</w:t>
      </w:r>
      <w:r>
        <w:t xml:space="preserve"> </w:t>
      </w:r>
      <w:r>
        <w:t xml:space="preserve">Sur le plan conjugal, 73 % des CM vivent en couple (mariés ou en concubinage).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c>
          <w:tcPr/>
          <w:p>
            <w:pPr>
              <w:pStyle w:val="Compact"/>
              <w:jc w:val="right"/>
            </w:pPr>
            <w:r>
              <w:t xml:space="preserve">Marovoay</w:t>
            </w:r>
          </w:p>
        </w:tc>
      </w:tr>
      <w:tr>
        <w:tc>
          <w:tcPr>
            <w:gridSpan w:val="3"/>
          </w:tcPr>
          <w:p>
            <w:pPr>
              <w:pStyle w:val="Compact"/>
              <w:jc w:val="left"/>
            </w:pPr>
            <w:r>
              <w:t xml:space="preserve">Sexe</w:t>
            </w:r>
          </w:p>
        </w:tc>
      </w:tr>
      <w:tr>
        <w:tc>
          <w:tcPr/>
          <w:p>
            <w:pPr>
              <w:pStyle w:val="Compact"/>
              <w:jc w:val="left"/>
            </w:pPr>
            <w:r>
              <w:t xml:space="preserve">Femme</w:t>
            </w:r>
          </w:p>
        </w:tc>
        <w:tc>
          <w:tcPr/>
          <w:p>
            <w:pPr>
              <w:pStyle w:val="Compact"/>
              <w:jc w:val="right"/>
            </w:pPr>
            <w:r>
              <w:t xml:space="preserve">21.7%</w:t>
            </w:r>
          </w:p>
        </w:tc>
        <w:tc>
          <w:tcPr/>
          <w:p>
            <w:pPr>
              <w:pStyle w:val="Compact"/>
              <w:jc w:val="right"/>
            </w:pPr>
            <w:r>
              <w:t xml:space="preserve">22%</w:t>
            </w:r>
          </w:p>
        </w:tc>
      </w:tr>
      <w:tr>
        <w:tc>
          <w:tcPr/>
          <w:p>
            <w:pPr>
              <w:pStyle w:val="Compact"/>
              <w:jc w:val="left"/>
            </w:pPr>
            <w:r>
              <w:t xml:space="preserve">Homme</w:t>
            </w:r>
          </w:p>
        </w:tc>
        <w:tc>
          <w:tcPr/>
          <w:p>
            <w:pPr>
              <w:pStyle w:val="Compact"/>
              <w:jc w:val="right"/>
            </w:pPr>
            <w:r>
              <w:t xml:space="preserve">78.3%</w:t>
            </w:r>
          </w:p>
        </w:tc>
        <w:tc>
          <w:tcPr/>
          <w:p>
            <w:pPr>
              <w:pStyle w:val="Compact"/>
              <w:jc w:val="right"/>
            </w:pPr>
            <w:r>
              <w:t xml:space="preserve">78%</w:t>
            </w:r>
          </w:p>
        </w:tc>
      </w:tr>
      <w:tr>
        <w:tc>
          <w:tcPr>
            <w:gridSpan w:val="3"/>
          </w:tcPr>
          <w:p>
            <w:pPr>
              <w:pStyle w:val="Compact"/>
              <w:jc w:val="left"/>
            </w:pPr>
            <w:r>
              <w:t xml:space="preserve">Âge</w:t>
            </w:r>
          </w:p>
        </w:tc>
      </w:tr>
      <w:tr>
        <w:tc>
          <w:tcPr/>
          <w:p>
            <w:pPr>
              <w:pStyle w:val="Compact"/>
              <w:jc w:val="left"/>
            </w:pPr>
            <w:r>
              <w:t xml:space="preserve">Minimum</w:t>
            </w:r>
          </w:p>
        </w:tc>
        <w:tc>
          <w:tcPr/>
          <w:p>
            <w:pPr>
              <w:pStyle w:val="Compact"/>
              <w:jc w:val="right"/>
            </w:pPr>
            <w:r>
              <w:t xml:space="preserve">16</w:t>
            </w:r>
          </w:p>
        </w:tc>
        <w:tc>
          <w:tcPr/>
          <w:p>
            <w:pPr>
              <w:pStyle w:val="Compact"/>
              <w:jc w:val="right"/>
            </w:pPr>
            <w:r>
              <w:t xml:space="preserve">18</w:t>
            </w:r>
          </w:p>
        </w:tc>
      </w:tr>
      <w:tr>
        <w:tc>
          <w:tcPr/>
          <w:p>
            <w:pPr>
              <w:pStyle w:val="Compact"/>
              <w:jc w:val="left"/>
            </w:pPr>
            <w:r>
              <w:t xml:space="preserve">Mode</w:t>
            </w:r>
          </w:p>
        </w:tc>
        <w:tc>
          <w:tcPr/>
          <w:p>
            <w:pPr>
              <w:pStyle w:val="Compact"/>
              <w:jc w:val="right"/>
            </w:pPr>
            <w:r>
              <w:t xml:space="preserve">27</w:t>
            </w:r>
          </w:p>
        </w:tc>
        <w:tc>
          <w:tcPr/>
          <w:p>
            <w:pPr>
              <w:pStyle w:val="Compact"/>
              <w:jc w:val="right"/>
            </w:pPr>
            <w:r>
              <w:t xml:space="preserve">36</w:t>
            </w:r>
          </w:p>
        </w:tc>
      </w:tr>
      <w:tr>
        <w:tc>
          <w:tcPr/>
          <w:p>
            <w:pPr>
              <w:pStyle w:val="Compact"/>
              <w:jc w:val="left"/>
            </w:pPr>
            <w:r>
              <w:t xml:space="preserve">Médiane</w:t>
            </w:r>
          </w:p>
        </w:tc>
        <w:tc>
          <w:tcPr/>
          <w:p>
            <w:pPr>
              <w:pStyle w:val="Compact"/>
              <w:jc w:val="right"/>
            </w:pPr>
            <w:r>
              <w:t xml:space="preserve">43</w:t>
            </w:r>
          </w:p>
        </w:tc>
        <w:tc>
          <w:tcPr/>
          <w:p>
            <w:pPr>
              <w:pStyle w:val="Compact"/>
              <w:jc w:val="right"/>
            </w:pPr>
            <w:r>
              <w:t xml:space="preserve">45</w:t>
            </w:r>
          </w:p>
        </w:tc>
      </w:tr>
      <w:tr>
        <w:tc>
          <w:tcPr/>
          <w:p>
            <w:pPr>
              <w:pStyle w:val="Compact"/>
              <w:jc w:val="left"/>
            </w:pPr>
            <w:r>
              <w:t xml:space="preserve">Moyenne</w:t>
            </w:r>
          </w:p>
        </w:tc>
        <w:tc>
          <w:tcPr/>
          <w:p>
            <w:pPr>
              <w:pStyle w:val="Compact"/>
              <w:jc w:val="right"/>
            </w:pPr>
            <w:r>
              <w:t xml:space="preserve">45</w:t>
            </w:r>
          </w:p>
        </w:tc>
        <w:tc>
          <w:tcPr/>
          <w:p>
            <w:pPr>
              <w:pStyle w:val="Compact"/>
              <w:jc w:val="right"/>
            </w:pPr>
            <w:r>
              <w:t xml:space="preserve">46</w:t>
            </w:r>
          </w:p>
        </w:tc>
      </w:tr>
      <w:tr>
        <w:tc>
          <w:tcPr/>
          <w:p>
            <w:pPr>
              <w:pStyle w:val="Compact"/>
              <w:jc w:val="left"/>
            </w:pPr>
            <w:r>
              <w:t xml:space="preserve">Maximum</w:t>
            </w:r>
          </w:p>
        </w:tc>
        <w:tc>
          <w:tcPr/>
          <w:p>
            <w:pPr>
              <w:pStyle w:val="Compact"/>
              <w:jc w:val="right"/>
            </w:pPr>
            <w:r>
              <w:t xml:space="preserve">90</w:t>
            </w:r>
          </w:p>
        </w:tc>
        <w:tc>
          <w:tcPr/>
          <w:p>
            <w:pPr>
              <w:pStyle w:val="Compact"/>
              <w:jc w:val="right"/>
            </w:pPr>
            <w:r>
              <w:t xml:space="preserve">96</w:t>
            </w:r>
          </w:p>
        </w:tc>
      </w:tr>
      <w:tr>
        <w:tc>
          <w:tcPr>
            <w:gridSpan w:val="3"/>
          </w:tcPr>
          <w:p>
            <w:pPr>
              <w:pStyle w:val="Compact"/>
              <w:jc w:val="left"/>
            </w:pPr>
            <w:r>
              <w:rPr>
                <w:vertAlign w:val="superscript"/>
              </w:rPr>
              <w:t xml:space="preserve">1</w:t>
            </w:r>
            <w:r>
              <w:t xml:space="preserve"> </w:t>
            </w:r>
            <w:r>
              <w:t xml:space="preserve">Sexe : effectifs et pourcentages. Âge : statistiques descriptives.</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4620126"/>
            <wp:effectExtent b="0" l="0" r="0" t="0"/>
            <wp:docPr descr="Statut matrimonial des chefs de ménage" title="" id="223" name="Picture"/>
            <a:graphic>
              <a:graphicData uri="http://schemas.openxmlformats.org/drawingml/2006/picture">
                <pic:pic>
                  <pic:nvPicPr>
                    <pic:cNvPr descr="02_structure_menages_files/figure-docx/fig_cm_statut-1.png" id="224" name="Picture"/>
                    <pic:cNvPicPr>
                      <a:picLocks noChangeArrowheads="1" noChangeAspect="1"/>
                    </pic:cNvPicPr>
                  </pic:nvPicPr>
                  <pic:blipFill>
                    <a:blip r:embed="rId222"/>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Statut matrimonial des chefs de ménage</w:t>
      </w:r>
    </w:p>
    <w:bookmarkEnd w:id="225"/>
    <w:bookmarkStart w:id="234"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w:t>
      </w:r>
      <w:r>
        <w:t xml:space="preserve"> </w:t>
      </w:r>
      <w:r>
        <w:t xml:space="preserve">L’analyse croisée par sexe met en évidence des disparités supplémentaires.</w:t>
      </w:r>
    </w:p>
    <w:bookmarkStart w:id="229" w:name="niveau-déducation-du-chef-de-ménage"/>
    <w:p>
      <w:pPr>
        <w:pStyle w:val="Titre4"/>
      </w:pPr>
      <w:r>
        <w:t xml:space="preserve">2.2.2.1 Niveau d’éducation du Chef de ménage</w:t>
      </w:r>
    </w:p>
    <w:p>
      <w:pPr>
        <w:pStyle w:val="FirstParagraph"/>
      </w:pPr>
      <w:r>
        <w:t xml:space="preserve">A Alaotra, le profil éducatif des chefs de ménage de l’Alaotra montre une forte prédominance de l’instruction primaire qui concerne 60.6 % de cet effectif. La zone affiche une performance notable en termes d’accès de base, puisque le taux de non-scolarisation est contenu à 7.9 %. L’accès au premier cycle du secondaire reste significatif pour 21.5 % des ménages.</w:t>
      </w:r>
    </w:p>
    <w:p>
      <w:pPr>
        <w:pStyle w:val="Corpsdetexte"/>
      </w:pPr>
      <w:r>
        <w:t xml:space="preserve">À Marovoay, la structure éducative est plus hétérogène avec une part de non-scolarisation de 13.9 %. Si le niveau primaire demeure la référence pour 51.8 % des chefs, on note paradoxalement une insertion plus forte dans le premier cycle secondaire qui atteint 25.0 %. Ces chiffres traduisent une disparité interne plus marquée dans l’accès aux cycles d’études au sein de cet observatoire.</w:t>
      </w:r>
    </w:p>
    <w:p>
      <w:pPr>
        <w:pStyle w:val="CaptionedFigure"/>
      </w:pPr>
      <w:r>
        <w:drawing>
          <wp:inline>
            <wp:extent cx="4620126" cy="3696101"/>
            <wp:effectExtent b="0" l="0" r="0" t="0"/>
            <wp:docPr descr="Niveau d’éducation des chefs de ménage" title="" id="227" name="Picture"/>
            <a:graphic>
              <a:graphicData uri="http://schemas.openxmlformats.org/drawingml/2006/picture">
                <pic:pic>
                  <pic:nvPicPr>
                    <pic:cNvPr descr="02_structure_menages_files/figure-docx/fig_cm_educ-1.png" id="228" name="Picture"/>
                    <pic:cNvPicPr>
                      <a:picLocks noChangeArrowheads="1" noChangeAspect="1"/>
                    </pic:cNvPicPr>
                  </pic:nvPicPr>
                  <pic:blipFill>
                    <a:blip r:embed="rId22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chefs de ménage</w:t>
      </w:r>
    </w:p>
    <w:bookmarkEnd w:id="229"/>
    <w:bookmarkStart w:id="233" w:name="X4a3ba4957ab1c055d132d85a923cd063717f406"/>
    <w:p>
      <w:pPr>
        <w:pStyle w:val="Titre4"/>
      </w:pPr>
      <w:r>
        <w:t xml:space="preserve">2.2.2.2 Niveau d’éducation des chefs de ménages par sexe</w:t>
      </w:r>
    </w:p>
    <w:p>
      <w:pPr>
        <w:pStyle w:val="FirstParagraph"/>
      </w:pPr>
      <w:r>
        <w:t xml:space="preserve">Il existe un fossé de genre persistant pour l’accès aux études longues : les hommes chefs de ménage ont environ deux fois plus de chances d’atteindre le second cycle du secondaire ou le niveau supérieur par rapport aux femmes, et ce, dans les deux observatoires. Le niveau</w:t>
      </w:r>
      <w:r>
        <w:t xml:space="preserve"> </w:t>
      </w:r>
      <w:r>
        <w:t xml:space="preserve">“Primaire”</w:t>
      </w:r>
      <w:r>
        <w:t xml:space="preserve"> </w:t>
      </w:r>
      <w:r>
        <w:t xml:space="preserve">reste le socle commun le plus fréquent pour les deux sexes, oscillant entre 49 % et 64 % selon les catégories.</w:t>
      </w:r>
    </w:p>
    <w:p>
      <w:pPr>
        <w:pStyle w:val="Corpsdetexte"/>
      </w:pPr>
      <w:r>
        <w:t xml:space="preserve">A Alaotra, Le niveau primaire reste le socle commun pour les deux sexes, bien que légèrement plus élevé chez les femmes (63.6 % contre 59.7 % pour les hommes). L’accès au niveau secondaire 2ème cycle et supérieur est deux fois plus fréquent chez les hommes (8.8 %) que chez les femmes (4.5 %). Cette situation est marquée par une vulnérabilité des femmes à la base. Une disparité de genre marquée s’observe dès la non-scolarisation. Les femmes chefs de ménage sont nettement plus nombreuses à n’avoir jamais fréquenté l’école (14.5 %) par rapport aux hommes (6 %).</w:t>
      </w:r>
    </w:p>
    <w:p>
      <w:pPr>
        <w:pStyle w:val="Corpsdetexte"/>
      </w:pPr>
      <w:r>
        <w:t xml:space="preserve">A Marovoay, les femmes chefs de ménage présentent des taux d’instruction nettement plus faibles que les hommes, ce qui accentue leur vulnérabilité socio-économique. Les hommes sont deux fois plus nombreux (9.1 %) que les femmes (4.4 %) à atteindre les cycles d’études les plus longs. Si les femmes de Marovoay accèdent plus souvent à l’école que les hommes (moins de non-scolarisées et plus de niveau primaire avec 61.4 %), elles sont plus précocement limitées dans leur progression vers les niveaux secondaires et supérieurs par rapport à leurs homologues masculins. Contrairement à la tendance habituelle, le taux de non-scolarisation est plus élevé chez les chefs de ménage hommes (14.6 %) que chez les femmes (11.4 %).</w:t>
      </w:r>
    </w:p>
    <w:p>
      <w:pPr>
        <w:pStyle w:val="CaptionedFigure"/>
      </w:pPr>
      <w:r>
        <w:drawing>
          <wp:inline>
            <wp:extent cx="4620126" cy="3696101"/>
            <wp:effectExtent b="0" l="0" r="0" t="0"/>
            <wp:docPr descr="Niveau d’éducation des CM par sexe" title="" id="231" name="Picture"/>
            <a:graphic>
              <a:graphicData uri="http://schemas.openxmlformats.org/drawingml/2006/picture">
                <pic:pic>
                  <pic:nvPicPr>
                    <pic:cNvPr descr="02_structure_menages_files/figure-docx/fig_cm_educ_sex-1.png" id="232" name="Picture"/>
                    <pic:cNvPicPr>
                      <a:picLocks noChangeArrowheads="1" noChangeAspect="1"/>
                    </pic:cNvPicPr>
                  </pic:nvPicPr>
                  <pic:blipFill>
                    <a:blip r:embed="rId23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CM par sexe</w:t>
      </w:r>
    </w:p>
    <w:bookmarkEnd w:id="233"/>
    <w:bookmarkEnd w:id="234"/>
    <w:bookmarkStart w:id="243"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w:t>
      </w:r>
      <w:r>
        <w:t xml:space="preserve"> </w:t>
      </w:r>
      <w:r>
        <w:t xml:space="preserve">Les sections suivantes détaillent les compétences en lecture et en écriture séparément, en distinguant trois niveaux : lecture/écriture aisée, avec effort, ou absente.</w:t>
      </w:r>
    </w:p>
    <w:bookmarkStart w:id="238" w:name="savoir-lire"/>
    <w:p>
      <w:pPr>
        <w:pStyle w:val="Titre4"/>
      </w:pPr>
      <w:r>
        <w:t xml:space="preserve">2.2.3.1 Savoir lire</w:t>
      </w:r>
    </w:p>
    <w:p>
      <w:pPr>
        <w:pStyle w:val="FirstParagraph"/>
      </w:pPr>
      <w:r>
        <w:t xml:space="preserve">L’aptitude à la lecture est nettement supérieure dans le bassin de l’Alaotra. À Marovoay, un Chef de ménage sur 5 ne sait pas lire du tout.</w:t>
      </w:r>
    </w:p>
    <w:p>
      <w:pPr>
        <w:pStyle w:val="Corpsdetexte"/>
      </w:pPr>
      <w:r>
        <w:t xml:space="preserve">Dans l’Alaotra, 84.4 % des CM savent lire aisément.</w:t>
      </w:r>
    </w:p>
    <w:p>
      <w:pPr>
        <w:pStyle w:val="Corpsdetexte"/>
      </w:pPr>
      <w:r>
        <w:t xml:space="preserve">A Marovoay, 74 % des CM savent lire aisément.</w:t>
      </w:r>
      <w:r>
        <w:t xml:space="preserve"> </w:t>
      </w:r>
      <w:r>
        <w:t xml:space="preserve">Les niveaux de lecture et d’écriture varient sensiblement selon les localités et le sexe.</w:t>
      </w:r>
      <w:r>
        <w:t xml:space="preserve"> </w:t>
      </w:r>
      <w:r>
        <w:t xml:space="preserve">L’écart entre hommes et femmes en matière d’alphabétisation traduit un accès inégal à l’éducation qui se répercute sur la capacité des ménages féminins à accéder à l’information et aux services.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chefs de ménage</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84.4%</w:t>
            </w:r>
          </w:p>
        </w:tc>
        <w:tc>
          <w:tcPr/>
          <w:p>
            <w:pPr>
              <w:pStyle w:val="Compact"/>
              <w:jc w:val="right"/>
            </w:pPr>
            <w:r>
              <w:t xml:space="preserve">74%</w:t>
            </w:r>
          </w:p>
        </w:tc>
      </w:tr>
      <w:tr>
        <w:tc>
          <w:tcPr/>
          <w:p>
            <w:pPr>
              <w:pStyle w:val="Compact"/>
              <w:jc w:val="center"/>
            </w:pPr>
            <w:r>
              <w:t xml:space="preserve">Avec effort</w:t>
            </w:r>
          </w:p>
        </w:tc>
        <w:tc>
          <w:tcPr/>
          <w:p>
            <w:pPr>
              <w:pStyle w:val="Compact"/>
              <w:jc w:val="right"/>
            </w:pPr>
            <w:r>
              <w:t xml:space="preserve">6.3%</w:t>
            </w:r>
          </w:p>
        </w:tc>
        <w:tc>
          <w:tcPr/>
          <w:p>
            <w:pPr>
              <w:pStyle w:val="Compact"/>
              <w:jc w:val="right"/>
            </w:pPr>
            <w:r>
              <w:t xml:space="preserve">6%</w:t>
            </w:r>
          </w:p>
        </w:tc>
      </w:tr>
      <w:tr>
        <w:tc>
          <w:tcPr/>
          <w:p>
            <w:pPr>
              <w:pStyle w:val="Compact"/>
              <w:jc w:val="center"/>
            </w:pPr>
            <w:r>
              <w:t xml:space="preserve">Non</w:t>
            </w:r>
          </w:p>
        </w:tc>
        <w:tc>
          <w:tcPr/>
          <w:p>
            <w:pPr>
              <w:pStyle w:val="Compact"/>
              <w:jc w:val="right"/>
            </w:pPr>
            <w:r>
              <w:t xml:space="preserve">9.3%</w:t>
            </w:r>
          </w:p>
        </w:tc>
        <w:tc>
          <w:tcPr/>
          <w:p>
            <w:pPr>
              <w:pStyle w:val="Compact"/>
              <w:jc w:val="right"/>
            </w:pPr>
            <w:r>
              <w:t xml:space="preserve">20%</w:t>
            </w:r>
          </w:p>
        </w:tc>
      </w:tr>
      <w:tr>
        <w:tc>
          <w:tcPr>
            <w:gridSpan w:val="3"/>
          </w:tcPr>
          <w:p>
            <w:pPr>
              <w:pStyle w:val="Compact"/>
              <w:jc w:val="center"/>
            </w:pPr>
            <w:r>
              <w:rPr>
                <w:b/>
                <w:bCs/>
              </w:rPr>
              <w:t xml:space="preserve">Source : Enquête auprès des OR 2025</w:t>
            </w:r>
          </w:p>
        </w:tc>
      </w:tr>
    </w:tbl>
    <w:p>
      <w:pPr>
        <w:pStyle w:val="Corpsdetexte"/>
      </w:pPr>
      <w:r>
        <w:t xml:space="preserve">À Alaotra, la majorité des chefs de ménage savent lire, avec une proportion plus élevée chez les hommes (85.9%) que chez les femmes (79.1%). En revanche, la non-aptitude à la lecture est davantage observée chez les femmes, dont 16.4% déclarent ne pas savoir lire contre 7.3% des hommes.</w:t>
      </w:r>
    </w:p>
    <w:p>
      <w:pPr>
        <w:pStyle w:val="Corpsdetexte"/>
      </w:pPr>
      <w:r>
        <w:t xml:space="preserve">À Marovoay, les niveaux d’aptitude à la lecture sont relativement similaires entre les sexes, avec 74.6% des femmes et 73.8% des hommes sachant lire. À l’inverse, les proportions de chefs de ménage ne sachant pas lire demeurent importantes, atteignant 20.5% chez les hommes et 18.4% chez les femmes.</w:t>
      </w:r>
    </w:p>
    <w:p>
      <w:pPr>
        <w:pStyle w:val="Corpsdetexte"/>
      </w:pPr>
      <w:r>
        <w:t xml:space="preserve">La lecture avec difficulté concerne une faible proportion des chefs de ménage quelque soit leur genre.</w:t>
      </w:r>
    </w:p>
    <w:p>
      <w:pPr>
        <w:pStyle w:val="CaptionedFigure"/>
      </w:pPr>
      <w:r>
        <w:drawing>
          <wp:inline>
            <wp:extent cx="4620126" cy="3696101"/>
            <wp:effectExtent b="0" l="0" r="0" t="0"/>
            <wp:docPr descr="Aptitude à la lecture des CM selon le sexe" title="" id="236" name="Picture"/>
            <a:graphic>
              <a:graphicData uri="http://schemas.openxmlformats.org/drawingml/2006/picture">
                <pic:pic>
                  <pic:nvPicPr>
                    <pic:cNvPr descr="02_structure_menages_files/figure-docx/fig_cm_read_sex-1.png" id="237" name="Picture"/>
                    <pic:cNvPicPr>
                      <a:picLocks noChangeArrowheads="1" noChangeAspect="1"/>
                    </pic:cNvPicPr>
                  </pic:nvPicPr>
                  <pic:blipFill>
                    <a:blip r:embed="rId23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238"/>
    <w:bookmarkStart w:id="242" w:name="savoir-écrire"/>
    <w:p>
      <w:pPr>
        <w:pStyle w:val="Titre4"/>
      </w:pPr>
      <w:r>
        <w:t xml:space="preserve">2.2.3.2 Savoir écrire</w:t>
      </w:r>
    </w:p>
    <w:p>
      <w:pPr>
        <w:pStyle w:val="FirstParagraph"/>
      </w:pPr>
      <w:r>
        <w:t xml:space="preserve">On observe une corrélation presque parfaite entre lecture et écriture dans les deux zones.</w:t>
      </w:r>
    </w:p>
    <w:p>
      <w:pPr>
        <w:pStyle w:val="Corpsdetexte"/>
      </w:pPr>
      <w:r>
        <w:t xml:space="preserve">A Alaotra, les difficultés d’écriture concernent 15.6 % des chefs de ménage, ce qui correspond au cumul de ceux qui ne savent pas écrire (10.3 %) et de ceux qui écrivent avec effort (5.3 %). Ce résultat témoigne d’un niveau d’alphabétisation relativement élevé dans cette zone, où 84.4 % des chefs de ménage maîtrisent l’écriture sans difficulté.</w:t>
      </w:r>
    </w:p>
    <w:p>
      <w:pPr>
        <w:pStyle w:val="Corpsdetexte"/>
      </w:pPr>
      <w:r>
        <w:t xml:space="preserve">À Marovoay, la proportion de chefs de ménage rencontrant des obstacles face à l’écrit est nettement plus marquée, atteignant 27.1 %. Ce groupe se compose de 20.4 % de personnes incapables d’écrire et de 6.7 % de personnes le faisant avec effort.</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chefs de ménage</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84.4%</w:t>
            </w:r>
          </w:p>
        </w:tc>
        <w:tc>
          <w:tcPr/>
          <w:p>
            <w:pPr>
              <w:pStyle w:val="Compact"/>
              <w:jc w:val="right"/>
            </w:pPr>
            <w:r>
              <w:t xml:space="preserve">72.8%</w:t>
            </w:r>
          </w:p>
        </w:tc>
      </w:tr>
      <w:tr>
        <w:tc>
          <w:tcPr/>
          <w:p>
            <w:pPr>
              <w:pStyle w:val="Compact"/>
              <w:jc w:val="center"/>
            </w:pPr>
            <w:r>
              <w:t xml:space="preserve">Avec effort</w:t>
            </w:r>
          </w:p>
        </w:tc>
        <w:tc>
          <w:tcPr/>
          <w:p>
            <w:pPr>
              <w:pStyle w:val="Compact"/>
              <w:jc w:val="right"/>
            </w:pPr>
            <w:r>
              <w:t xml:space="preserve">5.3%</w:t>
            </w:r>
          </w:p>
        </w:tc>
        <w:tc>
          <w:tcPr/>
          <w:p>
            <w:pPr>
              <w:pStyle w:val="Compact"/>
              <w:jc w:val="right"/>
            </w:pPr>
            <w:r>
              <w:t xml:space="preserve">6.7%</w:t>
            </w:r>
          </w:p>
        </w:tc>
      </w:tr>
      <w:tr>
        <w:tc>
          <w:tcPr/>
          <w:p>
            <w:pPr>
              <w:pStyle w:val="Compact"/>
              <w:jc w:val="center"/>
            </w:pPr>
            <w:r>
              <w:t xml:space="preserve">Non</w:t>
            </w:r>
          </w:p>
        </w:tc>
        <w:tc>
          <w:tcPr/>
          <w:p>
            <w:pPr>
              <w:pStyle w:val="Compact"/>
              <w:jc w:val="right"/>
            </w:pPr>
            <w:r>
              <w:t xml:space="preserve">10.3%</w:t>
            </w:r>
          </w:p>
        </w:tc>
        <w:tc>
          <w:tcPr/>
          <w:p>
            <w:pPr>
              <w:pStyle w:val="Compact"/>
              <w:jc w:val="right"/>
            </w:pPr>
            <w:r>
              <w:t xml:space="preserve">20.4%</w:t>
            </w:r>
          </w:p>
        </w:tc>
      </w:tr>
      <w:tr>
        <w:tc>
          <w:tcPr>
            <w:gridSpan w:val="3"/>
          </w:tcPr>
          <w:p>
            <w:pPr>
              <w:pStyle w:val="Compact"/>
              <w:jc w:val="center"/>
            </w:pPr>
            <w:r>
              <w:rPr>
                <w:b/>
                <w:bCs/>
              </w:rPr>
              <w:t xml:space="preserve">Source : Enquête auprès des OR 2025</w:t>
            </w:r>
          </w:p>
        </w:tc>
      </w:tr>
    </w:tbl>
    <w:p>
      <w:pPr>
        <w:pStyle w:val="Corpsdetexte"/>
      </w:pPr>
      <w:r>
        <w:t xml:space="preserve">À Alaotra, la majorité des chefs de ménage savent écrire, avec une proportion plus élevée chez les hommes (85.9%) que chez les femmes (79.1%). En revanche, la non-aptitude à l’écriture est davantage observée chez les femmes, dont 16.4% déclarent ne pas savoir écrire, contre 8.6% des hommes.</w:t>
      </w:r>
    </w:p>
    <w:p>
      <w:pPr>
        <w:pStyle w:val="Corpsdetexte"/>
      </w:pPr>
      <w:r>
        <w:t xml:space="preserve">À Marovoay, les niveaux d’aptitude à l’écriture sont relativement proches entre les sexes, avec 73.7% des femmes et 72.6% des hommes sachant écrire. Par ailleurs, les proportions de chefs de ménage ne sachant pas écrire demeurent importantes, atteignant 20.7% chez les hommes et 19.3% chez les femmes.</w:t>
      </w:r>
    </w:p>
    <w:p>
      <w:pPr>
        <w:pStyle w:val="Corpsdetexte"/>
      </w:pPr>
      <w:r>
        <w:t xml:space="preserve">Les chefs de ménage capables d’écrire avec difficulté restent peu nombreux.</w:t>
      </w:r>
    </w:p>
    <w:p>
      <w:pPr>
        <w:pStyle w:val="CaptionedFigure"/>
      </w:pPr>
      <w:r>
        <w:drawing>
          <wp:inline>
            <wp:extent cx="4620126" cy="3696101"/>
            <wp:effectExtent b="0" l="0" r="0" t="0"/>
            <wp:docPr descr="Aptitude à l’écriture des CM selon le sexe" title="" id="240" name="Picture"/>
            <a:graphic>
              <a:graphicData uri="http://schemas.openxmlformats.org/drawingml/2006/picture">
                <pic:pic>
                  <pic:nvPicPr>
                    <pic:cNvPr descr="02_structure_menages_files/figure-docx/fig_cm_write_sex-1.png" id="241" name="Picture"/>
                    <pic:cNvPicPr>
                      <a:picLocks noChangeArrowheads="1" noChangeAspect="1"/>
                    </pic:cNvPicPr>
                  </pic:nvPicPr>
                  <pic:blipFill>
                    <a:blip r:embed="rId23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242"/>
    <w:bookmarkEnd w:id="243"/>
    <w:bookmarkStart w:id="252"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w:t>
      </w:r>
      <w:r>
        <w:t xml:space="preserve"> </w:t>
      </w:r>
      <w:r>
        <w:t xml:space="preserve">Les activités sont regroupées en catégories sectorielles inspirées de la CITI Rév.</w:t>
      </w:r>
      <w:r>
        <w:t xml:space="preserve"> </w:t>
      </w:r>
      <w:r>
        <w:t xml:space="preserve">4 afin de garantir un effectif suffisant dans chaque classe et de préserver la confidentialité statistique.</w:t>
      </w:r>
    </w:p>
    <w:p>
      <w:pPr>
        <w:pStyle w:val="Corpsdetexte"/>
      </w:pPr>
      <w:r>
        <w:t xml:space="preserve">L’activité de «Cultivateur exploitant» occupe une place importante dans les deux OR. Les proportions des ouvriers agricoles indiquent un recours plus fréquent au salariat.</w:t>
      </w:r>
    </w:p>
    <w:p>
      <w:pPr>
        <w:pStyle w:val="Corpsdetexte"/>
      </w:pPr>
      <w:r>
        <w:t xml:space="preserve">A Alaotra, la structure productive de cette zone est marquée par une forte prédominance des cultivateurs exploitants qui représentent 60.4 % des chefs de ménage. Le recours au salariat agricole est illustré par les ouvriers agricoles qui constituent 12.5 % des CM. Les activités liées à l’artisanat, au BTP et au transport occupent 8.9 % des CM tandis que l’élevage, la pêche et l’exploitation des ressources naturelles sont cités comme activité principale par 6.1 % d’entre eux.</w:t>
      </w:r>
    </w:p>
    <w:p>
      <w:pPr>
        <w:pStyle w:val="Corpsdetexte"/>
      </w:pPr>
      <w:r>
        <w:t xml:space="preserve">A Marovoay, l’activité dominante est « Cultivateur exploitant » (58.6 % des CM). On note une part significative d’ouvriers agricoles qui comptent pour 18.3 % des CM. L’agriculture constitue le socle économique des ménages, les cultivateurs exploitants représentant la majorité des chefs de ménage.</w:t>
      </w:r>
      <w:r>
        <w:t xml:space="preserve"> </w:t>
      </w:r>
      <w:r>
        <w:t xml:space="preserve">Le commerce et la restauration, l’artisanat, le BTP et le transport, ainsi que l’élevage et la pêche complètent le panorama des activités.Le commerce et la restauration représentent l’activité principale de 7.3 % des CM, suivi par les métiers de l’artisanat, du BTP et du transport qui concernent 6.7 % d’entre eux</w:t>
      </w:r>
    </w:p>
    <w:tbl>
      <w:tblPr>
        <w:tblStyle w:val="Table"/>
        <w:tblW w:type="pct" w:w="5000"/>
        <w:tblLayout w:type="fixed"/>
        <w:tblLook w:firstRow="0" w:lastRow="0" w:firstColumn="0" w:lastColumn="0" w:noHBand="0" w:noVBand="0" w:val="0000"/>
      </w:tblPr>
      <w:tblGrid>
        <w:gridCol w:w="7920"/>
      </w:tblGrid>
      <w:tr>
        <w:tc>
          <w:tcPr/>
          <w:bookmarkStart w:id="247" w:name="fig-cm-act"/>
          <w:p>
            <w:pPr>
              <w:jc w:val="center"/>
            </w:pPr>
            <w:pPr>
              <w:jc w:val="left"/>
              <w:spacing w:before="200"/>
              <w:pStyle w:val="ImageCaption"/>
            </w:pPr>
            <w:r>
              <w:t xml:space="preserve">Figure 2.1: Activités principales des chefs de ménages</w:t>
            </w:r>
          </w:p>
          <w:p>
            <w:pPr>
              <w:pStyle w:val="Compact"/>
              <w:jc w:val="center"/>
            </w:pPr>
            <w:r>
              <w:drawing>
                <wp:inline>
                  <wp:extent cx="4620126" cy="2772075"/>
                  <wp:effectExtent b="0" l="0" r="0" t="0"/>
                  <wp:docPr descr="" title="" id="245" name="Picture"/>
                  <a:graphic>
                    <a:graphicData uri="http://schemas.openxmlformats.org/drawingml/2006/picture">
                      <pic:pic>
                        <pic:nvPicPr>
                          <pic:cNvPr descr="02_structure_menages_files/figure-docx/fig-cm-act-1.png" id="246" name="Picture"/>
                          <pic:cNvPicPr>
                            <a:picLocks noChangeArrowheads="1" noChangeAspect="1"/>
                          </pic:cNvPicPr>
                        </pic:nvPicPr>
                        <pic:blipFill>
                          <a:blip r:embed="rId244"/>
                          <a:stretch>
                            <a:fillRect/>
                          </a:stretch>
                        </pic:blipFill>
                        <pic:spPr bwMode="auto">
                          <a:xfrm>
                            <a:off x="0" y="0"/>
                            <a:ext cx="4620126" cy="2772075"/>
                          </a:xfrm>
                          <a:prstGeom prst="rect">
                            <a:avLst/>
                          </a:prstGeom>
                          <a:noFill/>
                          <a:ln w="9525">
                            <a:noFill/>
                            <a:headEnd/>
                            <a:tailEnd/>
                          </a:ln>
                        </pic:spPr>
                      </pic:pic>
                    </a:graphicData>
                  </a:graphic>
                </wp:inline>
              </w:drawing>
            </w:r>
          </w:p>
          <w:bookmarkEnd w:id="247"/>
        </w:tc>
      </w:tr>
    </w:tbl>
    <w:bookmarkStart w:id="251" w:name="activités-principales-des-cm-par-sexe"/>
    <w:p>
      <w:pPr>
        <w:pStyle w:val="Titre4"/>
      </w:pPr>
      <w:r>
        <w:t xml:space="preserve">2.2.4.1 Activités principales des CM par sexe</w:t>
      </w:r>
    </w:p>
    <w:p>
      <w:pPr>
        <w:pStyle w:val="FirstParagraph"/>
      </w:pPr>
      <w:r>
        <w:t xml:space="preserve">Cette section examine les activités principales des chefs de ménage selon leur genre au sein des deux observatoires.</w:t>
      </w:r>
    </w:p>
    <w:p>
      <w:pPr>
        <w:pStyle w:val="Corpsdetexte"/>
      </w:pPr>
      <w:r>
        <w:t xml:space="preserve">A Alaotra, près de deux tiers des hommes CM (65.4 %) occupent la fonction de cultivateur exploitant tandis que cette proportion est de 42.2 % chez les femmes CM. Le secteur du commerce et de la restauration constitue la principale voie de diversification pour les femmes avec un taux d’activité de 16.5 % contre seulement 2.5 % pour les hommes. Une présence féminine plus forte est également observée dans la catégorie services et autres concernant16.5 % des femmes contre 3.8 % de leurs homologues masculins.</w:t>
      </w:r>
    </w:p>
    <w:p>
      <w:pPr>
        <w:pStyle w:val="Corpsdetexte"/>
      </w:pPr>
      <w:r>
        <w:t xml:space="preserve">À Marovoay, la différenciation des activités selon le sexe est marquée. Les hommes sont majoritairement cultivateurs exploitants : 65.9 % des hommes CM sont cultivateurs exploitants, alors que seulement 32.5 % des femmes occupent ce statut. Un recours massif au salariat agricole est constaté chez les femmes CM avec 30.7 % contre 14.8 % pour les hommes. Par ailleurs, les femmes sont davantage présentes dans le commerce et la restauration.</w:t>
      </w:r>
    </w:p>
    <w:p>
      <w:pPr>
        <w:pStyle w:val="CaptionedFigure"/>
      </w:pPr>
      <w:r>
        <w:drawing>
          <wp:inline>
            <wp:extent cx="4620126" cy="3696101"/>
            <wp:effectExtent b="0" l="0" r="0" t="0"/>
            <wp:docPr descr="Activités principales des CM par observatoire et sexe" title="" id="249" name="Picture"/>
            <a:graphic>
              <a:graphicData uri="http://schemas.openxmlformats.org/drawingml/2006/picture">
                <pic:pic>
                  <pic:nvPicPr>
                    <pic:cNvPr descr="02_structure_menages_files/figure-docx/fig_cm_act_sex-1.png" id="250" name="Picture"/>
                    <pic:cNvPicPr>
                      <a:picLocks noChangeArrowheads="1" noChangeAspect="1"/>
                    </pic:cNvPicPr>
                  </pic:nvPicPr>
                  <pic:blipFill>
                    <a:blip r:embed="rId24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Activités principales des CM par observatoire et sexe</w:t>
      </w:r>
    </w:p>
    <w:bookmarkEnd w:id="251"/>
    <w:bookmarkEnd w:id="252"/>
    <w:bookmarkEnd w:id="253"/>
    <w:bookmarkStart w:id="294"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w:t>
      </w:r>
      <w:r>
        <w:t xml:space="preserve"> </w:t>
      </w:r>
      <w:r>
        <w:t xml:space="preserve">Leur profil démographique, éducatif et économique complète celui des chefs de ménage et permet de dresser un portrait plus complet du capital humain des familles rurales.</w:t>
      </w:r>
    </w:p>
    <w:bookmarkStart w:id="257" w:name="caractéristiques-socio-démographiques-1"/>
    <w:p>
      <w:pPr>
        <w:pStyle w:val="Titre3"/>
      </w:pPr>
      <w:r>
        <w:t xml:space="preserve">2.3.1 Caractéristiques socio-démographiques</w:t>
      </w:r>
    </w:p>
    <w:p>
      <w:pPr>
        <w:pStyle w:val="FirstParagraph"/>
      </w:pPr>
      <w:r>
        <w:t xml:space="preserve">Cette section analyse les caractéristiques des conjoints, enfants et dépendants, qui forment la majorité des membres du ménage autres que le CM.</w:t>
      </w:r>
    </w:p>
    <w:p>
      <w:pPr>
        <w:pStyle w:val="Corpsdetexte"/>
      </w:pPr>
      <w:r>
        <w:t xml:space="preserve">Dans l’Alaotra, les membres non-CM présentent un profil jeune avec une prédominance féminine marquée avec 59.8 % de femmes contre 39.9 % d’hommes, conformément à la structure démographique attendue dans les zones rurales malgaches.La structure par âge révèle une population particulièrement jeune dont la moyenne est de 19 ans et la médiane de 15 ans. Sur le plan matrimonial, le célibat concerne 38.2 % des individus tandis que le mariage traditionnel est pratiqué par 36.6 % des membres. Les unions civiles, religieuses ou polygames représentent 14.9 % des situations, alors que le divorce et le veuvage touchent respectivement 5 % et 2 % de cet effectif.</w:t>
      </w:r>
    </w:p>
    <w:p>
      <w:pPr>
        <w:pStyle w:val="Corpsdetexte"/>
      </w:pPr>
      <w:r>
        <w:t xml:space="preserve">À Marovoay, les autres membres du ménage forment une population majoritairement féminine et jeune avec 58.8 % de femmes et 41.1 % d’hommes.Les indicateurs d’âge révèlent un profil démographique caractéristique des populations rurales en croissance. La population affiche une grande jeunesse avec un âge moyen de 18 ans et un âge médian de 14 ans. Pour les membres de 12 ans et plus, la prédominance des mariages selon la tradition (40.3 %) et du célibat (41.3 %) témoigne du maintien des pratiques matrimoniales coutumières.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Caractéristiques des autres membres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c>
          <w:tcPr/>
          <w:p>
            <w:pPr>
              <w:pStyle w:val="Compact"/>
              <w:jc w:val="right"/>
            </w:pPr>
            <w:r>
              <w:t xml:space="preserve">Marovoay</w:t>
            </w:r>
          </w:p>
        </w:tc>
      </w:tr>
      <w:tr>
        <w:tc>
          <w:tcPr>
            <w:gridSpan w:val="3"/>
          </w:tcPr>
          <w:p>
            <w:pPr>
              <w:pStyle w:val="Compact"/>
              <w:jc w:val="left"/>
            </w:pPr>
            <w:r>
              <w:t xml:space="preserve">Sexe</w:t>
            </w:r>
          </w:p>
        </w:tc>
      </w:tr>
      <w:tr>
        <w:tc>
          <w:tcPr/>
          <w:p>
            <w:pPr>
              <w:pStyle w:val="Compact"/>
              <w:jc w:val="left"/>
            </w:pPr>
            <w:r>
              <w:t xml:space="preserve">Femme</w:t>
            </w:r>
          </w:p>
        </w:tc>
        <w:tc>
          <w:tcPr/>
          <w:p>
            <w:pPr>
              <w:pStyle w:val="Compact"/>
              <w:jc w:val="right"/>
            </w:pPr>
            <w:r>
              <w:t xml:space="preserve">60%</w:t>
            </w:r>
          </w:p>
        </w:tc>
        <w:tc>
          <w:tcPr/>
          <w:p>
            <w:pPr>
              <w:pStyle w:val="Compact"/>
              <w:jc w:val="right"/>
            </w:pPr>
            <w:r>
              <w:t xml:space="preserve">58.9%</w:t>
            </w:r>
          </w:p>
        </w:tc>
      </w:tr>
      <w:tr>
        <w:tc>
          <w:tcPr/>
          <w:p>
            <w:pPr>
              <w:pStyle w:val="Compact"/>
              <w:jc w:val="left"/>
            </w:pPr>
            <w:r>
              <w:t xml:space="preserve">Homme</w:t>
            </w:r>
          </w:p>
        </w:tc>
        <w:tc>
          <w:tcPr/>
          <w:p>
            <w:pPr>
              <w:pStyle w:val="Compact"/>
              <w:jc w:val="right"/>
            </w:pPr>
            <w:r>
              <w:t xml:space="preserve">40%</w:t>
            </w:r>
          </w:p>
        </w:tc>
        <w:tc>
          <w:tcPr/>
          <w:p>
            <w:pPr>
              <w:pStyle w:val="Compact"/>
              <w:jc w:val="right"/>
            </w:pPr>
            <w:r>
              <w:t xml:space="preserve">41.1%</w:t>
            </w:r>
          </w:p>
        </w:tc>
      </w:tr>
      <w:tr>
        <w:tc>
          <w:tcPr>
            <w:gridSpan w:val="3"/>
          </w:tcPr>
          <w:p>
            <w:pPr>
              <w:pStyle w:val="Compact"/>
              <w:jc w:val="left"/>
            </w:pPr>
            <w:r>
              <w:t xml:space="preserve">Âge</w:t>
            </w:r>
          </w:p>
        </w:tc>
      </w:tr>
      <w:tr>
        <w:tc>
          <w:tcPr/>
          <w:p>
            <w:pPr>
              <w:pStyle w:val="Compact"/>
              <w:jc w:val="left"/>
            </w:pPr>
            <w:r>
              <w:t xml:space="preserve">Minimum</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Mode</w:t>
            </w:r>
          </w:p>
        </w:tc>
        <w:tc>
          <w:tcPr/>
          <w:p>
            <w:pPr>
              <w:pStyle w:val="Compact"/>
              <w:jc w:val="right"/>
            </w:pPr>
            <w:r>
              <w:t xml:space="preserve">0</w:t>
            </w:r>
          </w:p>
        </w:tc>
        <w:tc>
          <w:tcPr/>
          <w:p>
            <w:pPr>
              <w:pStyle w:val="Compact"/>
              <w:jc w:val="right"/>
            </w:pPr>
            <w:r>
              <w:t xml:space="preserve">12</w:t>
            </w:r>
          </w:p>
        </w:tc>
      </w:tr>
      <w:tr>
        <w:tc>
          <w:tcPr/>
          <w:p>
            <w:pPr>
              <w:pStyle w:val="Compact"/>
              <w:jc w:val="left"/>
            </w:pPr>
            <w:r>
              <w:t xml:space="preserve">Médiane</w:t>
            </w:r>
          </w:p>
        </w:tc>
        <w:tc>
          <w:tcPr/>
          <w:p>
            <w:pPr>
              <w:pStyle w:val="Compact"/>
              <w:jc w:val="right"/>
            </w:pPr>
            <w:r>
              <w:t xml:space="preserve">15</w:t>
            </w:r>
          </w:p>
        </w:tc>
        <w:tc>
          <w:tcPr/>
          <w:p>
            <w:pPr>
              <w:pStyle w:val="Compact"/>
              <w:jc w:val="right"/>
            </w:pPr>
            <w:r>
              <w:t xml:space="preserve">14</w:t>
            </w:r>
          </w:p>
        </w:tc>
      </w:tr>
      <w:tr>
        <w:tc>
          <w:tcPr/>
          <w:p>
            <w:pPr>
              <w:pStyle w:val="Compact"/>
              <w:jc w:val="left"/>
            </w:pPr>
            <w:r>
              <w:t xml:space="preserve">Moyenne</w:t>
            </w:r>
          </w:p>
        </w:tc>
        <w:tc>
          <w:tcPr/>
          <w:p>
            <w:pPr>
              <w:pStyle w:val="Compact"/>
              <w:jc w:val="right"/>
            </w:pPr>
            <w:r>
              <w:t xml:space="preserve">19</w:t>
            </w:r>
          </w:p>
        </w:tc>
        <w:tc>
          <w:tcPr/>
          <w:p>
            <w:pPr>
              <w:pStyle w:val="Compact"/>
              <w:jc w:val="right"/>
            </w:pPr>
            <w:r>
              <w:t xml:space="preserve">18</w:t>
            </w:r>
          </w:p>
        </w:tc>
      </w:tr>
      <w:tr>
        <w:tc>
          <w:tcPr/>
          <w:p>
            <w:pPr>
              <w:pStyle w:val="Compact"/>
              <w:jc w:val="left"/>
            </w:pPr>
            <w:r>
              <w:t xml:space="preserve">Maximum</w:t>
            </w:r>
          </w:p>
        </w:tc>
        <w:tc>
          <w:tcPr/>
          <w:p>
            <w:pPr>
              <w:pStyle w:val="Compact"/>
              <w:jc w:val="right"/>
            </w:pPr>
            <w:r>
              <w:t xml:space="preserve">93</w:t>
            </w:r>
          </w:p>
        </w:tc>
        <w:tc>
          <w:tcPr/>
          <w:p>
            <w:pPr>
              <w:pStyle w:val="Compact"/>
              <w:jc w:val="right"/>
            </w:pPr>
            <w:r>
              <w:t xml:space="preserve">99</w:t>
            </w:r>
          </w:p>
        </w:tc>
      </w:tr>
      <w:tr>
        <w:tc>
          <w:tcPr>
            <w:gridSpan w:val="3"/>
          </w:tcPr>
          <w:p>
            <w:pPr>
              <w:pStyle w:val="Compact"/>
              <w:jc w:val="left"/>
            </w:pPr>
            <w:r>
              <w:rPr>
                <w:vertAlign w:val="superscript"/>
              </w:rPr>
              <w:t xml:space="preserve">1</w:t>
            </w:r>
            <w:r>
              <w:t xml:space="preserve"> </w:t>
            </w:r>
            <w:r>
              <w:t xml:space="preserve">Sexe : pourcentages. Âge : statistiques descriptives.</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4620126"/>
            <wp:effectExtent b="0" l="0" r="0" t="0"/>
            <wp:docPr descr="Statut matrimonial des autres membres (12 ans et plus)" title="" id="255" name="Picture"/>
            <a:graphic>
              <a:graphicData uri="http://schemas.openxmlformats.org/drawingml/2006/picture">
                <pic:pic>
                  <pic:nvPicPr>
                    <pic:cNvPr descr="02_structure_menages_files/figure-docx/fig_other_statut-1.png" id="256" name="Picture"/>
                    <pic:cNvPicPr>
                      <a:picLocks noChangeArrowheads="1" noChangeAspect="1"/>
                    </pic:cNvPicPr>
                  </pic:nvPicPr>
                  <pic:blipFill>
                    <a:blip r:embed="rId254"/>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Statut matrimonial des autres membres (12 ans et plus)</w:t>
      </w:r>
    </w:p>
    <w:bookmarkEnd w:id="257"/>
    <w:bookmarkStart w:id="275"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w:t>
      </w:r>
      <w:r>
        <w:t xml:space="preserve"> </w:t>
      </w:r>
      <w:r>
        <w:t xml:space="preserve">Les disparités entre sexes et entre observatoires donnent un aperçu des inégalités d’accès à l’éducation.</w:t>
      </w:r>
    </w:p>
    <w:bookmarkStart w:id="261" w:name="niveau-déducation-des-autres-membres"/>
    <w:p>
      <w:pPr>
        <w:pStyle w:val="Titre4"/>
      </w:pPr>
      <w:r>
        <w:t xml:space="preserve">2.3.2.1 Niveau d’éducation des autres membres</w:t>
      </w:r>
    </w:p>
    <w:p>
      <w:pPr>
        <w:pStyle w:val="FirstParagraph"/>
      </w:pPr>
      <w:r>
        <w:t xml:space="preserve">L’analyse du niveau d’éducation des membres des ménages révèle des disparités importantes entre les deux bassins rizicoles notamment en termes d’accès initial à l’école et de poursuite des cycles d’études.</w:t>
      </w:r>
    </w:p>
    <w:p>
      <w:pPr>
        <w:pStyle w:val="Corpsdetexte"/>
      </w:pPr>
      <w:r>
        <w:t xml:space="preserve">A Alaotra, l’instruction primaire constitue le niveau le plus répandu concernant 46.1 % des membres. Le taux de non-scolarisation y est de 18.5 %. Cette zone se démarque par une proportion élevée de membres ayant accédé aux études secondaires ou supérieures qui représentent 29.6 % de l’effectif.</w:t>
      </w:r>
    </w:p>
    <w:p>
      <w:pPr>
        <w:pStyle w:val="Corpsdetexte"/>
      </w:pPr>
      <w:r>
        <w:t xml:space="preserve">À Marovoay, le niveau primaire reste majoritaire avec 48.0 % des membres. Cependant, l’observatoire affiche un retard structurel d’accès à l’école avec un taux de non-scolarisation s’élevant à 27.4 %. Concernant 20.8% des individus, l’accès aux niveaux secondaire et supérieur y est plus limité concernant 20.8 % des individus.</w:t>
      </w:r>
    </w:p>
    <w:p>
      <w:pPr>
        <w:pStyle w:val="CaptionedFigure"/>
      </w:pPr>
      <w:r>
        <w:drawing>
          <wp:inline>
            <wp:extent cx="4620126" cy="3696101"/>
            <wp:effectExtent b="0" l="0" r="0" t="0"/>
            <wp:docPr descr="Niveau d’éducation des autres membres" title="" id="259" name="Picture"/>
            <a:graphic>
              <a:graphicData uri="http://schemas.openxmlformats.org/drawingml/2006/picture">
                <pic:pic>
                  <pic:nvPicPr>
                    <pic:cNvPr descr="02_structure_menages_files/figure-docx/fig_other_educ-1.png" id="260" name="Picture"/>
                    <pic:cNvPicPr>
                      <a:picLocks noChangeArrowheads="1" noChangeAspect="1"/>
                    </pic:cNvPicPr>
                  </pic:nvPicPr>
                  <pic:blipFill>
                    <a:blip r:embed="rId25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autres membres</w:t>
      </w:r>
    </w:p>
    <w:bookmarkEnd w:id="261"/>
    <w:bookmarkStart w:id="265" w:name="X5230d9ccd8aefad0269f3712b7f434c0dfba0a8"/>
    <w:p>
      <w:pPr>
        <w:pStyle w:val="Titre4"/>
      </w:pPr>
      <w:r>
        <w:t xml:space="preserve">2.3.2.2 Niveau d’éducation des autres membres par sexe</w:t>
      </w:r>
    </w:p>
    <w:p>
      <w:pPr>
        <w:pStyle w:val="FirstParagraph"/>
      </w:pPr>
      <w:r>
        <w:t xml:space="preserve">A Alaotra, les femmes présentent globalement un meilleur profil de scolarisation que les hommes. Le niveau primaire constitue le socle éducatif pour 46.4 % des femmes et 45.6 % des hommes. L’accès au premier cycle du secondaire est nettement plus marqué pour les femmes, avec 22.2 % contre 15.4 % pour les hommes. L’accès au second cycle du secondaire et à l’enseignement supérieur concerne 10.8 % des membres féminins et 9.2 % des hommes. Enfin, le taux de non-scolarisation est de 15.2 % chez les femmes, alors qu’il s’élève à 23.2 % chez les hommes.</w:t>
      </w:r>
    </w:p>
    <w:p>
      <w:pPr>
        <w:pStyle w:val="Corpsdetexte"/>
      </w:pPr>
      <w:r>
        <w:t xml:space="preserve">À Marovoay, le niveau primaire est atteint par 49.8 % des femmes et 45.6 % des membres masculins. La disparité de genre est particulièrement visible dans l’accès au premier cycle du secondaire qui touche 17.1 % des femmes contre seulement 10.4 % des hommes. Pour les niveaux d’études les plus élevés (second cycle et supérieur), les taux sont plus faibles et relativement proches entre les sexes avec 6.1 % pour les femmes et 6.7 % pour les hommes.</w:t>
      </w:r>
      <w:r>
        <w:t xml:space="preserve"> </w:t>
      </w:r>
      <w:r>
        <w:t xml:space="preserve">In fine, les femmes affichent également une meilleure insertion scolaire initiale avec 24.4 % de personnes non scolarisées contre 31.8 % pour les hommes.</w:t>
      </w:r>
    </w:p>
    <w:p>
      <w:pPr>
        <w:pStyle w:val="CaptionedFigure"/>
      </w:pPr>
      <w:r>
        <w:drawing>
          <wp:inline>
            <wp:extent cx="4620126" cy="3696101"/>
            <wp:effectExtent b="0" l="0" r="0" t="0"/>
            <wp:docPr descr="Niveau d’éducation des autres membres par sexe" title="" id="263" name="Picture"/>
            <a:graphic>
              <a:graphicData uri="http://schemas.openxmlformats.org/drawingml/2006/picture">
                <pic:pic>
                  <pic:nvPicPr>
                    <pic:cNvPr descr="02_structure_menages_files/figure-docx/fig_other_educ_sex-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Niveau d’éducation des autres membres par sexe</w:t>
      </w:r>
    </w:p>
    <w:bookmarkEnd w:id="265"/>
    <w:bookmarkStart w:id="274" w:name="alphabétisation-des-autres-membres"/>
    <w:p>
      <w:pPr>
        <w:pStyle w:val="Titre4"/>
      </w:pPr>
      <w:r>
        <w:t xml:space="preserve">2.3.2.3 Alphabétisation des autres membres</w:t>
      </w:r>
    </w:p>
    <w:p>
      <w:pPr>
        <w:pStyle w:val="FirstParagraph"/>
      </w:pPr>
      <w:r>
        <w:t xml:space="preserve">Cette section analyse les capacités de lecture et d’écriture des membres du ménage autres que le CM fournissant un indicateur de la qualité du capital humain au sein des familles rurales. L’évaluation distingue les personnes capables de lire ou d’écrire aisément de celles qui le font avec effort ou qui en sont incapables.</w:t>
      </w:r>
    </w:p>
    <w:bookmarkStart w:id="269" w:name="savoir-lire-1"/>
    <w:p>
      <w:pPr>
        <w:pStyle w:val="Titre5"/>
      </w:pPr>
      <w:r>
        <w:t xml:space="preserve">2.3.2.3.1 Savoir lire</w:t>
      </w:r>
    </w:p>
    <w:p>
      <w:pPr>
        <w:pStyle w:val="FirstParagraph"/>
      </w:pPr>
      <w:r>
        <w:rPr>
          <w:b/>
          <w:bCs/>
        </w:rPr>
        <w:t xml:space="preserve">FIGURE ET INTERPRETATION POUR</w:t>
      </w:r>
      <w:r>
        <w:rPr>
          <w:b/>
          <w:bCs/>
        </w:rPr>
        <w:t xml:space="preserve"> </w:t>
      </w:r>
      <w:r>
        <w:rPr>
          <w:b/>
          <w:bCs/>
        </w:rPr>
        <w:t xml:space="preserve">“APTITUDE A LA LECTURE DES AUTRES MEMBRES”</w:t>
      </w:r>
    </w:p>
    <w:p>
      <w:pPr>
        <w:pStyle w:val="Corpsdetexte"/>
      </w:pPr>
      <w:r>
        <w:t xml:space="preserve">A Alaotra, les femmes affichent une maîtrise de la lecture supérieure à celle des hommes avec une maitrise de 76.5 % contre 69.5 % respectivement. Les personnes lisant avec effort représentent 7.5 % des femmes et 9.0 % des hommes. L’absence totale de capacité de lecture concerne 15.9 % des femmes et 21.6 % des hommes.</w:t>
      </w:r>
    </w:p>
    <w:p>
      <w:pPr>
        <w:pStyle w:val="Corpsdetexte"/>
      </w:pPr>
      <w:r>
        <w:t xml:space="preserve">À Marovoay, l’aptitude à la lecture est globalement moins répandue. La tendance en faveur des femmes persiste avec 59.3 % lisant sans difficulté contre 52.9 % pour les hommes. Cependant, 13.9 % des femmes et 16.9 % des hommes déclarent lire avec effort. Enfin, le taux de membres ne sachant pas lire du tout s’élève à 26.9 % chez les femmes et atteint 30.1 % chez les hommes.</w:t>
      </w:r>
    </w:p>
    <w:p>
      <w:pPr>
        <w:pStyle w:val="CaptionedFigure"/>
      </w:pPr>
      <w:r>
        <w:drawing>
          <wp:inline>
            <wp:extent cx="4620126" cy="3696101"/>
            <wp:effectExtent b="0" l="0" r="0" t="0"/>
            <wp:docPr descr="Aptitude à la lecture des autres membres selon le sexe" title="" id="267" name="Picture"/>
            <a:graphic>
              <a:graphicData uri="http://schemas.openxmlformats.org/drawingml/2006/picture">
                <pic:pic>
                  <pic:nvPicPr>
                    <pic:cNvPr descr="02_structure_menages_files/figure-docx/fig_other_read_sex-1.png" id="268" name="Picture"/>
                    <pic:cNvPicPr>
                      <a:picLocks noChangeArrowheads="1" noChangeAspect="1"/>
                    </pic:cNvPicPr>
                  </pic:nvPicPr>
                  <pic:blipFill>
                    <a:blip r:embed="rId26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269"/>
    <w:bookmarkStart w:id="273" w:name="savoir-écrire-1"/>
    <w:p>
      <w:pPr>
        <w:pStyle w:val="Titre5"/>
      </w:pPr>
      <w:r>
        <w:t xml:space="preserve">2.3.2.3.2 Savoir écrire</w:t>
      </w:r>
    </w:p>
    <w:p>
      <w:pPr>
        <w:pStyle w:val="FirstParagraph"/>
      </w:pPr>
      <w:r>
        <w:t xml:space="preserve">A Alaotra, l’aptitude à l’écriture est maîtrisée sans difficulté par 73.9 % des membres des ménages. Une part de 8.2 % déclare écrire avec effort tandis que 18.0 % des individus en sont totalement incapables.</w:t>
      </w:r>
    </w:p>
    <w:p>
      <w:pPr>
        <w:pStyle w:val="Corpsdetexte"/>
      </w:pPr>
      <w:r>
        <w:t xml:space="preserve">À Marovoay, le niveau de compétence en écriture est sensiblement plus bas avec 56.8 % des membres capables d’écrire aisément. Les difficultés y sont plus marquées avec 15.0 % des personnes écrivant avec effort et 28.3 % déclarant ne pas savoir écrire du tout.</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73.9%</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8.2%</w:t>
            </w:r>
          </w:p>
        </w:tc>
        <w:tc>
          <w:tcPr/>
          <w:p>
            <w:pPr>
              <w:pStyle w:val="Compact"/>
              <w:jc w:val="right"/>
            </w:pPr>
            <w:r>
              <w:t xml:space="preserve">15%</w:t>
            </w:r>
          </w:p>
        </w:tc>
      </w:tr>
      <w:tr>
        <w:tc>
          <w:tcPr/>
          <w:p>
            <w:pPr>
              <w:pStyle w:val="Compact"/>
              <w:jc w:val="center"/>
            </w:pPr>
            <w:r>
              <w:t xml:space="preserve">Non</w:t>
            </w:r>
          </w:p>
        </w:tc>
        <w:tc>
          <w:tcPr/>
          <w:p>
            <w:pPr>
              <w:pStyle w:val="Compact"/>
              <w:jc w:val="right"/>
            </w:pPr>
            <w:r>
              <w:t xml:space="preserve">18%</w:t>
            </w:r>
          </w:p>
        </w:tc>
        <w:tc>
          <w:tcPr/>
          <w:p>
            <w:pPr>
              <w:pStyle w:val="Compact"/>
              <w:jc w:val="right"/>
            </w:pPr>
            <w:r>
              <w:t xml:space="preserve">28.3%</w:t>
            </w:r>
          </w:p>
        </w:tc>
      </w:tr>
      <w:tr>
        <w:tc>
          <w:tcPr>
            <w:gridSpan w:val="3"/>
          </w:tcPr>
          <w:p>
            <w:pPr>
              <w:pStyle w:val="Compact"/>
              <w:jc w:val="center"/>
            </w:pPr>
            <w:r>
              <w:rPr>
                <w:b/>
                <w:bCs/>
              </w:rPr>
              <w:t xml:space="preserve">Source : Enquête auprès des OR 2025</w:t>
            </w:r>
          </w:p>
        </w:tc>
      </w:tr>
    </w:tbl>
    <w:p>
      <w:pPr>
        <w:pStyle w:val="Corpsdetexte"/>
      </w:pPr>
      <w:r>
        <w:t xml:space="preserve">A Alaotra, les femmes affichent une maîtrise de l’écriture supérieure à celle des hommes avec un taux respectivement de 76.6 % contre 69.3 %. Les personnes pratiquant l’écriture avec effort représentent 7.4 % des femmes et 9.4 % des hommes. Enfin, la part des individus totalement incapables d’écrire est plus faible chez les femmes (16.0 %) que chez les hommes (21.4 %).</w:t>
      </w:r>
    </w:p>
    <w:p>
      <w:pPr>
        <w:pStyle w:val="Corpsdetexte"/>
      </w:pPr>
      <w:r>
        <w:t xml:space="preserve">À Marovoay, l’aptitude à l’écriture est globalement moins répandue. Cependant, la tendance en faveur des femmes persiste avec 59.2 % écrivant sans difficulté contre 53.0 % pour les hommes. Les difficultés à l’écrit sont marquées pour les deux sexes avec 13.6 % des femmes et 17.1 % des hommes déclarant écrire avec effort. Le taux de personnes ne possédant aucune compétence en écriture est élevé dans cet observatoire s’élevant à 27.3 % chez les femmes et atteignant 29.9 % chez les hommes.</w:t>
      </w:r>
    </w:p>
    <w:p>
      <w:pPr>
        <w:pStyle w:val="CaptionedFigure"/>
      </w:pPr>
      <w:r>
        <w:drawing>
          <wp:inline>
            <wp:extent cx="4620126" cy="3696101"/>
            <wp:effectExtent b="0" l="0" r="0" t="0"/>
            <wp:docPr descr="Aptitude à l’écriture des autres membres selon le sexe" title="" id="271" name="Picture"/>
            <a:graphic>
              <a:graphicData uri="http://schemas.openxmlformats.org/drawingml/2006/picture">
                <pic:pic>
                  <pic:nvPicPr>
                    <pic:cNvPr descr="02_structure_menages_files/figure-docx/fig_other_write_sex-1.png" id="272" name="Picture"/>
                    <pic:cNvPicPr>
                      <a:picLocks noChangeArrowheads="1" noChangeAspect="1"/>
                    </pic:cNvPicPr>
                  </pic:nvPicPr>
                  <pic:blipFill>
                    <a:blip r:embed="rId27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273"/>
    <w:bookmarkEnd w:id="274"/>
    <w:bookmarkEnd w:id="275"/>
    <w:bookmarkStart w:id="283"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bookmarkStart w:id="276" w:name="X6d9aa1dd44c1ac9e432add0b434b8dafb589d26"/>
    <w:p>
      <w:pPr>
        <w:pStyle w:val="Titre4"/>
      </w:pPr>
      <w:r>
        <w:t xml:space="preserve">2.3.3.1 Taux de scolarisation des enfants de 6 à 14 ans</w:t>
      </w:r>
    </w:p>
    <w:p>
      <w:pPr>
        <w:pStyle w:val="FirstParagraph"/>
      </w:pPr>
      <w:r>
        <w:t xml:space="preserve">Dans l’Alaotra, le taux de scolarisation s’élève à 93.7 %.</w:t>
      </w:r>
    </w:p>
    <w:p>
      <w:pPr>
        <w:pStyle w:val="Corpsdetexte"/>
      </w:pPr>
      <w:r>
        <w:t xml:space="preserve">Dans Marovoay, le taux de scolarisation s’élève à 81.7 %.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scolarisation des enfants de 6 à 14 ans par observatoire</w:t>
            </w:r>
          </w:p>
        </w:tc>
      </w:tr>
      <w:tr>
        <w:trPr>
          <w:tblHeader w:val="on"/>
        </w:trPr>
        <w:tc>
          <w:tcPr/>
          <w:p>
            <w:pPr>
              <w:pStyle w:val="Compact"/>
              <w:jc w:val="right"/>
            </w:pPr>
            <w:r>
              <w:t xml:space="preserve">Non scolarisés (%)</w:t>
            </w:r>
          </w:p>
        </w:tc>
        <w:tc>
          <w:tcPr/>
          <w:p>
            <w:pPr>
              <w:pStyle w:val="Compact"/>
              <w:jc w:val="right"/>
            </w:pPr>
            <w:r>
              <w:t xml:space="preserve">Scolarisés (%)</w:t>
            </w:r>
          </w:p>
        </w:tc>
      </w:tr>
      <w:tr>
        <w:tc>
          <w:tcPr>
            <w:gridSpan w:val="2"/>
          </w:tcPr>
          <w:p>
            <w:pPr>
              <w:pStyle w:val="Compact"/>
              <w:jc w:val="left"/>
            </w:pPr>
            <w:r>
              <w:t xml:space="preserve">Alaotra</w:t>
            </w:r>
          </w:p>
        </w:tc>
      </w:tr>
      <w:tr>
        <w:tc>
          <w:tcPr/>
          <w:p>
            <w:pPr>
              <w:pStyle w:val="Compact"/>
              <w:jc w:val="right"/>
            </w:pPr>
            <w:r>
              <w:t xml:space="preserve">6.3</w:t>
            </w:r>
          </w:p>
        </w:tc>
        <w:tc>
          <w:tcPr/>
          <w:p>
            <w:pPr>
              <w:pStyle w:val="Compact"/>
              <w:jc w:val="right"/>
            </w:pPr>
            <w:r>
              <w:t xml:space="preserve">93.7</w:t>
            </w:r>
          </w:p>
        </w:tc>
      </w:tr>
      <w:tr>
        <w:tc>
          <w:tcPr>
            <w:gridSpan w:val="2"/>
          </w:tcPr>
          <w:p>
            <w:pPr>
              <w:pStyle w:val="Compact"/>
              <w:jc w:val="left"/>
            </w:pPr>
            <w:r>
              <w:t xml:space="preserve">Marovoay</w:t>
            </w:r>
          </w:p>
        </w:tc>
      </w:tr>
      <w:tr>
        <w:tc>
          <w:tcPr/>
          <w:p>
            <w:pPr>
              <w:pStyle w:val="Compact"/>
              <w:jc w:val="right"/>
            </w:pPr>
            <w:r>
              <w:t xml:space="preserve">18.3</w:t>
            </w:r>
          </w:p>
        </w:tc>
        <w:tc>
          <w:tcPr/>
          <w:p>
            <w:pPr>
              <w:pStyle w:val="Compact"/>
              <w:jc w:val="right"/>
            </w:pPr>
            <w:r>
              <w:t xml:space="preserve">81.7</w:t>
            </w:r>
          </w:p>
        </w:tc>
      </w:tr>
      <w:tr>
        <w:tc>
          <w:tcPr>
            <w:gridSpan w:val="2"/>
          </w:tcPr>
          <w:p>
            <w:pPr>
              <w:pStyle w:val="Compact"/>
              <w:jc w:val="left"/>
            </w:pPr>
            <w:r>
              <w:rPr>
                <w:b/>
                <w:bCs/>
              </w:rPr>
              <w:t xml:space="preserve">Source : Enquête auprès des OR 2025</w:t>
            </w:r>
          </w:p>
        </w:tc>
      </w:tr>
    </w:tbl>
    <w:bookmarkEnd w:id="276"/>
    <w:bookmarkStart w:id="277" w:name="classe-suivie-2024-2025"/>
    <w:p>
      <w:pPr>
        <w:pStyle w:val="Titre4"/>
      </w:pPr>
      <w:r>
        <w:t xml:space="preserve">2.3.3.2 Classe suivie 2024-2025</w:t>
      </w:r>
    </w:p>
    <w:tbl>
      <w:tblPr>
        <w:tblStyle w:val="Table"/>
        <w:tblW w:type="auto" w:w="0"/>
        <w:tblLook w:firstRow="1" w:lastRow="1" w:firstColumn="0" w:lastColumn="0" w:noHBand="0" w:noVBand="0" w:val="0020"/>
      </w:tblPr>
      <w:tblGrid>
        <w:gridCol w:w="440"/>
        <w:gridCol w:w="440"/>
        <w:gridCol w:w="440"/>
        <w:gridCol w:w="440"/>
        <w:gridCol w:w="440"/>
        <w:gridCol w:w="440"/>
        <w:gridCol w:w="440"/>
        <w:gridCol w:w="440"/>
        <w:gridCol w:w="440"/>
        <w:gridCol w:w="440"/>
        <w:gridCol w:w="440"/>
        <w:gridCol w:w="440"/>
        <w:gridCol w:w="440"/>
        <w:gridCol w:w="440"/>
        <w:gridCol w:w="440"/>
        <w:gridCol w:w="440"/>
        <w:gridCol w:w="440"/>
        <w:gridCol w:w="440"/>
      </w:tblGrid>
      <w:tr>
        <w:trPr>
          <w:tblHeader w:val="on"/>
        </w:trPr>
        <w:tc>
          <w:tcPr>
            <w:gridSpan w:val="18"/>
          </w:tcPr>
          <w:p>
            <w:pPr>
              <w:pStyle w:val="Compact"/>
              <w:jc w:val="center"/>
            </w:pPr>
            <w:r>
              <w:t xml:space="preserve">Classe suivie en 2024-2025 par catégorie d'âge</w:t>
            </w:r>
          </w:p>
        </w:tc>
      </w:tr>
      <w:tr>
        <w:trPr>
          <w:tblHeader w:val="on"/>
        </w:trPr>
        <w:tc>
          <w:tcPr/>
          <w:p>
            <w:pPr>
              <w:pStyle w:val="Compact"/>
              <w:jc w:val="center"/>
            </w:pPr>
            <w:r>
              <w:t xml:space="preserve">Catégorie d'âge</w:t>
            </w:r>
          </w:p>
        </w:tc>
        <w:tc>
          <w:tcPr/>
          <w:p>
            <w:pPr>
              <w:pStyle w:val="Compact"/>
              <w:jc w:val="right"/>
            </w:pPr>
            <w:r>
              <w:t xml:space="preserve">Prescolaire</w:t>
            </w:r>
          </w:p>
        </w:tc>
        <w:tc>
          <w:tcPr/>
          <w:p>
            <w:pPr>
              <w:pStyle w:val="Compact"/>
              <w:jc w:val="right"/>
            </w:pPr>
            <w:r>
              <w:t xml:space="preserve">CP1</w:t>
            </w:r>
          </w:p>
        </w:tc>
        <w:tc>
          <w:tcPr/>
          <w:p>
            <w:pPr>
              <w:pStyle w:val="Compact"/>
              <w:jc w:val="right"/>
            </w:pPr>
            <w:r>
              <w:t xml:space="preserve">CP2</w:t>
            </w:r>
          </w:p>
        </w:tc>
        <w:tc>
          <w:tcPr/>
          <w:p>
            <w:pPr>
              <w:pStyle w:val="Compact"/>
              <w:jc w:val="right"/>
            </w:pPr>
            <w:r>
              <w:t xml:space="preserve">CE</w:t>
            </w:r>
          </w:p>
        </w:tc>
        <w:tc>
          <w:tcPr/>
          <w:p>
            <w:pPr>
              <w:pStyle w:val="Compact"/>
              <w:jc w:val="right"/>
            </w:pPr>
            <w:r>
              <w:t xml:space="preserve">CM1</w:t>
            </w:r>
          </w:p>
        </w:tc>
        <w:tc>
          <w:tcPr/>
          <w:p>
            <w:pPr>
              <w:pStyle w:val="Compact"/>
              <w:jc w:val="right"/>
            </w:pPr>
            <w:r>
              <w:t xml:space="preserve">CM2</w:t>
            </w:r>
          </w:p>
        </w:tc>
        <w:tc>
          <w:tcPr/>
          <w:p>
            <w:pPr>
              <w:pStyle w:val="Compact"/>
              <w:jc w:val="right"/>
            </w:pPr>
            <w:r>
              <w:t xml:space="preserve">6e</w:t>
            </w:r>
          </w:p>
        </w:tc>
        <w:tc>
          <w:tcPr/>
          <w:p>
            <w:pPr>
              <w:pStyle w:val="Compact"/>
              <w:jc w:val="right"/>
            </w:pPr>
            <w:r>
              <w:t xml:space="preserve">5e</w:t>
            </w:r>
          </w:p>
        </w:tc>
        <w:tc>
          <w:tcPr/>
          <w:p>
            <w:pPr>
              <w:pStyle w:val="Compact"/>
              <w:jc w:val="right"/>
            </w:pPr>
            <w:r>
              <w:t xml:space="preserve">4e</w:t>
            </w:r>
          </w:p>
        </w:tc>
        <w:tc>
          <w:tcPr/>
          <w:p>
            <w:pPr>
              <w:pStyle w:val="Compact"/>
              <w:jc w:val="right"/>
            </w:pPr>
            <w:r>
              <w:t xml:space="preserve">3e</w:t>
            </w:r>
          </w:p>
        </w:tc>
        <w:tc>
          <w:tcPr/>
          <w:p>
            <w:pPr>
              <w:pStyle w:val="Compact"/>
              <w:jc w:val="right"/>
            </w:pPr>
            <w:r>
              <w:t xml:space="preserve">2nde</w:t>
            </w:r>
          </w:p>
        </w:tc>
        <w:tc>
          <w:tcPr/>
          <w:p>
            <w:pPr>
              <w:pStyle w:val="Compact"/>
              <w:jc w:val="right"/>
            </w:pPr>
            <w:r>
              <w:t xml:space="preserve">1ere</w:t>
            </w:r>
          </w:p>
        </w:tc>
        <w:tc>
          <w:tcPr/>
          <w:p>
            <w:pPr>
              <w:pStyle w:val="Compact"/>
              <w:jc w:val="right"/>
            </w:pPr>
            <w:r>
              <w:t xml:space="preserve">Terminale</w:t>
            </w:r>
          </w:p>
        </w:tc>
        <w:tc>
          <w:tcPr/>
          <w:p>
            <w:pPr>
              <w:pStyle w:val="Compact"/>
              <w:jc w:val="right"/>
            </w:pPr>
            <w:r>
              <w:t xml:space="preserve">Superieur BAC+1</w:t>
            </w:r>
          </w:p>
        </w:tc>
        <w:tc>
          <w:tcPr/>
          <w:p>
            <w:pPr>
              <w:pStyle w:val="Compact"/>
              <w:jc w:val="right"/>
            </w:pPr>
            <w:r>
              <w:t xml:space="preserve">Superieur BAC+2</w:t>
            </w:r>
          </w:p>
        </w:tc>
        <w:tc>
          <w:tcPr/>
          <w:p>
            <w:pPr>
              <w:pStyle w:val="Compact"/>
              <w:jc w:val="right"/>
            </w:pPr>
            <w:r>
              <w:t xml:space="preserve">Superieur licence+</w:t>
            </w:r>
          </w:p>
        </w:tc>
        <w:tc>
          <w:tcPr/>
          <w:p>
            <w:pPr>
              <w:pStyle w:val="Compact"/>
              <w:jc w:val="right"/>
            </w:pPr>
            <w:r>
              <w:t xml:space="preserve">Inconnu</w:t>
            </w:r>
          </w:p>
        </w:tc>
      </w:tr>
      <w:tr>
        <w:tc>
          <w:tcPr>
            <w:gridSpan w:val="18"/>
          </w:tcPr>
          <w:p>
            <w:pPr>
              <w:pStyle w:val="Compact"/>
              <w:jc w:val="left"/>
            </w:pPr>
            <w:r>
              <w:t xml:space="preserve">Alaotra</w:t>
            </w:r>
          </w:p>
        </w:tc>
      </w:tr>
      <w:tr>
        <w:tc>
          <w:tcPr/>
          <w:p>
            <w:pPr>
              <w:pStyle w:val="Compact"/>
              <w:jc w:val="center"/>
            </w:pPr>
            <w:r>
              <w:t xml:space="preserve">3-5 ans</w:t>
            </w:r>
          </w:p>
        </w:tc>
        <w:tc>
          <w:tcPr/>
          <w:p>
            <w:pPr>
              <w:pStyle w:val="Compact"/>
              <w:jc w:val="right"/>
            </w:pPr>
            <w:r>
              <w:t xml:space="preserve">60.6</w:t>
            </w:r>
          </w:p>
        </w:tc>
        <w:tc>
          <w:tcPr/>
          <w:p>
            <w:pPr>
              <w:pStyle w:val="Compact"/>
              <w:jc w:val="right"/>
            </w:pPr>
            <w:r>
              <w:t xml:space="preserve">39.4</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center"/>
            </w:pPr>
            <w:r>
              <w:t xml:space="preserve">6-10 ans</w:t>
            </w:r>
          </w:p>
        </w:tc>
        <w:tc>
          <w:tcPr/>
          <w:p>
            <w:pPr>
              <w:pStyle w:val="Compact"/>
              <w:jc w:val="right"/>
            </w:pPr>
            <w:r>
              <w:t xml:space="preserve">4.9</w:t>
            </w:r>
          </w:p>
        </w:tc>
        <w:tc>
          <w:tcPr/>
          <w:p>
            <w:pPr>
              <w:pStyle w:val="Compact"/>
              <w:jc w:val="right"/>
            </w:pPr>
            <w:r>
              <w:t xml:space="preserve">18.6</w:t>
            </w:r>
          </w:p>
        </w:tc>
        <w:tc>
          <w:tcPr/>
          <w:p>
            <w:pPr>
              <w:pStyle w:val="Compact"/>
              <w:jc w:val="right"/>
            </w:pPr>
            <w:r>
              <w:t xml:space="preserve">27.5</w:t>
            </w:r>
          </w:p>
        </w:tc>
        <w:tc>
          <w:tcPr/>
          <w:p>
            <w:pPr>
              <w:pStyle w:val="Compact"/>
              <w:jc w:val="right"/>
            </w:pPr>
            <w:r>
              <w:t xml:space="preserve">21.6</w:t>
            </w:r>
          </w:p>
        </w:tc>
        <w:tc>
          <w:tcPr/>
          <w:p>
            <w:pPr>
              <w:pStyle w:val="Compact"/>
              <w:jc w:val="right"/>
            </w:pPr>
            <w:r>
              <w:t xml:space="preserve">15.7</w:t>
            </w:r>
          </w:p>
        </w:tc>
        <w:tc>
          <w:tcPr/>
          <w:p>
            <w:pPr>
              <w:pStyle w:val="Compact"/>
              <w:jc w:val="right"/>
            </w:pPr>
            <w:r>
              <w:t xml:space="preserve">6.4</w:t>
            </w:r>
          </w:p>
        </w:tc>
        <w:tc>
          <w:tcPr/>
          <w:p>
            <w:pPr>
              <w:pStyle w:val="Compact"/>
              <w:jc w:val="right"/>
            </w:pPr>
            <w:r>
              <w:t xml:space="preserve">2.9</w:t>
            </w:r>
          </w:p>
        </w:tc>
        <w:tc>
          <w:tcPr/>
          <w:p>
            <w:pPr>
              <w:pStyle w:val="Compact"/>
              <w:jc w:val="right"/>
            </w:pPr>
            <w:r>
              <w:t xml:space="preserve">2.0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0.5</w:t>
            </w:r>
          </w:p>
        </w:tc>
      </w:tr>
      <w:tr>
        <w:tc>
          <w:tcPr/>
          <w:p>
            <w:pPr>
              <w:pStyle w:val="Compact"/>
              <w:jc w:val="center"/>
            </w:pPr>
            <w:r>
              <w:t xml:space="preserve">11-14 ans</w:t>
            </w:r>
          </w:p>
        </w:tc>
        <w:tc>
          <w:tcPr/>
          <w:p>
            <w:pPr>
              <w:pStyle w:val="Compact"/>
              <w:jc w:val="right"/>
            </w:pPr>
            <w:r>
              <w:t xml:space="preserve">0.0</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7.6</w:t>
            </w:r>
          </w:p>
        </w:tc>
        <w:tc>
          <w:tcPr/>
          <w:p>
            <w:pPr>
              <w:pStyle w:val="Compact"/>
              <w:jc w:val="right"/>
            </w:pPr>
            <w:r>
              <w:t xml:space="preserve">9.2</w:t>
            </w:r>
          </w:p>
        </w:tc>
        <w:tc>
          <w:tcPr/>
          <w:p>
            <w:pPr>
              <w:pStyle w:val="Compact"/>
              <w:jc w:val="right"/>
            </w:pPr>
            <w:r>
              <w:t xml:space="preserve">22.9</w:t>
            </w:r>
          </w:p>
        </w:tc>
        <w:tc>
          <w:tcPr/>
          <w:p>
            <w:pPr>
              <w:pStyle w:val="Compact"/>
              <w:jc w:val="right"/>
            </w:pPr>
            <w:r>
              <w:t xml:space="preserve">23.7</w:t>
            </w:r>
          </w:p>
        </w:tc>
        <w:tc>
          <w:tcPr/>
          <w:p>
            <w:pPr>
              <w:pStyle w:val="Compact"/>
              <w:jc w:val="right"/>
            </w:pPr>
            <w:r>
              <w:t xml:space="preserve">14.5</w:t>
            </w:r>
          </w:p>
        </w:tc>
        <w:tc>
          <w:tcPr/>
          <w:p>
            <w:pPr>
              <w:pStyle w:val="Compact"/>
              <w:jc w:val="right"/>
            </w:pPr>
            <w:r>
              <w:t xml:space="preserve">9.9</w:t>
            </w:r>
          </w:p>
        </w:tc>
        <w:tc>
          <w:tcPr/>
          <w:p>
            <w:pPr>
              <w:pStyle w:val="Compact"/>
              <w:jc w:val="right"/>
            </w:pPr>
            <w:r>
              <w:t xml:space="preserve">6.9</w:t>
            </w:r>
          </w:p>
        </w:tc>
        <w:tc>
          <w:tcPr/>
          <w:p>
            <w:pPr>
              <w:pStyle w:val="Compact"/>
              <w:jc w:val="right"/>
            </w:pPr>
            <w:r>
              <w:t xml:space="preserve">0.8</w:t>
            </w:r>
          </w:p>
        </w:tc>
        <w:tc>
          <w:tcPr/>
          <w:p>
            <w:pPr>
              <w:pStyle w:val="Compact"/>
              <w:jc w:val="right"/>
            </w:pPr>
            <w:r>
              <w:t xml:space="preserve">0.8</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center"/>
            </w:pPr>
            <w:r>
              <w:t xml:space="preserve">15-17 ans</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5.1</w:t>
            </w:r>
          </w:p>
        </w:tc>
        <w:tc>
          <w:tcPr/>
          <w:p>
            <w:pPr>
              <w:pStyle w:val="Compact"/>
              <w:jc w:val="right"/>
            </w:pPr>
            <w:r>
              <w:t xml:space="preserve">7.7</w:t>
            </w:r>
          </w:p>
        </w:tc>
        <w:tc>
          <w:tcPr/>
          <w:p>
            <w:pPr>
              <w:pStyle w:val="Compact"/>
              <w:jc w:val="right"/>
            </w:pPr>
            <w:r>
              <w:t xml:space="preserve">10.3</w:t>
            </w:r>
          </w:p>
        </w:tc>
        <w:tc>
          <w:tcPr/>
          <w:p>
            <w:pPr>
              <w:pStyle w:val="Compact"/>
              <w:jc w:val="right"/>
            </w:pPr>
            <w:r>
              <w:t xml:space="preserve">17.9</w:t>
            </w:r>
          </w:p>
        </w:tc>
        <w:tc>
          <w:tcPr/>
          <w:p>
            <w:pPr>
              <w:pStyle w:val="Compact"/>
              <w:jc w:val="right"/>
            </w:pPr>
            <w:r>
              <w:t xml:space="preserve">30.8</w:t>
            </w:r>
          </w:p>
        </w:tc>
        <w:tc>
          <w:tcPr/>
          <w:p>
            <w:pPr>
              <w:pStyle w:val="Compact"/>
              <w:jc w:val="right"/>
            </w:pPr>
            <w:r>
              <w:t xml:space="preserve">7.7</w:t>
            </w:r>
          </w:p>
        </w:tc>
        <w:tc>
          <w:tcPr/>
          <w:p>
            <w:pPr>
              <w:pStyle w:val="Compact"/>
              <w:jc w:val="right"/>
            </w:pPr>
            <w:r>
              <w:t xml:space="preserve">17.9</w:t>
            </w:r>
          </w:p>
        </w:tc>
        <w:tc>
          <w:tcPr/>
          <w:p>
            <w:pPr>
              <w:pStyle w:val="Compact"/>
              <w:jc w:val="right"/>
            </w:pPr>
            <w:r>
              <w:t xml:space="preserve">2.6</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center"/>
            </w:pPr>
            <w:r>
              <w:t xml:space="preserve">18-25 ans</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5.0</w:t>
            </w:r>
          </w:p>
        </w:tc>
        <w:tc>
          <w:tcPr/>
          <w:p>
            <w:pPr>
              <w:pStyle w:val="Compact"/>
              <w:jc w:val="right"/>
            </w:pPr>
            <w:r>
              <w:t xml:space="preserve">15.0</w:t>
            </w:r>
          </w:p>
        </w:tc>
        <w:tc>
          <w:tcPr/>
          <w:p>
            <w:pPr>
              <w:pStyle w:val="Compact"/>
              <w:jc w:val="right"/>
            </w:pPr>
            <w:r>
              <w:t xml:space="preserve">0.0</w:t>
            </w:r>
          </w:p>
        </w:tc>
        <w:tc>
          <w:tcPr/>
          <w:p>
            <w:pPr>
              <w:pStyle w:val="Compact"/>
              <w:jc w:val="right"/>
            </w:pPr>
            <w:r>
              <w:t xml:space="preserve">5.0</w:t>
            </w:r>
          </w:p>
        </w:tc>
        <w:tc>
          <w:tcPr/>
          <w:p>
            <w:pPr>
              <w:pStyle w:val="Compact"/>
              <w:jc w:val="right"/>
            </w:pPr>
            <w:r>
              <w:t xml:space="preserve">10.0</w:t>
            </w:r>
          </w:p>
        </w:tc>
        <w:tc>
          <w:tcPr/>
          <w:p>
            <w:pPr>
              <w:pStyle w:val="Compact"/>
              <w:jc w:val="right"/>
            </w:pPr>
            <w:r>
              <w:t xml:space="preserve">5.0</w:t>
            </w:r>
          </w:p>
        </w:tc>
        <w:tc>
          <w:tcPr/>
          <w:p>
            <w:pPr>
              <w:pStyle w:val="Compact"/>
              <w:jc w:val="right"/>
            </w:pPr>
            <w:r>
              <w:t xml:space="preserve">10.0</w:t>
            </w:r>
          </w:p>
        </w:tc>
        <w:tc>
          <w:tcPr/>
          <w:p>
            <w:pPr>
              <w:pStyle w:val="Compact"/>
              <w:jc w:val="right"/>
            </w:pPr>
            <w:r>
              <w:t xml:space="preserve">25.0</w:t>
            </w:r>
          </w:p>
        </w:tc>
        <w:tc>
          <w:tcPr/>
          <w:p>
            <w:pPr>
              <w:pStyle w:val="Compact"/>
              <w:jc w:val="right"/>
            </w:pPr>
            <w:r>
              <w:t xml:space="preserve">5.0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w:t>
            </w:r>
          </w:p>
        </w:tc>
      </w:tr>
      <w:tr>
        <w:tc>
          <w:tcPr>
            <w:gridSpan w:val="18"/>
          </w:tcPr>
          <w:p>
            <w:pPr>
              <w:pStyle w:val="Compact"/>
              <w:jc w:val="left"/>
            </w:pPr>
            <w:r>
              <w:t xml:space="preserve">Marovoay</w:t>
            </w:r>
          </w:p>
        </w:tc>
      </w:tr>
      <w:tr>
        <w:tc>
          <w:tcPr/>
          <w:p>
            <w:pPr>
              <w:pStyle w:val="Compact"/>
              <w:jc w:val="center"/>
            </w:pPr>
            <w:r>
              <w:t xml:space="preserve">3-5 ans</w:t>
            </w:r>
          </w:p>
        </w:tc>
        <w:tc>
          <w:tcPr/>
          <w:p>
            <w:pPr>
              <w:pStyle w:val="Compact"/>
              <w:jc w:val="right"/>
            </w:pPr>
            <w:r>
              <w:t xml:space="preserve">62.5</w:t>
            </w:r>
          </w:p>
        </w:tc>
        <w:tc>
          <w:tcPr/>
          <w:p>
            <w:pPr>
              <w:pStyle w:val="Compact"/>
              <w:jc w:val="right"/>
            </w:pPr>
            <w:r>
              <w:t xml:space="preserve">29.2</w:t>
            </w:r>
          </w:p>
        </w:tc>
        <w:tc>
          <w:tcPr/>
          <w:p>
            <w:pPr>
              <w:pStyle w:val="Compact"/>
              <w:jc w:val="right"/>
            </w:pPr>
            <w:r>
              <w:t xml:space="preserve">8.3</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center"/>
            </w:pPr>
            <w:r>
              <w:t xml:space="preserve">6-10 ans</w:t>
            </w:r>
          </w:p>
        </w:tc>
        <w:tc>
          <w:tcPr/>
          <w:p>
            <w:pPr>
              <w:pStyle w:val="Compact"/>
              <w:jc w:val="right"/>
            </w:pPr>
            <w:r>
              <w:t xml:space="preserve">7.3</w:t>
            </w:r>
          </w:p>
        </w:tc>
        <w:tc>
          <w:tcPr/>
          <w:p>
            <w:pPr>
              <w:pStyle w:val="Compact"/>
              <w:jc w:val="right"/>
            </w:pPr>
            <w:r>
              <w:t xml:space="preserve">34.2</w:t>
            </w:r>
          </w:p>
        </w:tc>
        <w:tc>
          <w:tcPr/>
          <w:p>
            <w:pPr>
              <w:pStyle w:val="Compact"/>
              <w:jc w:val="right"/>
            </w:pPr>
            <w:r>
              <w:t xml:space="preserve">30.8</w:t>
            </w:r>
          </w:p>
        </w:tc>
        <w:tc>
          <w:tcPr/>
          <w:p>
            <w:pPr>
              <w:pStyle w:val="Compact"/>
              <w:jc w:val="right"/>
            </w:pPr>
            <w:r>
              <w:t xml:space="preserve">15.4</w:t>
            </w:r>
          </w:p>
        </w:tc>
        <w:tc>
          <w:tcPr/>
          <w:p>
            <w:pPr>
              <w:pStyle w:val="Compact"/>
              <w:jc w:val="right"/>
            </w:pPr>
            <w:r>
              <w:t xml:space="preserve">6.5</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0.8</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center"/>
            </w:pPr>
            <w:r>
              <w:t xml:space="preserve">11-14 ans</w:t>
            </w:r>
          </w:p>
        </w:tc>
        <w:tc>
          <w:tcPr/>
          <w:p>
            <w:pPr>
              <w:pStyle w:val="Compact"/>
              <w:jc w:val="right"/>
            </w:pPr>
            <w:r>
              <w:t xml:space="preserve">0.0</w:t>
            </w:r>
          </w:p>
        </w:tc>
        <w:tc>
          <w:tcPr/>
          <w:p>
            <w:pPr>
              <w:pStyle w:val="Compact"/>
              <w:jc w:val="right"/>
            </w:pPr>
            <w:r>
              <w:t xml:space="preserve">4.7</w:t>
            </w:r>
          </w:p>
        </w:tc>
        <w:tc>
          <w:tcPr/>
          <w:p>
            <w:pPr>
              <w:pStyle w:val="Compact"/>
              <w:jc w:val="right"/>
            </w:pPr>
            <w:r>
              <w:t xml:space="preserve">9.3</w:t>
            </w:r>
          </w:p>
        </w:tc>
        <w:tc>
          <w:tcPr/>
          <w:p>
            <w:pPr>
              <w:pStyle w:val="Compact"/>
              <w:jc w:val="right"/>
            </w:pPr>
            <w:r>
              <w:t xml:space="preserve">21.5</w:t>
            </w:r>
          </w:p>
        </w:tc>
        <w:tc>
          <w:tcPr/>
          <w:p>
            <w:pPr>
              <w:pStyle w:val="Compact"/>
              <w:jc w:val="right"/>
            </w:pPr>
            <w:r>
              <w:t xml:space="preserve">18.0</w:t>
            </w:r>
          </w:p>
        </w:tc>
        <w:tc>
          <w:tcPr/>
          <w:p>
            <w:pPr>
              <w:pStyle w:val="Compact"/>
              <w:jc w:val="right"/>
            </w:pPr>
            <w:r>
              <w:t xml:space="preserve">15.7</w:t>
            </w:r>
          </w:p>
        </w:tc>
        <w:tc>
          <w:tcPr/>
          <w:p>
            <w:pPr>
              <w:pStyle w:val="Compact"/>
              <w:jc w:val="right"/>
            </w:pPr>
            <w:r>
              <w:t xml:space="preserve">15.1</w:t>
            </w:r>
          </w:p>
        </w:tc>
        <w:tc>
          <w:tcPr/>
          <w:p>
            <w:pPr>
              <w:pStyle w:val="Compact"/>
              <w:jc w:val="right"/>
            </w:pPr>
            <w:r>
              <w:t xml:space="preserve">7.0</w:t>
            </w:r>
          </w:p>
        </w:tc>
        <w:tc>
          <w:tcPr/>
          <w:p>
            <w:pPr>
              <w:pStyle w:val="Compact"/>
              <w:jc w:val="right"/>
            </w:pPr>
            <w:r>
              <w:t xml:space="preserve">6.4</w:t>
            </w:r>
          </w:p>
        </w:tc>
        <w:tc>
          <w:tcPr/>
          <w:p>
            <w:pPr>
              <w:pStyle w:val="Compact"/>
              <w:jc w:val="right"/>
            </w:pPr>
            <w:r>
              <w:t xml:space="preserve">1.7</w:t>
            </w:r>
          </w:p>
        </w:tc>
        <w:tc>
          <w:tcPr/>
          <w:p>
            <w:pPr>
              <w:pStyle w:val="Compact"/>
              <w:jc w:val="right"/>
            </w:pPr>
            <w:r>
              <w:t xml:space="preserve">0.0</w:t>
            </w:r>
          </w:p>
        </w:tc>
        <w:tc>
          <w:tcPr/>
          <w:p>
            <w:pPr>
              <w:pStyle w:val="Compact"/>
              <w:jc w:val="right"/>
            </w:pPr>
            <w:r>
              <w:t xml:space="preserve">0.6</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center"/>
            </w:pPr>
            <w:r>
              <w:t xml:space="preserve">15-17 ans</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17.0</w:t>
            </w:r>
          </w:p>
        </w:tc>
        <w:tc>
          <w:tcPr/>
          <w:p>
            <w:pPr>
              <w:pStyle w:val="Compact"/>
              <w:jc w:val="right"/>
            </w:pPr>
            <w:r>
              <w:t xml:space="preserve">9.4</w:t>
            </w:r>
          </w:p>
        </w:tc>
        <w:tc>
          <w:tcPr/>
          <w:p>
            <w:pPr>
              <w:pStyle w:val="Compact"/>
              <w:jc w:val="right"/>
            </w:pPr>
            <w:r>
              <w:t xml:space="preserve">11.3</w:t>
            </w:r>
          </w:p>
        </w:tc>
        <w:tc>
          <w:tcPr/>
          <w:p>
            <w:pPr>
              <w:pStyle w:val="Compact"/>
              <w:jc w:val="right"/>
            </w:pPr>
            <w:r>
              <w:t xml:space="preserve">15.1</w:t>
            </w:r>
          </w:p>
        </w:tc>
        <w:tc>
          <w:tcPr/>
          <w:p>
            <w:pPr>
              <w:pStyle w:val="Compact"/>
              <w:jc w:val="right"/>
            </w:pPr>
            <w:r>
              <w:t xml:space="preserve">13.2</w:t>
            </w:r>
          </w:p>
        </w:tc>
        <w:tc>
          <w:tcPr/>
          <w:p>
            <w:pPr>
              <w:pStyle w:val="Compact"/>
              <w:jc w:val="right"/>
            </w:pPr>
            <w:r>
              <w:t xml:space="preserve">22.6</w:t>
            </w:r>
          </w:p>
        </w:tc>
        <w:tc>
          <w:tcPr/>
          <w:p>
            <w:pPr>
              <w:pStyle w:val="Compact"/>
              <w:jc w:val="right"/>
            </w:pPr>
            <w:r>
              <w:t xml:space="preserve">3.8</w:t>
            </w:r>
          </w:p>
        </w:tc>
        <w:tc>
          <w:tcPr/>
          <w:p>
            <w:pPr>
              <w:pStyle w:val="Compact"/>
              <w:jc w:val="right"/>
            </w:pPr>
            <w:r>
              <w:t xml:space="preserve">5.7</w:t>
            </w:r>
          </w:p>
        </w:tc>
        <w:tc>
          <w:tcPr/>
          <w:p>
            <w:pPr>
              <w:pStyle w:val="Compact"/>
              <w:jc w:val="right"/>
            </w:pPr>
            <w:r>
              <w:t xml:space="preserve">1.9</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center"/>
            </w:pPr>
            <w:r>
              <w:t xml:space="preserve">18-25 ans</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7.7</w:t>
            </w:r>
          </w:p>
        </w:tc>
        <w:tc>
          <w:tcPr/>
          <w:p>
            <w:pPr>
              <w:pStyle w:val="Compact"/>
              <w:jc w:val="right"/>
            </w:pPr>
            <w:r>
              <w:t xml:space="preserve">7.7</w:t>
            </w:r>
          </w:p>
        </w:tc>
        <w:tc>
          <w:tcPr/>
          <w:p>
            <w:pPr>
              <w:pStyle w:val="Compact"/>
              <w:jc w:val="right"/>
            </w:pPr>
            <w:r>
              <w:t xml:space="preserve">7.7</w:t>
            </w:r>
          </w:p>
        </w:tc>
        <w:tc>
          <w:tcPr/>
          <w:p>
            <w:pPr>
              <w:pStyle w:val="Compact"/>
              <w:jc w:val="right"/>
            </w:pPr>
            <w:r>
              <w:t xml:space="preserve">7.7</w:t>
            </w:r>
          </w:p>
        </w:tc>
        <w:tc>
          <w:tcPr/>
          <w:p>
            <w:pPr>
              <w:pStyle w:val="Compact"/>
              <w:jc w:val="right"/>
            </w:pPr>
            <w:r>
              <w:t xml:space="preserve">11.5</w:t>
            </w:r>
          </w:p>
        </w:tc>
        <w:tc>
          <w:tcPr/>
          <w:p>
            <w:pPr>
              <w:pStyle w:val="Compact"/>
              <w:jc w:val="right"/>
            </w:pPr>
            <w:r>
              <w:t xml:space="preserve">19.2</w:t>
            </w:r>
          </w:p>
        </w:tc>
        <w:tc>
          <w:tcPr/>
          <w:p>
            <w:pPr>
              <w:pStyle w:val="Compact"/>
              <w:jc w:val="right"/>
            </w:pPr>
            <w:r>
              <w:t xml:space="preserve">19.2</w:t>
            </w:r>
          </w:p>
        </w:tc>
        <w:tc>
          <w:tcPr/>
          <w:p>
            <w:pPr>
              <w:pStyle w:val="Compact"/>
              <w:jc w:val="right"/>
            </w:pPr>
            <w:r>
              <w:t xml:space="preserve">11.5</w:t>
            </w:r>
          </w:p>
        </w:tc>
        <w:tc>
          <w:tcPr/>
          <w:p>
            <w:pPr>
              <w:pStyle w:val="Compact"/>
              <w:jc w:val="right"/>
            </w:pPr>
            <w:r>
              <w:t xml:space="preserve">7.7</w:t>
            </w:r>
          </w:p>
        </w:tc>
        <w:tc>
          <w:tcPr/>
          <w:p>
            <w:pPr>
              <w:pStyle w:val="Compact"/>
              <w:jc w:val="right"/>
            </w:pPr>
            <w:r>
              <w:t xml:space="preserve">0.0</w:t>
            </w:r>
          </w:p>
        </w:tc>
      </w:tr>
      <w:tr>
        <w:tc>
          <w:tcPr>
            <w:gridSpan w:val="18"/>
          </w:tcPr>
          <w:p>
            <w:pPr>
              <w:pStyle w:val="Compact"/>
              <w:jc w:val="left"/>
            </w:pPr>
            <w:r>
              <w:rPr>
                <w:b/>
                <w:bCs/>
              </w:rPr>
              <w:t xml:space="preserve">Source : Enquête auprès des OR 2025</w:t>
            </w:r>
          </w:p>
        </w:tc>
      </w:tr>
    </w:tbl>
    <w:p>
      <w:pPr>
        <w:pStyle w:val="Corpsdetexte"/>
      </w:pPr>
      <w:r>
        <w:t xml:space="preserve">La progression scolaire suit globalement la structure attendue par âge. Entre 3 et 5 ans, les enfants sont majoritairement en préscolaire, avec une part déjà entrée en CP1. Chez les 6-10 ans, les classes du primaire dominent nettement, en particulier le CP2, le CE et le CM1-CM2. Entre 11 et 14 ans, la répartition se déplace vers la fin du primaire et le premier cycle du secondaire, surtout la 6e et la 5e. Enfin, les 15-17 ans se concentrent davantage dans les classes du secondaire, tandis que les niveaux supérieurs n’apparaissent que parmi les 18-25 ans.</w:t>
      </w:r>
    </w:p>
    <w:bookmarkEnd w:id="277"/>
    <w:bookmarkStart w:id="282" w:name="Xe1cead9d2afb94967e0a6d7bde7feca3037673d"/>
    <w:p>
      <w:pPr>
        <w:pStyle w:val="Titre4"/>
      </w:pPr>
      <w:r>
        <w:t xml:space="preserve">2.3.3.3 Raisons de non fréquentation de l’école pour les 6 à 15 ans</w:t>
      </w:r>
    </w:p>
    <w:p>
      <w:pPr>
        <w:pStyle w:val="FirstParagraph"/>
      </w:pPr>
      <w:r>
        <w:t xml:space="preserve">La</w:t>
      </w:r>
      <w:r>
        <w:t xml:space="preserve"> </w:t>
      </w:r>
      <w:hyperlink w:anchor="fig-raisons-non-scol">
        <w:r>
          <w:rPr>
            <w:rStyle w:val="Lienhypertexte"/>
          </w:rPr>
          <w:t xml:space="preserve">Figure 2.2</w:t>
        </w:r>
      </w:hyperlink>
      <w:r>
        <w:t xml:space="preserve"> </w:t>
      </w:r>
      <w:r>
        <w:t xml:space="preserve">détaille l’ensemble des motifs de non-scolarisation cités.</w:t>
      </w:r>
    </w:p>
    <w:p>
      <w:pPr>
        <w:pStyle w:val="Corpsdetexte"/>
      </w:pPr>
      <w:r>
        <w:t xml:space="preserve">Dans l’Alaotra, parmi les enfants de 6 à 15 ans non scolarisés, la première raison invoquée est « Autre » (33.3 %).</w:t>
      </w:r>
    </w:p>
    <w:p>
      <w:pPr>
        <w:pStyle w:val="Corpsdetexte"/>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281" w:name="fig-raisons-non-scol"/>
          <w:p>
            <w:pPr>
              <w:jc w:val="center"/>
            </w:pPr>
            <w:pPr>
              <w:jc w:val="left"/>
              <w:spacing w:before="200"/>
              <w:pStyle w:val="ImageCaption"/>
            </w:pPr>
            <w:r>
              <w:t xml:space="preserve">Figure 2.2: Principales raisons de non-scolarisation ou d’arrêt des études (6-15 ans)</w:t>
            </w:r>
          </w:p>
          <w:p>
            <w:pPr>
              <w:pStyle w:val="Compact"/>
              <w:jc w:val="center"/>
            </w:pPr>
            <w:r>
              <w:drawing>
                <wp:inline>
                  <wp:extent cx="5969000" cy="2984500"/>
                  <wp:effectExtent b="0" l="0" r="0" t="0"/>
                  <wp:docPr descr="" title="" id="279" name="Picture"/>
                  <a:graphic>
                    <a:graphicData uri="http://schemas.openxmlformats.org/drawingml/2006/picture">
                      <pic:pic>
                        <pic:nvPicPr>
                          <pic:cNvPr descr="02_structure_menages_files/figure-docx/fig-raisons-non-scol-1.png" id="280" name="Picture"/>
                          <pic:cNvPicPr>
                            <a:picLocks noChangeArrowheads="1" noChangeAspect="1"/>
                          </pic:cNvPicPr>
                        </pic:nvPicPr>
                        <pic:blipFill>
                          <a:blip r:embed="rId278"/>
                          <a:stretch>
                            <a:fillRect/>
                          </a:stretch>
                        </pic:blipFill>
                        <pic:spPr bwMode="auto">
                          <a:xfrm>
                            <a:off x="0" y="0"/>
                            <a:ext cx="5969000" cy="2984500"/>
                          </a:xfrm>
                          <a:prstGeom prst="rect">
                            <a:avLst/>
                          </a:prstGeom>
                          <a:noFill/>
                          <a:ln w="9525">
                            <a:noFill/>
                            <a:headEnd/>
                            <a:tailEnd/>
                          </a:ln>
                        </pic:spPr>
                      </pic:pic>
                    </a:graphicData>
                  </a:graphic>
                </wp:inline>
              </w:drawing>
            </w:r>
          </w:p>
          <w:bookmarkEnd w:id="281"/>
        </w:tc>
      </w:tr>
    </w:tbl>
    <w:bookmarkEnd w:id="282"/>
    <w:bookmarkEnd w:id="283"/>
    <w:bookmarkStart w:id="293"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w:t>
      </w:r>
      <w:r>
        <w:t xml:space="preserve"> </w:t>
      </w:r>
      <w:r>
        <w:t xml:space="preserve">Les activités sont regroupées selon la même nomenclature sectorielle que pour les CM.</w:t>
      </w:r>
    </w:p>
    <w:p>
      <w:pPr>
        <w:pStyle w:val="Corpsdetexte"/>
      </w:pPr>
      <w:r>
        <w:t xml:space="preserve">A Alaotra, les activités principales des autres membres sont dominées par les cultivateurs exploitants, qui représentent 53 % des individus. Les ouvriers agricoles ainsi que les activités de commerce et restauration occupent chacun 10 %. Les autres activités restent plus marginales et concernent les élèves et étudiants avec 7 %, les inactifs et retraités avec 6 %, les services et autres activités ainsi que l’élevage, la pêche et les ressources naturelles avec 5 % chacun, et enfin l’artisanat, le BTP et le transport avec 4 %.</w:t>
      </w:r>
    </w:p>
    <w:p>
      <w:pPr>
        <w:pStyle w:val="Corpsdetexte"/>
      </w:pPr>
      <w:r>
        <w:t xml:space="preserve">A Marovoay, les cultivateurs exploitants constituent également l’activité principale la plus fréquente avec 49 %. Les ouvriers agricoles représentent 17 % des autres membres. Les activités restantes occupent des parts plus faibles, avec 9 % pour les élèves et étudiants ainsi que pour les inactifs et retraités, 8 % pour le commerce et la restauration, 4 % pour l’artisanat, le BTP et le transport, puis 2 % chacun pour les services et autres activités ainsi que pour l’élevage, la pêche et les ressources naturelles.</w:t>
      </w:r>
    </w:p>
    <w:tbl>
      <w:tblPr>
        <w:tblStyle w:val="Table"/>
        <w:tblW w:type="pct" w:w="5000"/>
        <w:tblLayout w:type="fixed"/>
        <w:tblLook w:firstRow="0" w:lastRow="0" w:firstColumn="0" w:lastColumn="0" w:noHBand="0" w:noVBand="0" w:val="0000"/>
      </w:tblPr>
      <w:tblGrid>
        <w:gridCol w:w="7920"/>
      </w:tblGrid>
      <w:tr>
        <w:tc>
          <w:tcPr/>
          <w:bookmarkStart w:id="288" w:name="fig-other-act"/>
          <w:p>
            <w:pPr>
              <w:jc w:val="center"/>
            </w:pPr>
            <w:pPr>
              <w:jc w:val="left"/>
              <w:spacing w:before="200"/>
              <w:pStyle w:val="ImageCaption"/>
            </w:pPr>
            <w:r>
              <w:t xml:space="preserve">Figure 2.3</w:t>
            </w:r>
          </w:p>
          <w:p>
            <w:pPr>
              <w:pStyle w:val="Compact"/>
              <w:jc w:val="center"/>
            </w:pPr>
            <w:bookmarkStart w:id="287" w:name="fig-other-act"/>
            <w:r>
              <w:drawing>
                <wp:inline>
                  <wp:extent cx="4620126" cy="2772075"/>
                  <wp:effectExtent b="0" l="0" r="0" t="0"/>
                  <wp:docPr descr="" title="" id="285" name="Picture"/>
                  <a:graphic>
                    <a:graphicData uri="http://schemas.openxmlformats.org/drawingml/2006/picture">
                      <pic:pic>
                        <pic:nvPicPr>
                          <pic:cNvPr descr="02_structure_menages_files/figure-docx/fig-other-act-1.png" id="286" name="Picture"/>
                          <pic:cNvPicPr>
                            <a:picLocks noChangeArrowheads="1" noChangeAspect="1"/>
                          </pic:cNvPicPr>
                        </pic:nvPicPr>
                        <pic:blipFill>
                          <a:blip r:embed="rId284"/>
                          <a:stretch>
                            <a:fillRect/>
                          </a:stretch>
                        </pic:blipFill>
                        <pic:spPr bwMode="auto">
                          <a:xfrm>
                            <a:off x="0" y="0"/>
                            <a:ext cx="4620126" cy="2772075"/>
                          </a:xfrm>
                          <a:prstGeom prst="rect">
                            <a:avLst/>
                          </a:prstGeom>
                          <a:noFill/>
                          <a:ln w="9525">
                            <a:noFill/>
                            <a:headEnd/>
                            <a:tailEnd/>
                          </a:ln>
                        </pic:spPr>
                      </pic:pic>
                    </a:graphicData>
                  </a:graphic>
                </wp:inline>
              </w:drawing>
            </w:r>
            <w:bookmarkEnd w:id="287"/>
          </w:p>
          <w:bookmarkEnd w:id="288"/>
        </w:tc>
      </w:tr>
    </w:tbl>
    <w:bookmarkStart w:id="292" w:name="X46ff1d61f791f42f47b783b920cfc68895dbbf2"/>
    <w:p>
      <w:pPr>
        <w:pStyle w:val="Titre4"/>
      </w:pPr>
      <w:r>
        <w:t xml:space="preserve">2.3.4.1 Activités principales des autres membres par sexe</w:t>
      </w:r>
    </w:p>
    <w:p>
      <w:pPr>
        <w:pStyle w:val="FirstParagraph"/>
      </w:pPr>
      <w:r>
        <w:t xml:space="preserve">A Alaotra, l’activité de cultivateur exploitant est majoritaire pour les deux sexes, concernant 54.9 % des femmes et 47.6 % des hommes. La diversification économique est marquée par une présence masculine importante dans le secteur des services et autres activités avec 17.9 % contre 8.7 % pour les femmes. À l’inverse, le secteur du commerce et de la restauration est une spécialisation essentiellement féminine touchant 13.5 % des femmes contre moins de 5 % des hommes. Le salariat agricole comme ouvrier concerne 10.8 % des femmes et 9.0 % des membres masculins. Le statut d’élève ou étudiant est plus fréquent chez les hommes avec 11.8 % contre 4.9 % pour les femmes. Enfin, l’élevage et les ressources naturelles occupent 7.5 % des hommes et 3.6 % des femmes, tandis que l’artisanat concerne 5.2 % des hommes et 3.4 % des femmes.</w:t>
      </w:r>
    </w:p>
    <w:p>
      <w:pPr>
        <w:pStyle w:val="Corpsdetexte"/>
      </w:pPr>
      <w:r>
        <w:t xml:space="preserve">À Marovoay, la fonction de cultivateur exploitant est également prédominante, surtout chez les femmes qui sont 53.5 % contre 39.1 % pour les hommes. Le recours au salariat agricole est plus intense qu’à l’Alaotra, avec 18.6 % d’hommes et 16.7 % de femmes travaillant comme ouvriers agricoles. Une disparité majeure apparaît dans le statut d’élève ou étudiant, qui concerne 17.8 % des membres masculins mais seulement 5.7 % des membres féminins. Le secteur des services et autres activités emploie 14.3 % des hommes et 9.6 % des femmes. Le commerce et la restauration restent portés par les femmes avec un taux de 10.1 % contre moins de 5 % pour les hommes. Les secteurs de l’artisanat, du BTP et du transport occupent 5.4 % des hommes et 2.7 % des femmes. Enfin, l’élevage, la pêche et l’exploitation des ressources naturelles concernent 3.1 % des hommes et 1.7 % des membres féminins.</w:t>
      </w:r>
    </w:p>
    <w:p>
      <w:pPr>
        <w:pStyle w:val="Corpsdetexte"/>
      </w:pPr>
      <w:r>
        <w:drawing>
          <wp:inline>
            <wp:extent cx="4620126" cy="3234088"/>
            <wp:effectExtent b="0" l="0" r="0" t="0"/>
            <wp:docPr descr="" title="" id="290" name="Picture"/>
            <a:graphic>
              <a:graphicData uri="http://schemas.openxmlformats.org/drawingml/2006/picture">
                <pic:pic>
                  <pic:nvPicPr>
                    <pic:cNvPr descr="02_structure_menages_files/figure-docx/fig_other_act_sex-1.png" id="291" name="Picture"/>
                    <pic:cNvPicPr>
                      <a:picLocks noChangeArrowheads="1" noChangeAspect="1"/>
                    </pic:cNvPicPr>
                  </pic:nvPicPr>
                  <pic:blipFill>
                    <a:blip r:embed="rId289"/>
                    <a:stretch>
                      <a:fillRect/>
                    </a:stretch>
                  </pic:blipFill>
                  <pic:spPr bwMode="auto">
                    <a:xfrm>
                      <a:off x="0" y="0"/>
                      <a:ext cx="4620126" cy="3234088"/>
                    </a:xfrm>
                    <a:prstGeom prst="rect">
                      <a:avLst/>
                    </a:prstGeom>
                    <a:noFill/>
                    <a:ln w="9525">
                      <a:noFill/>
                      <a:headEnd/>
                      <a:tailEnd/>
                    </a:ln>
                  </pic:spPr>
                </pic:pic>
              </a:graphicData>
            </a:graphic>
          </wp:inline>
        </w:drawing>
      </w:r>
    </w:p>
    <w:bookmarkEnd w:id="292"/>
    <w:bookmarkEnd w:id="293"/>
    <w:bookmarkEnd w:id="294"/>
    <w:bookmarkStart w:id="310" w:name="sec-demog-multiyear"/>
    <w:p>
      <w:pPr>
        <w:pStyle w:val="Titre2"/>
      </w:pPr>
      <w:r>
        <w:t xml:space="preserve">2.4 Évolution des indicateurs démographiques (1996-2025)</w:t>
      </w:r>
    </w:p>
    <w:p>
      <w:pPr>
        <w:pStyle w:val="FirstParagraph"/>
      </w:pPr>
      <w:r>
        <w:t xml:space="preserve">Les observatoires disposent de données démographiques depuis les années 1990.</w:t>
      </w:r>
      <w:r>
        <w:t xml:space="preserve"> </w:t>
      </w:r>
      <w:r>
        <w:t xml:space="preserve">Cette section retrace l’évolution de quatre indicateurs clés : la taille moyenne des ménages, la proportion de chefs de ménage femmes, le taux de scolarisation des 6-14 ans et l’âge moyen du chef de ménage.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Corpsdetexte"/>
            </w:pPr>
            <w:pPr>
              <w:spacing w:before="0" w:after="0"/>
              <w:textAlignment w:val="center"/>
            </w:pPr>
            <w:r>
              <w:drawing>
                <wp:inline>
                  <wp:extent cx="152400" cy="152400"/>
                  <wp:effectExtent b="0" l="0" r="0" t="0"/>
                  <wp:docPr descr="" title="" id="296" name="Picture"/>
                  <a:graphic>
                    <a:graphicData uri="http://schemas.openxmlformats.org/drawingml/2006/picture">
                      <pic:pic>
                        <pic:nvPicPr>
                          <pic:cNvPr descr="C:\PROGRA~1\Quarto\share\formats\docx\caution.png" id="297" name="Picture"/>
                          <pic:cNvPicPr>
                            <a:picLocks noChangeArrowheads="1" noChangeAspect="1"/>
                          </pic:cNvPicPr>
                        </pic:nvPicPr>
                        <pic:blipFill>
                          <a:blip r:embed="rId2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 effet du panel et de l’échantillonnage</w:t>
            </w:r>
          </w:p>
        </w:tc>
      </w:tr>
      <w:tr>
        <w:trPr>
          <w:cantSplit/>
        </w:trPr>
        <w:tc>
          <w:tcPr>
            <w:tcMar>
              <w:top w:w="108" w:type="dxa"/>
              <w:bottom w:w="108" w:type="dxa"/>
            </w:tcMar>
          </w:tcPr>
          <w:p>
            <w:pPr>
              <w:pStyle w:val="Corpsdetexte"/>
            </w:pPr>
            <w:pPr>
              <w:spacing w:before="16" w:after="16"/>
            </w:pPr>
            <w:r>
              <w:t xml:space="preserve">Les tendances présentées dans cette section doivent être interprétées avec prudence.</w:t>
            </w:r>
            <w:r>
              <w:t xml:space="preserve"> </w:t>
            </w:r>
            <w:r>
              <w:t xml:space="preserve">Les observatoires suivaient un dispositif de</w:t>
            </w:r>
            <w:r>
              <w:t xml:space="preserve"> </w:t>
            </w:r>
            <w:r>
              <w:rPr>
                <w:b/>
                <w:bCs/>
              </w:rPr>
              <w:t xml:space="preserve">panel</w:t>
            </w:r>
            <w:r>
              <w:t xml:space="preserve"> </w:t>
            </w:r>
            <w:r>
              <w:t xml:space="preserve">: la première année, les ménages sont tirés au sort dans la localités, puis ils sont réinterrogés chaque année (avec remplacement partiel si le ménage a disparu ou refuse de répondre).</w:t>
            </w:r>
            <w:r>
              <w:t xml:space="preserve"> </w:t>
            </w:r>
            <w:r>
              <w:t xml:space="preserve">En 2025, après dix ans d’interruption, un</w:t>
            </w:r>
            <w:r>
              <w:t xml:space="preserve"> </w:t>
            </w:r>
            <w:r>
              <w:rPr>
                <w:b/>
                <w:bCs/>
              </w:rPr>
              <w:t xml:space="preserve">nouveau tirage</w:t>
            </w:r>
            <w:r>
              <w:t xml:space="preserve"> </w:t>
            </w:r>
            <w:r>
              <w:t xml:space="preserve">a été effectué à partir du dénombrement.</w:t>
            </w:r>
            <w:r>
              <w:t xml:space="preserve"> </w:t>
            </w:r>
            <w:r>
              <w:t xml:space="preserve">Les évolutions observées reflètent donc à la fois des dynamiques réelles dans les localités et des changements de composition de l’échantillon (vieillissement du panel, attrition sélective, renouvellement complet en 2025).</w:t>
            </w:r>
          </w:p>
          <w:p/>
        </w:tc>
      </w:tr>
    </w:tbl>
    <w:p>
      <w:pPr>
        <w:pStyle w:val="Corpsdetexte"/>
      </w:pPr>
      <w:r>
        <w:t xml:space="preserve">À Alaotra, la taille moyenne des ménages reste relativement stable entre 1999 et 2004, oscillant autour de 5.3 à 5.4 personnes par ménage. À partir de 2005, une hausse progressive est observée, la taille moyenne passant d’environ 5.7 personnes à près de 7 personnes en 2014. Cette évolution traduit une tendance à l’agrandissement des ménages au fil des années. Toutefois, une légère baisse est enregistrée à la fin de la période, avant une chute marquée en 2025 où la taille moyenne des ménages descend à environ 3.9 personnes.</w:t>
      </w:r>
    </w:p>
    <w:p>
      <w:pPr>
        <w:pStyle w:val="Corpsdetexte"/>
      </w:pPr>
      <w:r>
        <w:t xml:space="preserve">À Marovoay, la taille moyenne des ménages présente davantage de fluctuations au cours de la période observée. Entre 1996 et 1999, elle augmente progressivement pour atteindre près de 5.8 personnes par ménage, avant de diminuer légèrement au début des années 2000. Une baisse très prononcée est observée en 2005, avec une taille moyenne inférieure à 4 personnes. Par la suite, une reprise rapide s’amorce dès 2006 et se poursuit jusqu’en 2014, où la taille moyenne dépasse 7 personnes par ménage, représentant le niveau le plus élevé de la série. En 2025, une diminution importante est également constatée, la taille moyenne des ménages revenant à environ 4.4 personnes.</w:t>
      </w:r>
    </w:p>
    <w:p>
      <w:pPr>
        <w:pStyle w:val="CaptionedFigure"/>
      </w:pPr>
      <w:r>
        <w:drawing>
          <wp:inline>
            <wp:extent cx="5969000" cy="1492250"/>
            <wp:effectExtent b="0" l="0" r="0" t="0"/>
            <wp:docPr descr="Évolution de la taille moyenne des ménages (1996-2025)" title="" id="299" name="Picture"/>
            <a:graphic>
              <a:graphicData uri="http://schemas.openxmlformats.org/drawingml/2006/picture">
                <pic:pic>
                  <pic:nvPicPr>
                    <pic:cNvPr descr="02_structure_menages_files/figure-docx/fig_demog_taille-1.png" id="300" name="Picture"/>
                    <pic:cNvPicPr>
                      <a:picLocks noChangeArrowheads="1" noChangeAspect="1"/>
                    </pic:cNvPicPr>
                  </pic:nvPicPr>
                  <pic:blipFill>
                    <a:blip r:embed="rId298"/>
                    <a:stretch>
                      <a:fillRect/>
                    </a:stretch>
                  </pic:blipFill>
                  <pic:spPr bwMode="auto">
                    <a:xfrm>
                      <a:off x="0" y="0"/>
                      <a:ext cx="5969000" cy="1492250"/>
                    </a:xfrm>
                    <a:prstGeom prst="rect">
                      <a:avLst/>
                    </a:prstGeom>
                    <a:noFill/>
                    <a:ln w="9525">
                      <a:noFill/>
                      <a:headEnd/>
                      <a:tailEnd/>
                    </a:ln>
                  </pic:spPr>
                </pic:pic>
              </a:graphicData>
            </a:graphic>
          </wp:inline>
        </w:drawing>
      </w:r>
    </w:p>
    <w:p>
      <w:pPr>
        <w:pStyle w:val="ImageCaption"/>
      </w:pPr>
      <w:r>
        <w:t xml:space="preserve">Évolution de la taille moyenne des ménages (1996-2025)</w:t>
      </w:r>
    </w:p>
    <w:p>
      <w:pPr>
        <w:pStyle w:val="Corpsdetexte"/>
      </w:pPr>
      <w:r>
        <w:t xml:space="preserve">À Alaotra, la proportion de femmes chefs de ménage augmente entre 1999 et 2001, passant d’environ 18.9% à plus de 21%. Par la suite, une tendance générale à la baisse est observée jusqu’en 2004. Entre 2005 et 2014, les variations restent relativement faibles, avec des proportions oscillant autour de 18% à 19%. En 2025, le pourcentage de femmes chefs de ménage connaît une nouvelle hausse et atteint environ 21.7%.</w:t>
      </w:r>
    </w:p>
    <w:p>
      <w:pPr>
        <w:pStyle w:val="Corpsdetexte"/>
      </w:pPr>
      <w:r>
        <w:t xml:space="preserve">À Marovoay, l’évolution du pourcentage de femmes chefs de ménage apparaît plus irrégulière. Entre 1996 et 1998, la proportion diminue fortement pour atteindre près de 15.7%, avant d’augmenter progressivement au début des années 2000. Un pic marqué est observé en 2005, où la proportion dépasse 23%, représentant le niveau le plus élevé de la série. Après une baisse en 2006, la proportion repart à la hausse et se stabilise globalement autour de 21% à 22% jusqu’en 2014. En 2025, le pourcentage de femmes chefs de ménage reste élevé, atteignant environ 22%.</w:t>
      </w:r>
    </w:p>
    <w:p>
      <w:pPr>
        <w:pStyle w:val="CaptionedFigure"/>
      </w:pPr>
      <w:r>
        <w:drawing>
          <wp:inline>
            <wp:extent cx="5969000" cy="1865312"/>
            <wp:effectExtent b="0" l="0" r="0" t="0"/>
            <wp:docPr descr="Évolution du pourcentage de chefs de ménage femmes (1996-2025)" title="" id="302" name="Picture"/>
            <a:graphic>
              <a:graphicData uri="http://schemas.openxmlformats.org/drawingml/2006/picture">
                <pic:pic>
                  <pic:nvPicPr>
                    <pic:cNvPr descr="02_structure_menages_files/figure-docx/fig_demog_fem_cm-1.png" id="303" name="Picture"/>
                    <pic:cNvPicPr>
                      <a:picLocks noChangeArrowheads="1" noChangeAspect="1"/>
                    </pic:cNvPicPr>
                  </pic:nvPicPr>
                  <pic:blipFill>
                    <a:blip r:embed="rId301"/>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pourcentage de chefs de ménage femmes (1996-2025)</w:t>
      </w:r>
    </w:p>
    <w:p>
      <w:pPr>
        <w:pStyle w:val="Corpsdetexte"/>
      </w:pPr>
      <w:r>
        <w:t xml:space="preserve">À Alaotra, le taux de scolarisation des enfants de 6 à 14 ans demeure globalement élevé sur l’ensemble de la période observée. Après une baisse entre 1999 et 2000, le taux augmente fortement pour atteindre plus de 95% en 2003. Par la suite, quelques fluctuations sont observées, avec une diminution autour de 2007 et 2008, avant une nouvelle hausse en 2010. Entre 2011 et 2013, le taux reste relativement stable autour de 91% à 92%, puis progresse à nouveau en 2014 pour atteindre près de 94%. En 2025, le taux de scolarisation demeure élevé et se situe autour de 94%.</w:t>
      </w:r>
    </w:p>
    <w:p>
      <w:pPr>
        <w:pStyle w:val="Corpsdetexte"/>
      </w:pPr>
      <w:r>
        <w:t xml:space="preserve">À Marovoay, le taux de scolarisation des enfants de 6 à 14 ans est plus faible et plus variable. Entre 1996 et 1998, une baisse importante est enregistrée, le taux descendant jusqu’à environ 64%. À partir de 1999, une amélioration progressive est observée, culminant à plus de 88% en 2003. Toutefois, après cette période, le taux connaît plusieurs fluctuations, avec des baisses notables en 2008 et entre 2011 et 2012. Malgré ces variations, le taux reste globalement compris entre 79% et 85% à partir de 2010. En 2025, le taux de scolarisation atteint environ 82%.</w:t>
      </w:r>
    </w:p>
    <w:p>
      <w:pPr>
        <w:pStyle w:val="CaptionedFigure"/>
      </w:pPr>
      <w:r>
        <w:drawing>
          <wp:inline>
            <wp:extent cx="5969000" cy="1865312"/>
            <wp:effectExtent b="0" l="0" r="0" t="0"/>
            <wp:docPr descr="Évolution du taux de scolarisation des 6-14 ans (1996-2025)" title="" id="305" name="Picture"/>
            <a:graphic>
              <a:graphicData uri="http://schemas.openxmlformats.org/drawingml/2006/picture">
                <pic:pic>
                  <pic:nvPicPr>
                    <pic:cNvPr descr="02_structure_menages_files/figure-docx/fig_demog_scol-1.png" id="306" name="Picture"/>
                    <pic:cNvPicPr>
                      <a:picLocks noChangeArrowheads="1" noChangeAspect="1"/>
                    </pic:cNvPicPr>
                  </pic:nvPicPr>
                  <pic:blipFill>
                    <a:blip r:embed="rId304"/>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taux de scolarisation des 6-14 ans (1996-2025)</w:t>
      </w:r>
    </w:p>
    <w:p>
      <w:pPr>
        <w:pStyle w:val="Corpsdetexte"/>
      </w:pPr>
      <w:r>
        <w:t xml:space="preserve">À Alaotra, l’âge moyen des chefs de ménage augmente globalement au cours de la période observée. Entre 1999 et 2004, il oscille entre 44.5 et 46.7 ans, avant de connaître quelques fluctuations entre 2005 et 2010 autour de 46 ans. Une hausse plus marquée est ensuite observée en 2011 et 2012, où l’âge moyen atteint près de 48 ans. Après une légère baisse en 2013, il remonte en 2014 avant de diminuer de nouveau pour se situer autour de 46.9 ans. En 2025, l’âge moyen des chefs de ménage est d’environ 45.4 ans.</w:t>
      </w:r>
    </w:p>
    <w:p>
      <w:pPr>
        <w:pStyle w:val="Corpsdetexte"/>
      </w:pPr>
      <w:r>
        <w:t xml:space="preserve">À Marovoay, l’âge moyen des chefs de ménage progresse entre 1996 et le début des années 2000, passant d’environ 44 ans à plus de 47 ans. Après une relative stabilité jusqu’en 2004, une chute importante est enregistrée en 2005, où l’âge moyen descend à près de 41 ans. Dès 2006, une forte remontée est observée et la tendance redevient croissante jusqu’en 2011, année durant laquelle l’âge moyen atteint son niveau le plus élevé, proche de 49 ans. Entre 2012 et 2014, l’âge moyen se maintient autour de 47 à 48 ans avec de faibles variations. En 2025, il s’établit à environ 46 ans.</w:t>
      </w:r>
    </w:p>
    <w:p>
      <w:pPr>
        <w:pStyle w:val="CaptionedFigure"/>
      </w:pPr>
      <w:r>
        <w:drawing>
          <wp:inline>
            <wp:extent cx="5969000" cy="1865312"/>
            <wp:effectExtent b="0" l="0" r="0" t="0"/>
            <wp:docPr descr="Évolution de l’âge moyen du chef de ménage (1996-2025)" title="" id="308" name="Picture"/>
            <a:graphic>
              <a:graphicData uri="http://schemas.openxmlformats.org/drawingml/2006/picture">
                <pic:pic>
                  <pic:nvPicPr>
                    <pic:cNvPr descr="02_structure_menages_files/figure-docx/fig_demog_age_cm-1.png" id="309" name="Picture"/>
                    <pic:cNvPicPr>
                      <a:picLocks noChangeArrowheads="1" noChangeAspect="1"/>
                    </pic:cNvPicPr>
                  </pic:nvPicPr>
                  <pic:blipFill>
                    <a:blip r:embed="rId307"/>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de l’âge moyen du chef de ménage (1996-2025)</w:t>
      </w:r>
    </w:p>
    <w:bookmarkEnd w:id="310"/>
    <w:bookmarkEnd w:id="311"/>
    <w:bookmarkStart w:id="435"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312" name="Picture"/>
                  <a:graphic>
                    <a:graphicData uri="http://schemas.openxmlformats.org/drawingml/2006/picture">
                      <pic:pic>
                        <pic:nvPicPr>
                          <pic:cNvPr descr="C:\PROGRA~1\Quarto\share\formats\docx\warning.png" id="313"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p>
      <w:pPr>
        <w:pStyle w:val="Corpsdetexte"/>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bookmarkStart w:id="340"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318"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Dans l’Alaotra, 74.2 % des ménages occupent un logement en « En propriété ».Cette zone rizicole compte plus de locataires (10.1 %) et de logements prêtés (15.8 %).</w:t>
      </w:r>
    </w:p>
    <w:p>
      <w:pPr>
        <w:pStyle w:val="Corpsdetexte"/>
      </w:pPr>
      <w:r>
        <w:t xml:space="preserve">À Marovoay, 88.1 % des ménages occupent un logement en « En propriété », avec des proportions particulièrement élevées dans les localités les plus enclavées. À l’inverse, la location reste plus présente dans les hameaux proches de l’axe routier. Ces disparités traduisent des niveaux différents de sécurité résidentielle selon le positionnement géographique des ménages.</w:t>
      </w:r>
    </w:p>
    <w:tbl>
      <w:tblPr>
        <w:tblStyle w:val="Table"/>
        <w:tblW w:type="pct" w:w="5000"/>
        <w:tblLayout w:type="fixed"/>
        <w:tblLook w:firstRow="0" w:lastRow="0" w:firstColumn="0" w:lastColumn="0" w:noHBand="0" w:noVBand="0" w:val="0000"/>
      </w:tblPr>
      <w:tblGrid>
        <w:gridCol w:w="7920"/>
      </w:tblGrid>
      <w:tr>
        <w:tc>
          <w:tcPr/>
          <w:bookmarkStart w:id="317" w:name="fig-statut-logement"/>
          <w:p>
            <w:pPr>
              <w:jc w:val="center"/>
            </w:pPr>
            <w:pPr>
              <w:jc w:val="left"/>
              <w:spacing w:before="200"/>
              <w:pStyle w:val="ImageCaption"/>
            </w:pPr>
            <w:r>
              <w:t xml:space="preserve">Figure 3.1: Statut d’occupation du logement</w:t>
            </w:r>
          </w:p>
          <w:p>
            <w:pPr>
              <w:pStyle w:val="Compact"/>
              <w:jc w:val="center"/>
            </w:pPr>
            <w:r>
              <w:drawing>
                <wp:inline>
                  <wp:extent cx="5969000" cy="1492250"/>
                  <wp:effectExtent b="0" l="0" r="0" t="0"/>
                  <wp:docPr descr="" title="" id="315" name="Picture"/>
                  <a:graphic>
                    <a:graphicData uri="http://schemas.openxmlformats.org/drawingml/2006/picture">
                      <pic:pic>
                        <pic:nvPicPr>
                          <pic:cNvPr descr="03_habitat_niveau_de_vie_files/figure-docx/fig-statut-logement-1.png" id="316" name="Picture"/>
                          <pic:cNvPicPr>
                            <a:picLocks noChangeArrowheads="1" noChangeAspect="1"/>
                          </pic:cNvPicPr>
                        </pic:nvPicPr>
                        <pic:blipFill>
                          <a:blip r:embed="rId314"/>
                          <a:stretch>
                            <a:fillRect/>
                          </a:stretch>
                        </pic:blipFill>
                        <pic:spPr bwMode="auto">
                          <a:xfrm>
                            <a:off x="0" y="0"/>
                            <a:ext cx="5969000" cy="1492250"/>
                          </a:xfrm>
                          <a:prstGeom prst="rect">
                            <a:avLst/>
                          </a:prstGeom>
                          <a:noFill/>
                          <a:ln w="9525">
                            <a:noFill/>
                            <a:headEnd/>
                            <a:tailEnd/>
                          </a:ln>
                        </pic:spPr>
                      </pic:pic>
                    </a:graphicData>
                  </a:graphic>
                </wp:inline>
              </w:drawing>
            </w:r>
          </w:p>
          <w:bookmarkEnd w:id="317"/>
        </w:tc>
      </w:tr>
    </w:tbl>
    <w:bookmarkEnd w:id="318"/>
    <w:bookmarkStart w:id="323"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Dans l’Alaotra, le type d’assainissement le plus répandu est la « Fosse perdue en commun » utilisée par 67.1 % des ménages. Elle est suivie par la « fosse perdue individuelle » qui concerne 24% des ménages. En revanche, les pratiques de défécation dans la nature demeurent très marginales au sein de cet observatoire.</w:t>
      </w:r>
    </w:p>
    <w:p>
      <w:pPr>
        <w:pStyle w:val="Corpsdetexte"/>
      </w:pPr>
      <w:r>
        <w:t xml:space="preserve">À Marovoay, le type dominant est « Dans la nature » (48.2 % des ménages). L’assainissement se caractérise par une forte prévalence de la défécation à l’air libre et une utilisation limitée des latrines améliorées. Les fosses perdues en commun et les fosses perdues individuelles occupent une place secondaire, chacune étant utilisée par un quart des ménages. De nettes disparités territoriales existent entre les localités, les hameaux les plus éloignés présentant les taux d’accès les plus faibles aux infrastructures sanitaires.</w:t>
      </w:r>
    </w:p>
    <w:tbl>
      <w:tblPr>
        <w:tblStyle w:val="Table"/>
        <w:tblW w:type="pct" w:w="5000"/>
        <w:tblLayout w:type="fixed"/>
        <w:tblLook w:firstRow="0" w:lastRow="0" w:firstColumn="0" w:lastColumn="0" w:noHBand="0" w:noVBand="0" w:val="0000"/>
      </w:tblPr>
      <w:tblGrid>
        <w:gridCol w:w="7920"/>
      </w:tblGrid>
      <w:tr>
        <w:tc>
          <w:tcPr/>
          <w:bookmarkStart w:id="322" w:name="fig-latrine"/>
          <w:p>
            <w:pPr>
              <w:jc w:val="center"/>
            </w:pPr>
            <w:pPr>
              <w:jc w:val="left"/>
              <w:spacing w:before="200"/>
              <w:pStyle w:val="ImageCaption"/>
            </w:pPr>
            <w:r>
              <w:t xml:space="preserve">Figure 3.2: Types de latrine</w:t>
            </w:r>
          </w:p>
          <w:p>
            <w:pPr>
              <w:pStyle w:val="Compact"/>
              <w:jc w:val="center"/>
            </w:pPr>
            <w:r>
              <w:drawing>
                <wp:inline>
                  <wp:extent cx="5969000" cy="1865312"/>
                  <wp:effectExtent b="0" l="0" r="0" t="0"/>
                  <wp:docPr descr="" title="" id="320" name="Picture"/>
                  <a:graphic>
                    <a:graphicData uri="http://schemas.openxmlformats.org/drawingml/2006/picture">
                      <pic:pic>
                        <pic:nvPicPr>
                          <pic:cNvPr descr="03_habitat_niveau_de_vie_files/figure-docx/fig-latrine-1.png" id="321" name="Picture"/>
                          <pic:cNvPicPr>
                            <a:picLocks noChangeArrowheads="1" noChangeAspect="1"/>
                          </pic:cNvPicPr>
                        </pic:nvPicPr>
                        <pic:blipFill>
                          <a:blip r:embed="rId319"/>
                          <a:stretch>
                            <a:fillRect/>
                          </a:stretch>
                        </pic:blipFill>
                        <pic:spPr bwMode="auto">
                          <a:xfrm>
                            <a:off x="0" y="0"/>
                            <a:ext cx="5969000" cy="1865312"/>
                          </a:xfrm>
                          <a:prstGeom prst="rect">
                            <a:avLst/>
                          </a:prstGeom>
                          <a:noFill/>
                          <a:ln w="9525">
                            <a:noFill/>
                            <a:headEnd/>
                            <a:tailEnd/>
                          </a:ln>
                        </pic:spPr>
                      </pic:pic>
                    </a:graphicData>
                  </a:graphic>
                </wp:inline>
              </w:drawing>
            </w:r>
          </w:p>
          <w:bookmarkEnd w:id="322"/>
        </w:tc>
      </w:tr>
    </w:tbl>
    <w:bookmarkEnd w:id="323"/>
    <w:bookmarkStart w:id="328" w:name="accès-a-leau"/>
    <w:p>
      <w:pPr>
        <w:pStyle w:val="Titre3"/>
      </w:pPr>
      <w:r>
        <w:t xml:space="preserve">3.1.3 Accès a l’eau</w:t>
      </w:r>
    </w:p>
    <w:p>
      <w:pPr>
        <w:pStyle w:val="FirstParagraph"/>
      </w:pPr>
      <w:r>
        <w:t xml:space="preserve">L’approvisionnement en eau détermine en grande partie les conditions sanitaires des ménages ruraux.</w:t>
      </w:r>
      <w:r>
        <w:t xml:space="preserve"> </w:t>
      </w:r>
      <w:r>
        <w:t xml:space="preserve">L’accès à une eau plus sécurisée est nettement supérieur à Alaotra. Marovoay reste très dépendant des eaux de surface prenant source au fleuve Betsiboka. Ce qui pose des enjeux de santé publique.</w:t>
      </w:r>
    </w:p>
    <w:p>
      <w:pPr>
        <w:pStyle w:val="Corpsdetexte"/>
      </w:pPr>
      <w:r>
        <w:t xml:space="preserve">Dans l’Alaotra, la source principale est « Borne fontaine publique » (54.9 %). Les puits non aménagés constituent le deuxième mode d’accès à l’eau avec 31.4% des ménages concernés. Les autres sources d’approvisionnement restent minoritaires.</w:t>
      </w:r>
    </w:p>
    <w:p>
      <w:pPr>
        <w:pStyle w:val="Corpsdetexte"/>
      </w:pPr>
      <w:r>
        <w:t xml:space="preserve">À Marovoay, l’approvisionnement en eau repose principalement sur les « Cours d?eau » utilisés par 37.4 % des ménages. . Les ménages dépendent fortement des sources naturelles : cours d’eau et puits non aménagés représentent ensemble une part importante de l’approvisionnement (27.6%).L’accès à l’eau améliorée (bornes fontaines publiques, eau courante) reste limité à l’échelle de l’observatoire, avec des disparités marquées entre localités. Les puits à margelle représentent aussi une part notable avec 11.2% des ménages utilisateurs.</w:t>
      </w:r>
    </w:p>
    <w:tbl>
      <w:tblPr>
        <w:tblStyle w:val="Table"/>
        <w:tblW w:type="pct" w:w="5000"/>
        <w:tblLayout w:type="fixed"/>
        <w:tblLook w:firstRow="0" w:lastRow="0" w:firstColumn="0" w:lastColumn="0" w:noHBand="0" w:noVBand="0" w:val="0000"/>
      </w:tblPr>
      <w:tblGrid>
        <w:gridCol w:w="7920"/>
      </w:tblGrid>
      <w:tr>
        <w:tc>
          <w:tcPr/>
          <w:bookmarkStart w:id="327" w:name="fig-eau"/>
          <w:p>
            <w:pPr>
              <w:jc w:val="center"/>
            </w:pPr>
            <w:pPr>
              <w:jc w:val="left"/>
              <w:spacing w:before="200"/>
              <w:pStyle w:val="ImageCaption"/>
            </w:pPr>
            <w:r>
              <w:t xml:space="preserve">Figure 3.3: Mode d’approvisionnement en eau</w:t>
            </w:r>
          </w:p>
          <w:p>
            <w:pPr>
              <w:pStyle w:val="Compact"/>
              <w:jc w:val="center"/>
            </w:pPr>
            <w:r>
              <w:drawing>
                <wp:inline>
                  <wp:extent cx="5969000" cy="2238375"/>
                  <wp:effectExtent b="0" l="0" r="0" t="0"/>
                  <wp:docPr descr="" title="" id="325" name="Picture"/>
                  <a:graphic>
                    <a:graphicData uri="http://schemas.openxmlformats.org/drawingml/2006/picture">
                      <pic:pic>
                        <pic:nvPicPr>
                          <pic:cNvPr descr="03_habitat_niveau_de_vie_files/figure-docx/fig-eau-1.png" id="326" name="Picture"/>
                          <pic:cNvPicPr>
                            <a:picLocks noChangeArrowheads="1" noChangeAspect="1"/>
                          </pic:cNvPicPr>
                        </pic:nvPicPr>
                        <pic:blipFill>
                          <a:blip r:embed="rId324"/>
                          <a:stretch>
                            <a:fillRect/>
                          </a:stretch>
                        </pic:blipFill>
                        <pic:spPr bwMode="auto">
                          <a:xfrm>
                            <a:off x="0" y="0"/>
                            <a:ext cx="5969000" cy="2238375"/>
                          </a:xfrm>
                          <a:prstGeom prst="rect">
                            <a:avLst/>
                          </a:prstGeom>
                          <a:noFill/>
                          <a:ln w="9525">
                            <a:noFill/>
                            <a:headEnd/>
                            <a:tailEnd/>
                          </a:ln>
                        </pic:spPr>
                      </pic:pic>
                    </a:graphicData>
                  </a:graphic>
                </wp:inline>
              </w:drawing>
            </w:r>
          </w:p>
          <w:bookmarkEnd w:id="327"/>
        </w:tc>
      </w:tr>
    </w:tbl>
    <w:bookmarkEnd w:id="328"/>
    <w:bookmarkStart w:id="333"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p>
      <w:pPr>
        <w:pStyle w:val="Corpsdetexte"/>
      </w:pPr>
      <w:r>
        <w:t xml:space="preserve">À Alaotra, les principaux modes d’éclairage des ménages sont le pétrole lampant et l’énergie solaire, utilisés respectivement par environ 57% et 47.5% des ménages. Les piles et les batteries occupent une place secondaire, avec respectivement 12.4% et 11.6% des ménages utilisateurs. Les autres sources d’éclairage restent peu utilisées dans cet observatoire.</w:t>
      </w:r>
    </w:p>
    <w:p>
      <w:pPr>
        <w:pStyle w:val="Corpsdetexte"/>
      </w:pPr>
      <w:r>
        <w:t xml:space="preserve">À Marovoay, le pétrole lampant constitue également le principal mode d’éclairage, avec 54.5% des ménages concernés. L’énergie solaire représente le deuxième mode d’éclairage le plus utilisé avec 31.2%, suivie des piles qui concernent 29.1% des ménages. Les batteries sont aussi utilisées par une part non négligeable des ménages, soit 12.5%.</w:t>
      </w:r>
    </w:p>
    <w:p>
      <w:pPr>
        <w:pStyle w:val="Corpsdetexte"/>
      </w:pPr>
      <w:r>
        <w:t xml:space="preserve">Enfin, le recours au bois de chauffe comme mode d’éclairage reste marginal dans les deux observatoires.</w:t>
      </w:r>
    </w:p>
    <w:tbl>
      <w:tblPr>
        <w:tblStyle w:val="Table"/>
        <w:tblW w:type="pct" w:w="5000"/>
        <w:tblLayout w:type="fixed"/>
        <w:tblLook w:firstRow="0" w:lastRow="0" w:firstColumn="0" w:lastColumn="0" w:noHBand="0" w:noVBand="0" w:val="0000"/>
      </w:tblPr>
      <w:tblGrid>
        <w:gridCol w:w="7920"/>
      </w:tblGrid>
      <w:tr>
        <w:tc>
          <w:tcPr/>
          <w:bookmarkStart w:id="332" w:name="fig-eclairage"/>
          <w:p>
            <w:pPr>
              <w:jc w:val="center"/>
            </w:pPr>
            <w:pPr>
              <w:jc w:val="left"/>
              <w:spacing w:before="200"/>
              <w:pStyle w:val="ImageCaption"/>
            </w:pPr>
            <w:r>
              <w:t xml:space="preserve">Figure 3.4: Modes d’éclairage</w:t>
            </w:r>
          </w:p>
          <w:p>
            <w:pPr>
              <w:pStyle w:val="Compact"/>
              <w:jc w:val="center"/>
            </w:pPr>
            <w:r>
              <w:drawing>
                <wp:inline>
                  <wp:extent cx="5969000" cy="2238375"/>
                  <wp:effectExtent b="0" l="0" r="0" t="0"/>
                  <wp:docPr descr="" title="" id="330" name="Picture"/>
                  <a:graphic>
                    <a:graphicData uri="http://schemas.openxmlformats.org/drawingml/2006/picture">
                      <pic:pic>
                        <pic:nvPicPr>
                          <pic:cNvPr descr="03_habitat_niveau_de_vie_files/figure-docx/fig-eclairage-1.png" id="331" name="Picture"/>
                          <pic:cNvPicPr>
                            <a:picLocks noChangeArrowheads="1" noChangeAspect="1"/>
                          </pic:cNvPicPr>
                        </pic:nvPicPr>
                        <pic:blipFill>
                          <a:blip r:embed="rId329"/>
                          <a:stretch>
                            <a:fillRect/>
                          </a:stretch>
                        </pic:blipFill>
                        <pic:spPr bwMode="auto">
                          <a:xfrm>
                            <a:off x="0" y="0"/>
                            <a:ext cx="5969000" cy="2238375"/>
                          </a:xfrm>
                          <a:prstGeom prst="rect">
                            <a:avLst/>
                          </a:prstGeom>
                          <a:noFill/>
                          <a:ln w="9525">
                            <a:noFill/>
                            <a:headEnd/>
                            <a:tailEnd/>
                          </a:ln>
                        </pic:spPr>
                      </pic:pic>
                    </a:graphicData>
                  </a:graphic>
                </wp:inline>
              </w:drawing>
            </w:r>
          </w:p>
          <w:bookmarkEnd w:id="332"/>
        </w:tc>
      </w:tr>
    </w:tbl>
    <w:p>
      <w:pPr>
        <w:pStyle w:val="Corpsdetexte"/>
      </w:pPr>
      <w:r>
        <w:t xml:space="preserve">À Alaotra, la grande majorité des ménages utilisant l’énergie solaire disposent de panneaux solaires en état de marche, soit 92.4% des utilisateurs. En revanche, seuls 7.6% déclarent que leurs panneaux solaires ne fonctionnent pas.</w:t>
      </w:r>
    </w:p>
    <w:p>
      <w:pPr>
        <w:pStyle w:val="Corpsdetexte"/>
      </w:pPr>
      <w:r>
        <w:t xml:space="preserve">À Marovoay, la situation est similaire, avec 92% des utilisateurs de l’énergie solaire possédant des panneaux en état de marche. À l’inverse, 8% des ménages utilisateurs indiquent que leurs panneaux solaires ne sont pas fonctionnels.</w:t>
      </w:r>
    </w:p>
    <w:p>
      <w:pPr>
        <w:pStyle w:val="Corpsdetexte"/>
      </w:pPr>
      <w:r>
        <w:t xml:space="preserve">Parmi les ménages utilisant le solaire, la proportion disposant d’un panneau en état de marche est présentée ci-dessous.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Panneau solaire en état de marche (parmi les utilisateurs du solaire)</w:t>
            </w:r>
          </w:p>
        </w:tc>
      </w:tr>
      <w:tr>
        <w:trPr>
          <w:tblHeader w:val="on"/>
        </w:trPr>
        <w:tc>
          <w:tcPr/>
          <w:p>
            <w:pPr>
              <w:pStyle w:val="Compact"/>
              <w:jc w:val="left"/>
            </w:pPr>
            <w:r>
              <w:t xml:space="preserve">En marche</w:t>
            </w:r>
          </w:p>
        </w:tc>
        <w:tc>
          <w:tcPr/>
          <w:p>
            <w:pPr>
              <w:pStyle w:val="Compact"/>
              <w:jc w:val="right"/>
            </w:pPr>
            <w:r>
              <w:t xml:space="preserve">Alaotra</w:t>
            </w:r>
          </w:p>
        </w:tc>
        <w:tc>
          <w:tcPr/>
          <w:p>
            <w:pPr>
              <w:pStyle w:val="Compact"/>
              <w:jc w:val="right"/>
            </w:pPr>
            <w:r>
              <w:t xml:space="preserve">Marovoay</w:t>
            </w:r>
          </w:p>
        </w:tc>
      </w:tr>
      <w:tr>
        <w:tc>
          <w:tcPr/>
          <w:p>
            <w:pPr>
              <w:pStyle w:val="Compact"/>
              <w:jc w:val="left"/>
            </w:pPr>
            <w:r>
              <w:t xml:space="preserve">Non</w:t>
            </w:r>
          </w:p>
        </w:tc>
        <w:tc>
          <w:tcPr/>
          <w:p>
            <w:pPr>
              <w:pStyle w:val="Compact"/>
              <w:jc w:val="right"/>
            </w:pPr>
            <w:r>
              <w:t xml:space="preserve">7.6%</w:t>
            </w:r>
          </w:p>
        </w:tc>
        <w:tc>
          <w:tcPr/>
          <w:p>
            <w:pPr>
              <w:pStyle w:val="Compact"/>
              <w:jc w:val="right"/>
            </w:pPr>
            <w:r>
              <w:t xml:space="preserve">8%</w:t>
            </w:r>
          </w:p>
        </w:tc>
      </w:tr>
      <w:tr>
        <w:tc>
          <w:tcPr/>
          <w:p>
            <w:pPr>
              <w:pStyle w:val="Compact"/>
              <w:jc w:val="left"/>
            </w:pPr>
            <w:r>
              <w:t xml:space="preserve">Oui</w:t>
            </w:r>
          </w:p>
        </w:tc>
        <w:tc>
          <w:tcPr/>
          <w:p>
            <w:pPr>
              <w:pStyle w:val="Compact"/>
              <w:jc w:val="right"/>
            </w:pPr>
            <w:r>
              <w:t xml:space="preserve">92.4%</w:t>
            </w:r>
          </w:p>
        </w:tc>
        <w:tc>
          <w:tcPr/>
          <w:p>
            <w:pPr>
              <w:pStyle w:val="Compact"/>
              <w:jc w:val="right"/>
            </w:pPr>
            <w:r>
              <w:t xml:space="preserve">92%</w:t>
            </w:r>
          </w:p>
        </w:tc>
      </w:tr>
      <w:tr>
        <w:tc>
          <w:tcPr>
            <w:gridSpan w:val="3"/>
          </w:tcPr>
          <w:p>
            <w:pPr>
              <w:pStyle w:val="Compact"/>
              <w:jc w:val="left"/>
            </w:pPr>
            <w:r>
              <w:rPr>
                <w:b/>
                <w:bCs/>
              </w:rPr>
              <w:t xml:space="preserve">Source : Enquête auprès des OR 2025</w:t>
            </w:r>
          </w:p>
        </w:tc>
      </w:tr>
    </w:tbl>
    <w:bookmarkEnd w:id="333"/>
    <w:bookmarkStart w:id="339" w:name="source-dénergie-pour-la-cuisson"/>
    <w:p>
      <w:pPr>
        <w:pStyle w:val="Titre3"/>
      </w:pPr>
      <w:r>
        <w:t xml:space="preserve">3.1.5 Source d’énergie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p>
      <w:pPr>
        <w:pStyle w:val="Corpsdetexte"/>
      </w:pPr>
      <w:r>
        <w:t xml:space="preserve">À Alaotra, le bois de chauffe constitue de loin le principal mode de cuisson des ménages, utilisé par 82.8% d’entre eux. Le charbon occupe la deuxième place avec 43% des ménages utilisateurs. En revanche, les autres sources d’énergie, notamment le gaz et les modes de cuisson classés dans la catégorie « autre », restent très marginales.</w:t>
      </w:r>
    </w:p>
    <w:p>
      <w:pPr>
        <w:pStyle w:val="Corpsdetexte"/>
      </w:pPr>
      <w:r>
        <w:t xml:space="preserve">À Marovoay, le bois de chauffe demeure également le mode de cuisson dominant, concernant 72.6% des ménages. Le charbon est aussi largement utilisé, avec 46.4% des ménages qui y recourent. Les autres modes de cuisson apparaissent quant à eux très peu utilisés dans cet observatoire.</w:t>
      </w:r>
    </w:p>
    <w:tbl>
      <w:tblPr>
        <w:tblStyle w:val="Table"/>
        <w:tblW w:type="pct" w:w="5000"/>
        <w:tblLayout w:type="fixed"/>
        <w:tblLook w:firstRow="0" w:lastRow="0" w:firstColumn="0" w:lastColumn="0" w:noHBand="0" w:noVBand="0" w:val="0000"/>
      </w:tblPr>
      <w:tblGrid>
        <w:gridCol w:w="7920"/>
      </w:tblGrid>
      <w:tr>
        <w:tc>
          <w:tcPr/>
          <w:bookmarkStart w:id="338" w:name="fig-cooking"/>
          <w:p>
            <w:pPr>
              <w:jc w:val="center"/>
            </w:pPr>
            <w:pPr>
              <w:jc w:val="left"/>
              <w:spacing w:before="200"/>
              <w:pStyle w:val="ImageCaption"/>
            </w:pPr>
            <w:r>
              <w:t xml:space="preserve">Figure 3.5</w:t>
            </w:r>
          </w:p>
          <w:p>
            <w:pPr>
              <w:pStyle w:val="Compact"/>
              <w:jc w:val="center"/>
            </w:pPr>
            <w:bookmarkStart w:id="337" w:name="fig-cooking"/>
            <w:r>
              <w:drawing>
                <wp:inline>
                  <wp:extent cx="4620126" cy="1848050"/>
                  <wp:effectExtent b="0" l="0" r="0" t="0"/>
                  <wp:docPr descr="" title="" id="335" name="Picture"/>
                  <a:graphic>
                    <a:graphicData uri="http://schemas.openxmlformats.org/drawingml/2006/picture">
                      <pic:pic>
                        <pic:nvPicPr>
                          <pic:cNvPr descr="03_habitat_niveau_de_vie_files/figure-docx/fig-cooking-1.png" id="336" name="Picture"/>
                          <pic:cNvPicPr>
                            <a:picLocks noChangeArrowheads="1" noChangeAspect="1"/>
                          </pic:cNvPicPr>
                        </pic:nvPicPr>
                        <pic:blipFill>
                          <a:blip r:embed="rId334"/>
                          <a:stretch>
                            <a:fillRect/>
                          </a:stretch>
                        </pic:blipFill>
                        <pic:spPr bwMode="auto">
                          <a:xfrm>
                            <a:off x="0" y="0"/>
                            <a:ext cx="4620126" cy="1848050"/>
                          </a:xfrm>
                          <a:prstGeom prst="rect">
                            <a:avLst/>
                          </a:prstGeom>
                          <a:noFill/>
                          <a:ln w="9525">
                            <a:noFill/>
                            <a:headEnd/>
                            <a:tailEnd/>
                          </a:ln>
                        </pic:spPr>
                      </pic:pic>
                    </a:graphicData>
                  </a:graphic>
                </wp:inline>
              </w:drawing>
            </w:r>
            <w:bookmarkEnd w:id="337"/>
          </w:p>
          <w:bookmarkEnd w:id="338"/>
        </w:tc>
      </w:tr>
    </w:tbl>
    <w:bookmarkEnd w:id="339"/>
    <w:bookmarkEnd w:id="340"/>
    <w:bookmarkStart w:id="359"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346"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p>
      <w:pPr>
        <w:pStyle w:val="Corpsdetexte"/>
      </w:pPr>
      <w:r>
        <w:t xml:space="preserve">À Alaotra, les biens de confort les plus répandus au sein des ménages sont les marmites, les lits, les chaises et les tables, avec des proportions dépassant largement 85%. Le téléphone fixe ou mobile est également largement présent, puisqu’il concerne 61.9% des ménages. La radio ou le radio-K7 reste relativement fréquent avec 58.8%, tandis que la bicyclette est détenue par 41.4% des ménages. Les nattes pour dormir concernent 30.2% des ménages. En revanche, les équipements tels que la télévision, le lecteur VCD/DVD, la moto, l’antenne parabolique et la voiture demeurent peu répandus.</w:t>
      </w:r>
    </w:p>
    <w:p>
      <w:pPr>
        <w:pStyle w:val="Corpsdetexte"/>
      </w:pPr>
      <w:r>
        <w:t xml:space="preserve">À Marovoay, les marmites constituent également le bien de confort le plus courant, suivies des nattes pour dormir qui concernent 83.2% des ménages. Les téléphones fixes ou mobiles sont présents dans 69% des ménages, tandis que les tables et les lits concernent respectivement 64.4% et 63.4% des ménages. La radio ou le radio-K7 reste aussi relativement répandue avec 47.6%. Les autres équipements, notamment la bicyclette, la télévision, la moto, le lecteur VCD/DVD, l’antenne parabolique et la voiture, restent faiblement représentés.</w:t>
      </w:r>
    </w:p>
    <w:tbl>
      <w:tblPr>
        <w:tblStyle w:val="Table"/>
        <w:tblW w:type="pct" w:w="5000"/>
        <w:tblLayout w:type="fixed"/>
        <w:tblLook w:firstRow="0" w:lastRow="0" w:firstColumn="0" w:lastColumn="0" w:noHBand="0" w:noVBand="0" w:val="0000"/>
      </w:tblPr>
      <w:tblGrid>
        <w:gridCol w:w="7920"/>
      </w:tblGrid>
      <w:tr>
        <w:tc>
          <w:tcPr/>
          <w:bookmarkStart w:id="345" w:name="fig-comfort"/>
          <w:p>
            <w:pPr>
              <w:jc w:val="center"/>
            </w:pPr>
            <w:pPr>
              <w:jc w:val="left"/>
              <w:spacing w:before="200"/>
              <w:pStyle w:val="ImageCaption"/>
            </w:pPr>
            <w:r>
              <w:t xml:space="preserve">Figure 3.6</w:t>
            </w:r>
          </w:p>
          <w:p>
            <w:pPr>
              <w:pStyle w:val="Compact"/>
              <w:jc w:val="center"/>
            </w:pPr>
            <w:bookmarkStart w:id="344" w:name="fig-comfort"/>
            <w:r>
              <w:drawing>
                <wp:inline>
                  <wp:extent cx="4620126" cy="3234088"/>
                  <wp:effectExtent b="0" l="0" r="0" t="0"/>
                  <wp:docPr descr="" title="" id="342" name="Picture"/>
                  <a:graphic>
                    <a:graphicData uri="http://schemas.openxmlformats.org/drawingml/2006/picture">
                      <pic:pic>
                        <pic:nvPicPr>
                          <pic:cNvPr descr="03_habitat_niveau_de_vie_files/figure-docx/fig-comfort-1.png" id="343" name="Picture"/>
                          <pic:cNvPicPr>
                            <a:picLocks noChangeArrowheads="1" noChangeAspect="1"/>
                          </pic:cNvPicPr>
                        </pic:nvPicPr>
                        <pic:blipFill>
                          <a:blip r:embed="rId341"/>
                          <a:stretch>
                            <a:fillRect/>
                          </a:stretch>
                        </pic:blipFill>
                        <pic:spPr bwMode="auto">
                          <a:xfrm>
                            <a:off x="0" y="0"/>
                            <a:ext cx="4620126" cy="3234088"/>
                          </a:xfrm>
                          <a:prstGeom prst="rect">
                            <a:avLst/>
                          </a:prstGeom>
                          <a:noFill/>
                          <a:ln w="9525">
                            <a:noFill/>
                            <a:headEnd/>
                            <a:tailEnd/>
                          </a:ln>
                        </pic:spPr>
                      </pic:pic>
                    </a:graphicData>
                  </a:graphic>
                </wp:inline>
              </w:drawing>
            </w:r>
            <w:bookmarkEnd w:id="344"/>
          </w:p>
          <w:bookmarkEnd w:id="345"/>
        </w:tc>
      </w:tr>
    </w:tbl>
    <w:bookmarkEnd w:id="346"/>
    <w:bookmarkStart w:id="352"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p>
      <w:pPr>
        <w:pStyle w:val="Corpsdetexte"/>
      </w:pPr>
      <w:r>
        <w:t xml:space="preserve">À Alaotra, les équipements agricoles les plus répandus sont l’angady, détenu par 87.2% des ménages, et la faucille ou coupe-coupe, utilisée par 53.3% des ménages. L’arrosoir ou le seau occupe également une place importante avec 32.5% des ménages utilisateurs. Les râteaux et fourches concernent 17.9% des ménages, tandis que les haches représentent 15.2%. Les autres équipements agricoles, tels que la charrue, le pulvérisateur, la sarcleuse, la pompe hydraulique ou encore le motoculteur, restent faiblement utilisés.</w:t>
      </w:r>
    </w:p>
    <w:p>
      <w:pPr>
        <w:pStyle w:val="Corpsdetexte"/>
      </w:pPr>
      <w:r>
        <w:t xml:space="preserve">À Marovoay, l’angady constitue également l’équipement agricole dominant avec 81.9% des ménages concernés, suivi de la faucille ou coupe-coupe utilisée par 60.5% des ménages. Les haches, les charrues et les couteaux occupent aussi une place notable, avec respectivement 25.6%, 23.5% et 22% des ménages utilisateurs. Les herses, pulvériseurs et rotovators concernent 20.2% des ménages. Les autres équipements agricoles demeurent peu répandus dans cet observatoire.</w:t>
      </w:r>
    </w:p>
    <w:tbl>
      <w:tblPr>
        <w:tblStyle w:val="Table"/>
        <w:tblW w:type="pct" w:w="5000"/>
        <w:tblLayout w:type="fixed"/>
        <w:tblLook w:firstRow="0" w:lastRow="0" w:firstColumn="0" w:lastColumn="0" w:noHBand="0" w:noVBand="0" w:val="0000"/>
      </w:tblPr>
      <w:tblGrid>
        <w:gridCol w:w="7920"/>
      </w:tblGrid>
      <w:tr>
        <w:tc>
          <w:tcPr/>
          <w:bookmarkStart w:id="351" w:name="fig-table-equip"/>
          <w:p>
            <w:pPr>
              <w:jc w:val="center"/>
            </w:pPr>
            <w:pPr>
              <w:jc w:val="left"/>
              <w:spacing w:before="200"/>
              <w:pStyle w:val="ImageCaption"/>
            </w:pPr>
            <w:r>
              <w:t xml:space="preserve">Figure 3.7</w:t>
            </w:r>
          </w:p>
          <w:p>
            <w:pPr>
              <w:pStyle w:val="Compact"/>
              <w:jc w:val="center"/>
            </w:pPr>
            <w:bookmarkStart w:id="350" w:name="fig-table-equip"/>
            <w:r>
              <w:drawing>
                <wp:inline>
                  <wp:extent cx="4620126" cy="4158113"/>
                  <wp:effectExtent b="0" l="0" r="0" t="0"/>
                  <wp:docPr descr="" title="" id="348" name="Picture"/>
                  <a:graphic>
                    <a:graphicData uri="http://schemas.openxmlformats.org/drawingml/2006/picture">
                      <pic:pic>
                        <pic:nvPicPr>
                          <pic:cNvPr descr="03_habitat_niveau_de_vie_files/figure-docx/fig-table-equip-1.png" id="349" name="Picture"/>
                          <pic:cNvPicPr>
                            <a:picLocks noChangeArrowheads="1" noChangeAspect="1"/>
                          </pic:cNvPicPr>
                        </pic:nvPicPr>
                        <pic:blipFill>
                          <a:blip r:embed="rId347"/>
                          <a:stretch>
                            <a:fillRect/>
                          </a:stretch>
                        </pic:blipFill>
                        <pic:spPr bwMode="auto">
                          <a:xfrm>
                            <a:off x="0" y="0"/>
                            <a:ext cx="4620126" cy="4158113"/>
                          </a:xfrm>
                          <a:prstGeom prst="rect">
                            <a:avLst/>
                          </a:prstGeom>
                          <a:noFill/>
                          <a:ln w="9525">
                            <a:noFill/>
                            <a:headEnd/>
                            <a:tailEnd/>
                          </a:ln>
                        </pic:spPr>
                      </pic:pic>
                    </a:graphicData>
                  </a:graphic>
                </wp:inline>
              </w:drawing>
            </w:r>
            <w:bookmarkEnd w:id="350"/>
          </w:p>
          <w:bookmarkEnd w:id="351"/>
        </w:tc>
      </w:tr>
    </w:tbl>
    <w:bookmarkEnd w:id="352"/>
    <w:bookmarkStart w:id="358" w:name="Xa758b1169819954e355be8b595447102673e282"/>
    <w:p>
      <w:pPr>
        <w:pStyle w:val="Titre3"/>
      </w:pPr>
      <w:r>
        <w:t xml:space="preserve">3.2.3 Matériel de communication audiovisuelle et télécommunication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p>
      <w:pPr>
        <w:pStyle w:val="Corpsdetexte"/>
      </w:pPr>
      <w:r>
        <w:t xml:space="preserve">A Alaotra, l’usage des matériels de communication se concentre principalement sur la radio, qui atteint 45% des ménages. Le téléphone fixe ou mobile est également bien implanté avec 32.5%. La télévision reste présente mais plus limitée à 13.2%, tandis que les lecteurs VCD, DVD ou DivX ne concernent que 6.7% des utilisateurs. Enfin, l’antenne parabolique est marginale avec 2.6%, ce qui montre une adoption faible des services satellitaires. Ces chiffres traduisent une préférence pour les moyens traditionnels de communication et d’information.</w:t>
      </w:r>
    </w:p>
    <w:p>
      <w:pPr>
        <w:pStyle w:val="Corpsdetexte"/>
      </w:pPr>
      <w:r>
        <w:t xml:space="preserve">A Marovoay, la radio domine aussi avec 44%, suivie de près par le téléphone fixe ou mobile à 41%. La télévision est beaucoup moins répandue, ne représentant que 5.3%. Les lecteurs VCD, DVD ou DivX sont quasi absents avec seulement 1%, et l’antenne parabolique atteint 3.1%. Ces données révèlent une forte dépendance aux outils de communication de base avec une présence très réduite des équipements audiovisuels modernes.</w:t>
      </w:r>
    </w:p>
    <w:tbl>
      <w:tblPr>
        <w:tblStyle w:val="Table"/>
        <w:tblW w:type="pct" w:w="5000"/>
        <w:tblLayout w:type="fixed"/>
        <w:tblLook w:firstRow="0" w:lastRow="0" w:firstColumn="0" w:lastColumn="0" w:noHBand="0" w:noVBand="0" w:val="0000"/>
      </w:tblPr>
      <w:tblGrid>
        <w:gridCol w:w="7920"/>
      </w:tblGrid>
      <w:tr>
        <w:tc>
          <w:tcPr/>
          <w:bookmarkStart w:id="357" w:name="fig-comm"/>
          <w:p>
            <w:pPr>
              <w:jc w:val="center"/>
            </w:pPr>
            <w:pPr>
              <w:jc w:val="left"/>
              <w:spacing w:before="200"/>
              <w:pStyle w:val="ImageCaption"/>
            </w:pPr>
            <w:r>
              <w:t xml:space="preserve">Figure 3.8</w:t>
            </w:r>
          </w:p>
          <w:p>
            <w:pPr>
              <w:pStyle w:val="Compact"/>
              <w:jc w:val="center"/>
            </w:pPr>
            <w:bookmarkStart w:id="356" w:name="fig-comm"/>
            <w:r>
              <w:drawing>
                <wp:inline>
                  <wp:extent cx="4620126" cy="1848050"/>
                  <wp:effectExtent b="0" l="0" r="0" t="0"/>
                  <wp:docPr descr="" title="" id="354" name="Picture"/>
                  <a:graphic>
                    <a:graphicData uri="http://schemas.openxmlformats.org/drawingml/2006/picture">
                      <pic:pic>
                        <pic:nvPicPr>
                          <pic:cNvPr descr="03_habitat_niveau_de_vie_files/figure-docx/fig-comm-1.png" id="355" name="Picture"/>
                          <pic:cNvPicPr>
                            <a:picLocks noChangeArrowheads="1" noChangeAspect="1"/>
                          </pic:cNvPicPr>
                        </pic:nvPicPr>
                        <pic:blipFill>
                          <a:blip r:embed="rId353"/>
                          <a:stretch>
                            <a:fillRect/>
                          </a:stretch>
                        </pic:blipFill>
                        <pic:spPr bwMode="auto">
                          <a:xfrm>
                            <a:off x="0" y="0"/>
                            <a:ext cx="4620126" cy="1848050"/>
                          </a:xfrm>
                          <a:prstGeom prst="rect">
                            <a:avLst/>
                          </a:prstGeom>
                          <a:noFill/>
                          <a:ln w="9525">
                            <a:noFill/>
                            <a:headEnd/>
                            <a:tailEnd/>
                          </a:ln>
                        </pic:spPr>
                      </pic:pic>
                    </a:graphicData>
                  </a:graphic>
                </wp:inline>
              </w:drawing>
            </w:r>
            <w:bookmarkEnd w:id="356"/>
          </w:p>
          <w:bookmarkEnd w:id="357"/>
        </w:tc>
      </w:tr>
    </w:tbl>
    <w:bookmarkEnd w:id="358"/>
    <w:bookmarkEnd w:id="359"/>
    <w:bookmarkStart w:id="369" w:name="transferts-sortants"/>
    <w:p>
      <w:pPr>
        <w:pStyle w:val="Titre2"/>
      </w:pPr>
      <w:r>
        <w:t xml:space="preserve">3.3 Transferts sortants</w:t>
      </w:r>
    </w:p>
    <w:p>
      <w:pPr>
        <w:pStyle w:val="FirstParagraph"/>
      </w:pPr>
      <w:r>
        <w:t xml:space="preserve">La section consacrée aux transferts sortants recense les aides envoyées par les ménages à des personnes extérieures au foyer, en précisant notamment le type de transfert (argent ou riz), sa valeur et le lieu de résidence du destinataire.</w:t>
      </w:r>
    </w:p>
    <w:p>
      <w:pPr>
        <w:pStyle w:val="Corpsdetexte"/>
      </w:pPr>
      <w:r>
        <w:t xml:space="preserve">À Alaotra, environ 33,5 % des ménages participent à l’envoi de transferts. Les transferts en riz atteignent une valeur moyenne de 97 000 Ar, suivis des transferts en argent avec une moyenne de 79 000 Ar.</w:t>
      </w:r>
    </w:p>
    <w:p>
      <w:pPr>
        <w:pStyle w:val="Corpsdetexte"/>
      </w:pPr>
      <w:r>
        <w:t xml:space="preserve">À Marovoay, la part des ménages envoyeurs est de 13,7 %. Les transferts en riz présentent une valeur moyenne de 335 000 Ar, tandis que les transferts en argent enregistrent une valeur moyenne de 86 000 Ar.</w:t>
      </w:r>
    </w:p>
    <w:tbl>
      <w:tblPr>
        <w:tblStyle w:val="Table"/>
        <w:tblW w:type="pct" w:w="5000"/>
        <w:tblLayout w:type="fixed"/>
        <w:tblLook w:firstRow="0" w:lastRow="0" w:firstColumn="0" w:lastColumn="0" w:noHBand="0" w:noVBand="0" w:val="0000"/>
      </w:tblPr>
      <w:tblGrid>
        <w:gridCol w:w="7920"/>
      </w:tblGrid>
      <w:tr>
        <w:tc>
          <w:tcPr/>
          <w:bookmarkStart w:id="363" w:name="fig-transferts-sortants"/>
          <w:p>
            <w:pPr>
              <w:jc w:val="center"/>
            </w:pPr>
            <w:pPr>
              <w:jc w:val="left"/>
              <w:spacing w:before="200"/>
              <w:pStyle w:val="ImageCaption"/>
            </w:pPr>
            <w:r>
              <w:t xml:space="preserve">Figure 3.9: Valeur moyenne des transferts sortants par observatoire et type</w:t>
            </w:r>
          </w:p>
          <w:p>
            <w:pPr>
              <w:pStyle w:val="Compact"/>
              <w:jc w:val="center"/>
            </w:pPr>
            <w:r>
              <w:drawing>
                <wp:inline>
                  <wp:extent cx="5969000" cy="1705428"/>
                  <wp:effectExtent b="0" l="0" r="0" t="0"/>
                  <wp:docPr descr="" title="" id="361" name="Picture"/>
                  <a:graphic>
                    <a:graphicData uri="http://schemas.openxmlformats.org/drawingml/2006/picture">
                      <pic:pic>
                        <pic:nvPicPr>
                          <pic:cNvPr descr="03_habitat_niveau_de_vie_files/figure-docx/fig-transferts-sortants-1.png" id="362" name="Picture"/>
                          <pic:cNvPicPr>
                            <a:picLocks noChangeArrowheads="1" noChangeAspect="1"/>
                          </pic:cNvPicPr>
                        </pic:nvPicPr>
                        <pic:blipFill>
                          <a:blip r:embed="rId360"/>
                          <a:stretch>
                            <a:fillRect/>
                          </a:stretch>
                        </pic:blipFill>
                        <pic:spPr bwMode="auto">
                          <a:xfrm>
                            <a:off x="0" y="0"/>
                            <a:ext cx="5969000" cy="1705428"/>
                          </a:xfrm>
                          <a:prstGeom prst="rect">
                            <a:avLst/>
                          </a:prstGeom>
                          <a:noFill/>
                          <a:ln w="9525">
                            <a:noFill/>
                            <a:headEnd/>
                            <a:tailEnd/>
                          </a:ln>
                        </pic:spPr>
                      </pic:pic>
                    </a:graphicData>
                  </a:graphic>
                </wp:inline>
              </w:drawing>
            </w:r>
          </w:p>
          <w:bookmarkEnd w:id="363"/>
        </w:tc>
      </w:tr>
    </w:tbl>
    <w:p>
      <w:pPr>
        <w:pStyle w:val="Corpsdetexte"/>
      </w:pPr>
      <w:r>
        <w:t xml:space="preserve">À Alaotra, environ un tiers des ménages enquêtés (33,5 %) participent à l’envoi de transferts.</w:t>
      </w:r>
    </w:p>
    <w:p>
      <w:pPr>
        <w:pStyle w:val="Corpsdetexte"/>
      </w:pPr>
      <w:r>
        <w:t xml:space="preserve">À Marovoay, la part des ménages envoyeurs est plus faible, s’élevant à 13,7 % de l’échantillon.</w:t>
      </w:r>
    </w:p>
    <w:tbl>
      <w:tblPr>
        <w:tblStyle w:val="Table"/>
        <w:tblW w:type="pct" w:w="5000"/>
        <w:tblLayout w:type="fixed"/>
        <w:tblLook w:firstRow="0" w:lastRow="0" w:firstColumn="0" w:lastColumn="0" w:noHBand="0" w:noVBand="0" w:val="0000"/>
      </w:tblPr>
      <w:tblGrid>
        <w:gridCol w:w="7920"/>
      </w:tblGrid>
      <w:tr>
        <w:tc>
          <w:tcPr/>
          <w:bookmarkStart w:id="364" w:name="tbl-transferts-sortants"/>
          <w:p>
            <w:pPr>
              <w:jc w:val="center"/>
            </w:pPr>
            <w:pPr>
              <w:jc w:val="left"/>
              <w:spacing w:before="200"/>
              <w:pStyle w:val="ImageCaption"/>
            </w:pPr>
            <w:r>
              <w:t xml:space="preserve">Table 3.1: Transferts sortants : resume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Menages envoyant des transferts</w:t>
                  </w:r>
                </w:p>
              </w:tc>
            </w:tr>
            <w:tr>
              <w:trPr>
                <w:tblHeader w:val="on"/>
              </w:trPr>
              <w:tc>
                <w:tcPr/>
                <w:p>
                  <w:pPr>
                    <w:pStyle w:val="Compact"/>
                    <w:jc w:val="left"/>
                    <w:jc w:val="center"/>
                  </w:pPr>
                  <w:r>
                    <w:t xml:space="preserve">Observatory</w:t>
                  </w:r>
                </w:p>
              </w:tc>
              <w:tc>
                <w:tcPr/>
                <w:p>
                  <w:pPr>
                    <w:pStyle w:val="Compact"/>
                    <w:jc w:val="right"/>
                    <w:jc w:val="center"/>
                  </w:pPr>
                  <w:r>
                    <w:t xml:space="preserve">Nb envoyeurs</w:t>
                  </w:r>
                </w:p>
              </w:tc>
              <w:tc>
                <w:tcPr/>
                <w:p>
                  <w:pPr>
                    <w:pStyle w:val="Compact"/>
                    <w:jc w:val="right"/>
                    <w:jc w:val="center"/>
                  </w:pPr>
                  <w:r>
                    <w:t xml:space="preserve">Nb menages total</w:t>
                  </w:r>
                </w:p>
              </w:tc>
              <w:tc>
                <w:tcPr/>
                <w:p>
                  <w:pPr>
                    <w:pStyle w:val="Compact"/>
                    <w:jc w:val="right"/>
                    <w:jc w:val="center"/>
                  </w:pPr>
                  <w:r>
                    <w:t xml:space="preserve">% envoyeurs</w:t>
                  </w:r>
                </w:p>
              </w:tc>
            </w:tr>
            <w:tr>
              <w:tc>
                <w:tcPr/>
                <w:p>
                  <w:pPr>
                    <w:pStyle w:val="Compact"/>
                    <w:jc w:val="left"/>
                    <w:jc w:val="center"/>
                  </w:pPr>
                  <w:r>
                    <w:t xml:space="preserve">Alaotra</w:t>
                  </w:r>
                </w:p>
              </w:tc>
              <w:tc>
                <w:tcPr/>
                <w:p>
                  <w:pPr>
                    <w:pStyle w:val="Compact"/>
                    <w:jc w:val="right"/>
                    <w:jc w:val="center"/>
                  </w:pPr>
                  <w:r>
                    <w:t xml:space="preserve">170</w:t>
                  </w:r>
                </w:p>
              </w:tc>
              <w:tc>
                <w:tcPr/>
                <w:p>
                  <w:pPr>
                    <w:pStyle w:val="Compact"/>
                    <w:jc w:val="right"/>
                    <w:jc w:val="center"/>
                  </w:pPr>
                  <w:r>
                    <w:t xml:space="preserve">507</w:t>
                  </w:r>
                </w:p>
              </w:tc>
              <w:tc>
                <w:tcPr/>
                <w:p>
                  <w:pPr>
                    <w:pStyle w:val="Compact"/>
                    <w:jc w:val="right"/>
                    <w:jc w:val="center"/>
                  </w:pPr>
                  <w:r>
                    <w:t xml:space="preserve">33.5</w:t>
                  </w:r>
                </w:p>
              </w:tc>
            </w:tr>
            <w:tr>
              <w:tc>
                <w:tcPr/>
                <w:p>
                  <w:pPr>
                    <w:pStyle w:val="Compact"/>
                    <w:jc w:val="left"/>
                    <w:jc w:val="center"/>
                  </w:pPr>
                  <w:r>
                    <w:t xml:space="preserve">Marovoay</w:t>
                  </w:r>
                </w:p>
              </w:tc>
              <w:tc>
                <w:tcPr/>
                <w:p>
                  <w:pPr>
                    <w:pStyle w:val="Compact"/>
                    <w:jc w:val="right"/>
                    <w:jc w:val="center"/>
                  </w:pPr>
                  <w:r>
                    <w:t xml:space="preserve">71</w:t>
                  </w:r>
                </w:p>
              </w:tc>
              <w:tc>
                <w:tcPr/>
                <w:p>
                  <w:pPr>
                    <w:pStyle w:val="Compact"/>
                    <w:jc w:val="right"/>
                    <w:jc w:val="center"/>
                  </w:pPr>
                  <w:r>
                    <w:t xml:space="preserve">519</w:t>
                  </w:r>
                </w:p>
              </w:tc>
              <w:tc>
                <w:tcPr/>
                <w:p>
                  <w:pPr>
                    <w:pStyle w:val="Compact"/>
                    <w:jc w:val="right"/>
                    <w:jc w:val="center"/>
                  </w:pPr>
                  <w:r>
                    <w:t xml:space="preserve">13.7</w:t>
                  </w:r>
                </w:p>
              </w:tc>
            </w:tr>
            <w:tr>
              <w:tc>
                <w:tcPr>
                  <w:gridSpan w:val="4"/>
                </w:tcPr>
                <w:p>
                  <w:pPr>
                    <w:pStyle w:val="Compact"/>
                    <w:jc w:val="left"/>
                    <w:jc w:val="center"/>
                  </w:pPr>
                  <w:r>
                    <w:rPr>
                      <w:b/>
                      <w:bCs/>
                    </w:rPr>
                    <w:t xml:space="preserve">Source : Enquête auprès des OR 2025</w:t>
                  </w:r>
                </w:p>
              </w:tc>
            </w:tr>
          </w:tbl>
          <w:bookmarkEnd w:id="364"/>
          <w:p/>
        </w:tc>
      </w:tr>
    </w:tbl>
    <w:p>
      <w:pPr>
        <w:pStyle w:val="Corpsdetexte"/>
      </w:pPr>
      <w:r>
        <w:t xml:space="preserve">À Alaotra, la grande majorité des destinataires des transferts résident dans la même commune avec une proportion de 89 %. Les destinataires résidant dans une autre commune de la même région constituent 6,4 %, tandis que les transferts destinés vers une autre région représentent 4,7 %.</w:t>
      </w:r>
    </w:p>
    <w:p>
      <w:pPr>
        <w:pStyle w:val="Corpsdetexte"/>
      </w:pPr>
      <w:r>
        <w:t xml:space="preserve">À Marovoay, 77,1 % des transferts sont destinés à des personnes vivant dans la même commune. Ceux installés dans une autre commune de la même région représentent 10,8 %, et les transferts vers une autre région atteignent 12,0 %.</w:t>
      </w:r>
    </w:p>
    <w:tbl>
      <w:tblPr>
        <w:tblStyle w:val="Table"/>
        <w:tblW w:type="pct" w:w="5000"/>
        <w:tblLayout w:type="fixed"/>
        <w:tblLook w:firstRow="0" w:lastRow="0" w:firstColumn="0" w:lastColumn="0" w:noHBand="0" w:noVBand="0" w:val="0000"/>
      </w:tblPr>
      <w:tblGrid>
        <w:gridCol w:w="7920"/>
      </w:tblGrid>
      <w:tr>
        <w:tc>
          <w:tcPr/>
          <w:bookmarkStart w:id="368" w:name="fig-destination-transferts"/>
          <w:p>
            <w:pPr>
              <w:jc w:val="center"/>
            </w:pPr>
            <w:pPr>
              <w:jc w:val="left"/>
              <w:spacing w:before="200"/>
              <w:pStyle w:val="ImageCaption"/>
            </w:pPr>
            <w:r>
              <w:t xml:space="preserve">Figure 3.10: Lieu de residence des destinataires de transferts</w:t>
            </w:r>
          </w:p>
          <w:p>
            <w:pPr>
              <w:pStyle w:val="Compact"/>
              <w:jc w:val="center"/>
            </w:pPr>
            <w:r>
              <w:drawing>
                <wp:inline>
                  <wp:extent cx="5969000" cy="1492250"/>
                  <wp:effectExtent b="0" l="0" r="0" t="0"/>
                  <wp:docPr descr="" title="" id="366" name="Picture"/>
                  <a:graphic>
                    <a:graphicData uri="http://schemas.openxmlformats.org/drawingml/2006/picture">
                      <pic:pic>
                        <pic:nvPicPr>
                          <pic:cNvPr descr="03_habitat_niveau_de_vie_files/figure-docx/fig-destination-transferts-1.png" id="367" name="Picture"/>
                          <pic:cNvPicPr>
                            <a:picLocks noChangeArrowheads="1" noChangeAspect="1"/>
                          </pic:cNvPicPr>
                        </pic:nvPicPr>
                        <pic:blipFill>
                          <a:blip r:embed="rId365"/>
                          <a:stretch>
                            <a:fillRect/>
                          </a:stretch>
                        </pic:blipFill>
                        <pic:spPr bwMode="auto">
                          <a:xfrm>
                            <a:off x="0" y="0"/>
                            <a:ext cx="5969000" cy="1492250"/>
                          </a:xfrm>
                          <a:prstGeom prst="rect">
                            <a:avLst/>
                          </a:prstGeom>
                          <a:noFill/>
                          <a:ln w="9525">
                            <a:noFill/>
                            <a:headEnd/>
                            <a:tailEnd/>
                          </a:ln>
                        </pic:spPr>
                      </pic:pic>
                    </a:graphicData>
                  </a:graphic>
                </wp:inline>
              </w:drawing>
            </w:r>
          </w:p>
          <w:bookmarkEnd w:id="368"/>
        </w:tc>
      </w:tr>
    </w:tbl>
    <w:bookmarkEnd w:id="369"/>
    <w:bookmarkStart w:id="381" w:name="revenu"/>
    <w:p>
      <w:pPr>
        <w:pStyle w:val="Titre2"/>
      </w:pPr>
      <w:r>
        <w:t xml:space="preserve">3.4 Revenu</w:t>
      </w:r>
    </w:p>
    <w:p>
      <w:pPr>
        <w:pStyle w:val="FirstParagraph"/>
      </w:pPr>
      <w:r>
        <w:t xml:space="preserve">L’analyse des revenus constitue un élément essentiel dans l’étude des conditions de vie des ménages ruraux. Elle permet d’apprécier leur capacité à satisfaire les besoins fondamentaux et à faire face aux différentes contraintes économiques. L’étude des sources et du niveau des revenus offre également une meilleure compréhension des stratégies de subsistance adoptées par les ménages en milieu rural.</w:t>
      </w:r>
    </w:p>
    <w:p>
      <w:pPr>
        <w:pStyle w:val="Corpsdetexte"/>
      </w:pPr>
      <w:r>
        <w:t xml:space="preserve">Les revenus presentes ici sont des revenus annuels par menage, calcules sur la periode de reference (PR) de la campagne 2025. Le revenu total se decompose en revenu courant et revenu exceptionnel.</w:t>
      </w:r>
    </w:p>
    <w:p>
      <w:pPr>
        <w:pStyle w:val="Corpsdetexte"/>
      </w:pPr>
      <w:r>
        <w:t xml:space="preserve">Le revenu courant agrege sept composantes :</w:t>
      </w:r>
    </w:p>
    <w:p>
      <w:pPr>
        <w:pStyle w:val="Compact"/>
        <w:numPr>
          <w:ilvl w:val="0"/>
          <w:numId w:val="1004"/>
        </w:numPr>
      </w:pPr>
      <w:r>
        <w:t xml:space="preserve">les</w:t>
      </w:r>
      <w:r>
        <w:t xml:space="preserve"> </w:t>
      </w:r>
      <w:r>
        <w:rPr>
          <w:b/>
          <w:bCs/>
        </w:rPr>
        <w:t xml:space="preserve">salaires agricoles</w:t>
      </w:r>
      <w:r>
        <w:t xml:space="preserve"> </w:t>
      </w:r>
      <w:r>
        <w:t xml:space="preserve">: remuneration du travail salarié agricole ;</w:t>
      </w:r>
    </w:p>
    <w:p>
      <w:pPr>
        <w:pStyle w:val="Compact"/>
        <w:numPr>
          <w:ilvl w:val="0"/>
          <w:numId w:val="1004"/>
        </w:numPr>
      </w:pPr>
      <w:r>
        <w:t xml:space="preserve">les</w:t>
      </w:r>
      <w:r>
        <w:t xml:space="preserve"> </w:t>
      </w:r>
      <w:r>
        <w:rPr>
          <w:b/>
          <w:bCs/>
        </w:rPr>
        <w:t xml:space="preserve">salaires non-agricoles</w:t>
      </w:r>
      <w:r>
        <w:t xml:space="preserve"> </w:t>
      </w:r>
      <w:r>
        <w:t xml:space="preserve">: remuneration du travail salarié hors agriculture ;</w:t>
      </w:r>
    </w:p>
    <w:p>
      <w:pPr>
        <w:pStyle w:val="Compact"/>
        <w:numPr>
          <w:ilvl w:val="0"/>
          <w:numId w:val="1004"/>
        </w:numPr>
      </w:pPr>
      <w:r>
        <w:t xml:space="preserve">les</w:t>
      </w:r>
      <w:r>
        <w:t xml:space="preserve"> </w:t>
      </w:r>
      <w:r>
        <w:rPr>
          <w:b/>
          <w:bCs/>
        </w:rPr>
        <w:t xml:space="preserve">revenus independants</w:t>
      </w:r>
      <w:r>
        <w:t xml:space="preserve"> </w:t>
      </w:r>
      <w:r>
        <w:t xml:space="preserve">: revenus des activites liberales et artisanales non-agricoles ;</w:t>
      </w:r>
    </w:p>
    <w:p>
      <w:pPr>
        <w:pStyle w:val="Compact"/>
        <w:numPr>
          <w:ilvl w:val="0"/>
          <w:numId w:val="1004"/>
        </w:numPr>
      </w:pPr>
      <w:r>
        <w:t xml:space="preserve">le</w:t>
      </w:r>
      <w:r>
        <w:t xml:space="preserve"> </w:t>
      </w:r>
      <w:r>
        <w:rPr>
          <w:b/>
          <w:bCs/>
        </w:rPr>
        <w:t xml:space="preserve">revenu net rizicole</w:t>
      </w:r>
      <w:r>
        <w:t xml:space="preserve">: valeur de la production de riz moins les charges ;</w:t>
      </w:r>
    </w:p>
    <w:p>
      <w:pPr>
        <w:pStyle w:val="Compact"/>
        <w:numPr>
          <w:ilvl w:val="0"/>
          <w:numId w:val="1004"/>
        </w:numPr>
      </w:pPr>
      <w:r>
        <w:t xml:space="preserve">le</w:t>
      </w:r>
      <w:r>
        <w:t xml:space="preserve"> </w:t>
      </w:r>
      <w:r>
        <w:rPr>
          <w:b/>
          <w:bCs/>
        </w:rPr>
        <w:t xml:space="preserve">revenu net des autres cultures</w:t>
      </w:r>
      <w:r>
        <w:t xml:space="preserve"> </w:t>
      </w:r>
      <w:r>
        <w:t xml:space="preserve">: même logique pour les cultures non-rizicoles ;</w:t>
      </w:r>
    </w:p>
    <w:p>
      <w:pPr>
        <w:pStyle w:val="Compact"/>
        <w:numPr>
          <w:ilvl w:val="0"/>
          <w:numId w:val="1004"/>
        </w:numPr>
      </w:pPr>
      <w:r>
        <w:t xml:space="preserve">le</w:t>
      </w:r>
      <w:r>
        <w:t xml:space="preserve"> </w:t>
      </w:r>
      <w:r>
        <w:rPr>
          <w:b/>
          <w:bCs/>
        </w:rPr>
        <w:t xml:space="preserve">revenu de l’élevage</w:t>
      </w:r>
      <w:r>
        <w:t xml:space="preserve"> </w:t>
      </w:r>
      <w:r>
        <w:t xml:space="preserve">: ventes d’animaux (autre que les animaux considérés comme capitaux comme les bœufs de trait etc…) et produits d’élevage ;</w:t>
      </w:r>
    </w:p>
    <w:p>
      <w:pPr>
        <w:pStyle w:val="Compact"/>
        <w:numPr>
          <w:ilvl w:val="0"/>
          <w:numId w:val="1004"/>
        </w:numPr>
      </w:pPr>
      <w:r>
        <w:t xml:space="preserve">et la</w:t>
      </w:r>
      <w:r>
        <w:t xml:space="preserve"> </w:t>
      </w:r>
      <w:r>
        <w:rPr>
          <w:b/>
          <w:bCs/>
        </w:rPr>
        <w:t xml:space="preserve">pêche</w:t>
      </w:r>
      <w:r>
        <w:t xml:space="preserve">.</w:t>
      </w:r>
    </w:p>
    <w:p>
      <w:pPr>
        <w:pStyle w:val="FirstParagraph"/>
      </w:pPr>
      <w:r>
        <w:t xml:space="preserve">Le revenu exceptionnel regroupe les rentes foncieres, les autres revenus, le travail HIMO, la décapitalisation (y compris la vente des animaux considerés comme capitaux) et les transferts recus.</w:t>
      </w:r>
    </w:p>
    <w:bookmarkStart w:id="370" w:name="structure-du-revenu-total"/>
    <w:p>
      <w:pPr>
        <w:pStyle w:val="Titre3"/>
      </w:pPr>
      <w:r>
        <w:t xml:space="preserve">3.4.1 Structure du revenu total</w:t>
      </w:r>
    </w:p>
    <w:p>
      <w:pPr>
        <w:pStyle w:val="FirstParagraph"/>
      </w:pPr>
      <w:r>
        <w:t xml:space="preserve">Le revenu total annuel par ménage synthétise l’ensemble des ressources monétaires et non-monétaires. Les écarts entre moyenne et médiane reflètent le degré d’inégalité au sein de chaque observatoire.</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p>
      <w:pPr>
        <w:pStyle w:val="Corpsdetexte"/>
      </w:pPr>
      <w:r>
        <w:t xml:space="preserve">À Alaotra, le revenu total annuel moyen par ménage est de 4 488 029 Ar. La moitié des ménages ont des revenu au maximum 2 692 468 Ar. L’écart-type atteint 10 312 760 Ar ce qui traduit une forte dispersion des revenus entre les ménages. Le revenu minimum observé est de -7 244 963 Ar alors que le revenu maximum atteint 171 961 683 Ar.</w:t>
      </w:r>
    </w:p>
    <w:p>
      <w:pPr>
        <w:pStyle w:val="Corpsdetexte"/>
      </w:pPr>
      <w:r>
        <w:t xml:space="preserve">À Marovoay, le revenu annuel moyen par ménage est de 3 480 646 Ar et la médiane est de 2 094 749 Ar. L’écart-type est de 5 475 598 Ar indiquant une variation importante des revenus au sein des ménages enquêtés. Le revenu minimum enregistré est de -4 219 928 Ar tandis que le revenu maximum s’élève à 72 641 968 Ar.</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pPr>
            <w:r>
              <w:t xml:space="preserve">Revenu total annuel (Ar/an)</w:t>
            </w:r>
          </w:p>
        </w:tc>
      </w:tr>
      <w:tr>
        <w:trPr>
          <w:tblHeader w:val="on"/>
        </w:trPr>
        <w:tc>
          <w:tcPr>
            <w:gridSpan w:val="6"/>
          </w:tcPr>
          <w:p>
            <w:pPr>
              <w:pStyle w:val="Compact"/>
              <w:jc w:val="center"/>
            </w:pPr>
            <w:r>
              <w:t xml:space="preserve">Comparaison par ménage, par tête et par équivalent (OCDE modifiée)</w:t>
            </w:r>
          </w:p>
        </w:tc>
      </w:tr>
      <w:tr>
        <w:trPr>
          <w:tblHeader w:val="on"/>
        </w:trPr>
        <w:tc>
          <w:tcPr/>
          <w:p>
            <w:pPr>
              <w:pStyle w:val="Compact"/>
              <w:jc w:val="left"/>
            </w:pPr>
            <w:r>
              <w:t xml:space="preserve">Observatory</w:t>
            </w:r>
          </w:p>
        </w:tc>
        <w:tc>
          <w:tcPr/>
          <w:p>
            <w:pPr>
              <w:pStyle w:val="Compact"/>
              <w:jc w:val="right"/>
            </w:pPr>
            <w:r>
              <w:t xml:space="preserve">Nb ménages</w:t>
            </w:r>
          </w:p>
        </w:tc>
        <w:tc>
          <w:tcPr/>
          <w:p>
            <w:pPr>
              <w:pStyle w:val="Compact"/>
              <w:jc w:val="right"/>
            </w:pPr>
            <w:r>
              <w:t xml:space="preserve">Moyenne</w:t>
            </w:r>
          </w:p>
        </w:tc>
        <w:tc>
          <w:tcPr/>
          <w:p>
            <w:pPr>
              <w:pStyle w:val="Compact"/>
              <w:jc w:val="right"/>
            </w:pPr>
            <w:r>
              <w:t xml:space="preserve">Médiane</w:t>
            </w:r>
          </w:p>
        </w:tc>
        <w:tc>
          <w:tcPr/>
          <w:p>
            <w:pPr>
              <w:pStyle w:val="Compact"/>
              <w:jc w:val="right"/>
            </w:pPr>
            <w:r>
              <w:t xml:space="preserve">Par tête (moy.)</w:t>
            </w:r>
          </w:p>
        </w:tc>
        <w:tc>
          <w:tcPr/>
          <w:p>
            <w:pPr>
              <w:pStyle w:val="Compact"/>
              <w:jc w:val="right"/>
            </w:pPr>
            <w:r>
              <w:t xml:space="preserve">Par équivalent (moy.)</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4,488,029</w:t>
            </w:r>
          </w:p>
        </w:tc>
        <w:tc>
          <w:tcPr/>
          <w:p>
            <w:pPr>
              <w:pStyle w:val="Compact"/>
              <w:jc w:val="right"/>
            </w:pPr>
            <w:r>
              <w:t xml:space="preserve">2,692,468</w:t>
            </w:r>
          </w:p>
        </w:tc>
        <w:tc>
          <w:tcPr/>
          <w:p>
            <w:pPr>
              <w:pStyle w:val="Compact"/>
              <w:jc w:val="right"/>
            </w:pPr>
            <w:r>
              <w:t xml:space="preserve">1,224,262</w:t>
            </w:r>
          </w:p>
        </w:tc>
        <w:tc>
          <w:tcPr/>
          <w:p>
            <w:pPr>
              <w:pStyle w:val="Compact"/>
              <w:jc w:val="right"/>
            </w:pPr>
            <w:r>
              <w:t xml:space="preserve">2,011,838</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3,480,646</w:t>
            </w:r>
          </w:p>
        </w:tc>
        <w:tc>
          <w:tcPr/>
          <w:p>
            <w:pPr>
              <w:pStyle w:val="Compact"/>
              <w:jc w:val="right"/>
            </w:pPr>
            <w:r>
              <w:t xml:space="preserve">2,094,749</w:t>
            </w:r>
          </w:p>
        </w:tc>
        <w:tc>
          <w:tcPr/>
          <w:p>
            <w:pPr>
              <w:pStyle w:val="Compact"/>
              <w:jc w:val="right"/>
            </w:pPr>
            <w:r>
              <w:t xml:space="preserve">870,716</w:t>
            </w:r>
          </w:p>
        </w:tc>
        <w:tc>
          <w:tcPr/>
          <w:p>
            <w:pPr>
              <w:pStyle w:val="Compact"/>
              <w:jc w:val="right"/>
            </w:pPr>
            <w:r>
              <w:t xml:space="preserve">1,473,963</w:t>
            </w:r>
          </w:p>
        </w:tc>
      </w:tr>
      <w:tr>
        <w:tc>
          <w:tcPr>
            <w:gridSpan w:val="6"/>
          </w:tcPr>
          <w:p>
            <w:pPr>
              <w:pStyle w:val="Compact"/>
              <w:jc w:val="left"/>
            </w:pPr>
            <w:r>
              <w:rPr>
                <w:b/>
                <w:bCs/>
              </w:rPr>
              <w:t xml:space="preserve">Source : Enquête auprès des OR 2025</w:t>
            </w:r>
          </w:p>
        </w:tc>
      </w:tr>
    </w:tbl>
    <w:bookmarkEnd w:id="370"/>
    <w:bookmarkStart w:id="371" w:name="détail-des-revenus-par-ménage"/>
    <w:p>
      <w:pPr>
        <w:pStyle w:val="Titre3"/>
      </w:pPr>
      <w:r>
        <w:t xml:space="preserve">3.4.2 Détail des revenus par ménage</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Statistiques descriptives du revenu total par ménage</w:t>
            </w:r>
          </w:p>
        </w:tc>
      </w:tr>
      <w:tr>
        <w:trPr>
          <w:tblHeader w:val="on"/>
        </w:trPr>
        <w:tc>
          <w:tcPr>
            <w:gridSpan w:val="7"/>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Nb ménages</w:t>
            </w:r>
          </w:p>
        </w:tc>
        <w:tc>
          <w:tcPr/>
          <w:p>
            <w:pPr>
              <w:pStyle w:val="Compact"/>
              <w:jc w:val="right"/>
            </w:pPr>
            <w:r>
              <w:t xml:space="preserve">Moyenne</w:t>
            </w:r>
          </w:p>
        </w:tc>
        <w:tc>
          <w:tcPr/>
          <w:p>
            <w:pPr>
              <w:pStyle w:val="Compact"/>
              <w:jc w:val="right"/>
            </w:pPr>
            <w:r>
              <w:t xml:space="preserve">Médiane</w:t>
            </w:r>
          </w:p>
        </w:tc>
        <w:tc>
          <w:tcPr/>
          <w:p>
            <w:pPr>
              <w:pStyle w:val="Compact"/>
              <w:jc w:val="right"/>
            </w:pPr>
            <w:r>
              <w:t xml:space="preserve">Écart-type</w:t>
            </w:r>
          </w:p>
        </w:tc>
        <w:tc>
          <w:tcPr/>
          <w:p>
            <w:pPr>
              <w:pStyle w:val="Compact"/>
              <w:jc w:val="right"/>
            </w:pPr>
            <w:r>
              <w:t xml:space="preserve">Minimum</w:t>
            </w:r>
          </w:p>
        </w:tc>
        <w:tc>
          <w:tcPr/>
          <w:p>
            <w:pPr>
              <w:pStyle w:val="Compact"/>
              <w:jc w:val="right"/>
            </w:pPr>
            <w:r>
              <w:t xml:space="preserve">Maximum</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4,488,029</w:t>
            </w:r>
          </w:p>
        </w:tc>
        <w:tc>
          <w:tcPr/>
          <w:p>
            <w:pPr>
              <w:pStyle w:val="Compact"/>
              <w:jc w:val="right"/>
            </w:pPr>
            <w:r>
              <w:t xml:space="preserve">2,692,468</w:t>
            </w:r>
          </w:p>
        </w:tc>
        <w:tc>
          <w:tcPr/>
          <w:p>
            <w:pPr>
              <w:pStyle w:val="Compact"/>
              <w:jc w:val="right"/>
            </w:pPr>
            <w:r>
              <w:t xml:space="preserve">10,312,760</w:t>
            </w:r>
          </w:p>
        </w:tc>
        <w:tc>
          <w:tcPr/>
          <w:p>
            <w:pPr>
              <w:pStyle w:val="Compact"/>
              <w:jc w:val="right"/>
            </w:pPr>
            <w:r>
              <w:t xml:space="preserve">−7,244,963</w:t>
            </w:r>
          </w:p>
        </w:tc>
        <w:tc>
          <w:tcPr/>
          <w:p>
            <w:pPr>
              <w:pStyle w:val="Compact"/>
              <w:jc w:val="right"/>
            </w:pPr>
            <w:r>
              <w:t xml:space="preserve">171,961,683</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3,480,646</w:t>
            </w:r>
          </w:p>
        </w:tc>
        <w:tc>
          <w:tcPr/>
          <w:p>
            <w:pPr>
              <w:pStyle w:val="Compact"/>
              <w:jc w:val="right"/>
            </w:pPr>
            <w:r>
              <w:t xml:space="preserve">2,094,749</w:t>
            </w:r>
          </w:p>
        </w:tc>
        <w:tc>
          <w:tcPr/>
          <w:p>
            <w:pPr>
              <w:pStyle w:val="Compact"/>
              <w:jc w:val="right"/>
            </w:pPr>
            <w:r>
              <w:t xml:space="preserve">5,475,598</w:t>
            </w:r>
          </w:p>
        </w:tc>
        <w:tc>
          <w:tcPr/>
          <w:p>
            <w:pPr>
              <w:pStyle w:val="Compact"/>
              <w:jc w:val="right"/>
            </w:pPr>
            <w:r>
              <w:t xml:space="preserve">−4,219,928</w:t>
            </w:r>
          </w:p>
        </w:tc>
        <w:tc>
          <w:tcPr/>
          <w:p>
            <w:pPr>
              <w:pStyle w:val="Compact"/>
              <w:jc w:val="right"/>
            </w:pPr>
            <w:r>
              <w:t xml:space="preserve">72,641,968</w:t>
            </w:r>
          </w:p>
        </w:tc>
      </w:tr>
      <w:tr>
        <w:tc>
          <w:tcPr>
            <w:gridSpan w:val="7"/>
          </w:tcPr>
          <w:p>
            <w:pPr>
              <w:pStyle w:val="Compact"/>
              <w:jc w:val="left"/>
            </w:pPr>
            <w:r>
              <w:rPr>
                <w:b/>
                <w:bCs/>
              </w:rPr>
              <w:t xml:space="preserve">Source : Enquête auprès des OR 2025</w:t>
            </w:r>
          </w:p>
        </w:tc>
      </w:tr>
    </w:tbl>
    <w:bookmarkEnd w:id="371"/>
    <w:bookmarkStart w:id="375" w:name="decomposition-du-revenu-courant"/>
    <w:p>
      <w:pPr>
        <w:pStyle w:val="Titre3"/>
      </w:pPr>
      <w:r>
        <w:t xml:space="preserve">3.4.3 Decomposition du revenu courant</w:t>
      </w:r>
    </w:p>
    <w:p>
      <w:pPr>
        <w:pStyle w:val="FirstParagraph"/>
      </w:pPr>
      <w:r>
        <w:t xml:space="preserve">La décomposition du revenu courant en ses sept composantes met en lumière la structure productive de chaque observatoire et le degré de dépendance à l’égard de la riziculture.</w:t>
      </w:r>
    </w:p>
    <w:p>
      <w:pPr>
        <w:pStyle w:val="Corpsdetexte"/>
      </w:pPr>
      <w:r>
        <w:t xml:space="preserve">A Alaotra, les revenus nets rizicoles constituent la principale composante du revenu courant moyen par ménage avec 38.0 % du total, soit 1,654,368 Ar/an. Les revenus indépendants arrivent en deuxième position avec 24.0 %, représentant 1,043,037 Ar/an. Les salaires agricoles occupent la troisième place avec 19.8 %, soit 860,748 Ar/an.L’élevage contribue à hauteur de 7.0 % du revenu courant moyen, correspondant à 302,73 5 Ar/an. Les salaires non agricoles représentent 6.8 %, soit 297,052 Ar/an. Les revenus nets issus des autres cultures participent pour 4.4 %, équivalant à 191,317 Ar/an. Le revenu courant moyen total par ménage dans l’observatoire d’Alaotra est de 4,349,257 Ar/an.</w:t>
      </w:r>
    </w:p>
    <w:p>
      <w:pPr>
        <w:pStyle w:val="Corpsdetexte"/>
      </w:pPr>
      <w:r>
        <w:t xml:space="preserve">A Marovoay, les revenus nets rizicoles représentent la plus grande part du revenu courant moyen par ménage avec 39.2 % du total, soit 1,287,310 Ar/an. Les revenus indépendants se placent en deuxième position avec 23.2 %, correspondant à 759,874 Ar/an. Les salaires agricoles arrivent ensuite avec 18.4 %, soit 604,846 Ar/an. L’élevage contribue pour 7.7 % du revenu courant moyen, représentant 253,697 Ar/an. Les salaires non agricoles participent à hauteur de 6.2 %, soit 204,131 Ar/an. Les revenus nets des autres cultures représentent 5.2 %, correspondant à 170,901 Ar/an. Le revenu courant moyen total par ménage dans l’observatoire de Marovoay est de 3,280,758 Ar/an.</w:t>
      </w:r>
    </w:p>
    <w:p>
      <w:pPr>
        <w:pStyle w:val="Corpsdetexte"/>
      </w:pPr>
      <w:r>
        <w:t xml:space="preserve">Pour les deux observatoires, la pêche ne contribue pas au revenu courant moyen.</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Decomposition du revenu courant moyen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Composante</w:t>
            </w:r>
          </w:p>
        </w:tc>
        <w:tc>
          <w:tcPr/>
          <w:p>
            <w:pPr>
              <w:pStyle w:val="Compact"/>
              <w:jc w:val="right"/>
            </w:pPr>
            <w:r>
              <w:t xml:space="preserve">Alaotra</w:t>
            </w:r>
          </w:p>
        </w:tc>
        <w:tc>
          <w:tcPr/>
          <w:p>
            <w:pPr>
              <w:pStyle w:val="Compact"/>
              <w:jc w:val="right"/>
            </w:pPr>
            <w:r>
              <w:t xml:space="preserve">Marovoay</w:t>
            </w:r>
          </w:p>
        </w:tc>
        <w:tc>
          <w:tcPr/>
          <w:p>
            <w:pPr>
              <w:pStyle w:val="Compact"/>
              <w:jc w:val="right"/>
            </w:pPr>
            <w:r>
              <w:t xml:space="preserve">Alaotra (%)</w:t>
            </w:r>
          </w:p>
        </w:tc>
        <w:tc>
          <w:tcPr/>
          <w:p>
            <w:pPr>
              <w:pStyle w:val="Compact"/>
              <w:jc w:val="right"/>
            </w:pPr>
            <w:r>
              <w:t xml:space="preserve">Marovoay (%)</w:t>
            </w:r>
          </w:p>
        </w:tc>
      </w:tr>
      <w:tr>
        <w:tc>
          <w:tcPr/>
          <w:p>
            <w:pPr>
              <w:pStyle w:val="Compact"/>
              <w:jc w:val="left"/>
            </w:pPr>
            <w:r>
              <w:t xml:space="preserve">Salaires agricoles</w:t>
            </w:r>
          </w:p>
        </w:tc>
        <w:tc>
          <w:tcPr/>
          <w:p>
            <w:pPr>
              <w:pStyle w:val="Compact"/>
              <w:jc w:val="right"/>
            </w:pPr>
            <w:r>
              <w:t xml:space="preserve">860,748</w:t>
            </w:r>
          </w:p>
        </w:tc>
        <w:tc>
          <w:tcPr/>
          <w:p>
            <w:pPr>
              <w:pStyle w:val="Compact"/>
              <w:jc w:val="right"/>
            </w:pPr>
            <w:r>
              <w:t xml:space="preserve">604,846</w:t>
            </w:r>
          </w:p>
        </w:tc>
        <w:tc>
          <w:tcPr/>
          <w:p>
            <w:pPr>
              <w:pStyle w:val="Compact"/>
              <w:jc w:val="right"/>
            </w:pPr>
            <w:r>
              <w:t xml:space="preserve">19.8</w:t>
            </w:r>
          </w:p>
        </w:tc>
        <w:tc>
          <w:tcPr/>
          <w:p>
            <w:pPr>
              <w:pStyle w:val="Compact"/>
              <w:jc w:val="right"/>
            </w:pPr>
            <w:r>
              <w:t xml:space="preserve">18.4</w:t>
            </w:r>
          </w:p>
        </w:tc>
      </w:tr>
      <w:tr>
        <w:tc>
          <w:tcPr/>
          <w:p>
            <w:pPr>
              <w:pStyle w:val="Compact"/>
              <w:jc w:val="left"/>
            </w:pPr>
            <w:r>
              <w:t xml:space="preserve">Salaires non-agricoles</w:t>
            </w:r>
          </w:p>
        </w:tc>
        <w:tc>
          <w:tcPr/>
          <w:p>
            <w:pPr>
              <w:pStyle w:val="Compact"/>
              <w:jc w:val="right"/>
            </w:pPr>
            <w:r>
              <w:t xml:space="preserve">297,052</w:t>
            </w:r>
          </w:p>
        </w:tc>
        <w:tc>
          <w:tcPr/>
          <w:p>
            <w:pPr>
              <w:pStyle w:val="Compact"/>
              <w:jc w:val="right"/>
            </w:pPr>
            <w:r>
              <w:t xml:space="preserve">204,131</w:t>
            </w:r>
          </w:p>
        </w:tc>
        <w:tc>
          <w:tcPr/>
          <w:p>
            <w:pPr>
              <w:pStyle w:val="Compact"/>
              <w:jc w:val="right"/>
            </w:pPr>
            <w:r>
              <w:t xml:space="preserve">6.8</w:t>
            </w:r>
          </w:p>
        </w:tc>
        <w:tc>
          <w:tcPr/>
          <w:p>
            <w:pPr>
              <w:pStyle w:val="Compact"/>
              <w:jc w:val="right"/>
            </w:pPr>
            <w:r>
              <w:t xml:space="preserve">6.2</w:t>
            </w:r>
          </w:p>
        </w:tc>
      </w:tr>
      <w:tr>
        <w:tc>
          <w:tcPr/>
          <w:p>
            <w:pPr>
              <w:pStyle w:val="Compact"/>
              <w:jc w:val="left"/>
            </w:pPr>
            <w:r>
              <w:t xml:space="preserve">Revenus independants</w:t>
            </w:r>
          </w:p>
        </w:tc>
        <w:tc>
          <w:tcPr/>
          <w:p>
            <w:pPr>
              <w:pStyle w:val="Compact"/>
              <w:jc w:val="right"/>
            </w:pPr>
            <w:r>
              <w:t xml:space="preserve">1,043,037</w:t>
            </w:r>
          </w:p>
        </w:tc>
        <w:tc>
          <w:tcPr/>
          <w:p>
            <w:pPr>
              <w:pStyle w:val="Compact"/>
              <w:jc w:val="right"/>
            </w:pPr>
            <w:r>
              <w:t xml:space="preserve">759,874</w:t>
            </w:r>
          </w:p>
        </w:tc>
        <w:tc>
          <w:tcPr/>
          <w:p>
            <w:pPr>
              <w:pStyle w:val="Compact"/>
              <w:jc w:val="right"/>
            </w:pPr>
            <w:r>
              <w:t xml:space="preserve">24.0</w:t>
            </w:r>
          </w:p>
        </w:tc>
        <w:tc>
          <w:tcPr/>
          <w:p>
            <w:pPr>
              <w:pStyle w:val="Compact"/>
              <w:jc w:val="right"/>
            </w:pPr>
            <w:r>
              <w:t xml:space="preserve">23.2</w:t>
            </w:r>
          </w:p>
        </w:tc>
      </w:tr>
      <w:tr>
        <w:tc>
          <w:tcPr/>
          <w:p>
            <w:pPr>
              <w:pStyle w:val="Compact"/>
              <w:jc w:val="left"/>
            </w:pPr>
            <w:r>
              <w:t xml:space="preserve">Revenu net rizicole</w:t>
            </w:r>
          </w:p>
        </w:tc>
        <w:tc>
          <w:tcPr/>
          <w:p>
            <w:pPr>
              <w:pStyle w:val="Compact"/>
              <w:jc w:val="right"/>
            </w:pPr>
            <w:r>
              <w:t xml:space="preserve">1,654,368</w:t>
            </w:r>
          </w:p>
        </w:tc>
        <w:tc>
          <w:tcPr/>
          <w:p>
            <w:pPr>
              <w:pStyle w:val="Compact"/>
              <w:jc w:val="right"/>
            </w:pPr>
            <w:r>
              <w:t xml:space="preserve">1,287,310</w:t>
            </w:r>
          </w:p>
        </w:tc>
        <w:tc>
          <w:tcPr/>
          <w:p>
            <w:pPr>
              <w:pStyle w:val="Compact"/>
              <w:jc w:val="right"/>
            </w:pPr>
            <w:r>
              <w:t xml:space="preserve">38.0</w:t>
            </w:r>
          </w:p>
        </w:tc>
        <w:tc>
          <w:tcPr/>
          <w:p>
            <w:pPr>
              <w:pStyle w:val="Compact"/>
              <w:jc w:val="right"/>
            </w:pPr>
            <w:r>
              <w:t xml:space="preserve">39.2</w:t>
            </w:r>
          </w:p>
        </w:tc>
      </w:tr>
      <w:tr>
        <w:tc>
          <w:tcPr/>
          <w:p>
            <w:pPr>
              <w:pStyle w:val="Compact"/>
              <w:jc w:val="left"/>
            </w:pPr>
            <w:r>
              <w:t xml:space="preserve">Revenu net autres cultures</w:t>
            </w:r>
          </w:p>
        </w:tc>
        <w:tc>
          <w:tcPr/>
          <w:p>
            <w:pPr>
              <w:pStyle w:val="Compact"/>
              <w:jc w:val="right"/>
            </w:pPr>
            <w:r>
              <w:t xml:space="preserve">191,317</w:t>
            </w:r>
          </w:p>
        </w:tc>
        <w:tc>
          <w:tcPr/>
          <w:p>
            <w:pPr>
              <w:pStyle w:val="Compact"/>
              <w:jc w:val="right"/>
            </w:pPr>
            <w:r>
              <w:t xml:space="preserve">170,901</w:t>
            </w:r>
          </w:p>
        </w:tc>
        <w:tc>
          <w:tcPr/>
          <w:p>
            <w:pPr>
              <w:pStyle w:val="Compact"/>
              <w:jc w:val="right"/>
            </w:pPr>
            <w:r>
              <w:t xml:space="preserve">4.4</w:t>
            </w:r>
          </w:p>
        </w:tc>
        <w:tc>
          <w:tcPr/>
          <w:p>
            <w:pPr>
              <w:pStyle w:val="Compact"/>
              <w:jc w:val="right"/>
            </w:pPr>
            <w:r>
              <w:t xml:space="preserve">5.2</w:t>
            </w:r>
          </w:p>
        </w:tc>
      </w:tr>
      <w:tr>
        <w:tc>
          <w:tcPr/>
          <w:p>
            <w:pPr>
              <w:pStyle w:val="Compact"/>
              <w:jc w:val="left"/>
            </w:pPr>
            <w:r>
              <w:t xml:space="preserve">Elevage</w:t>
            </w:r>
          </w:p>
        </w:tc>
        <w:tc>
          <w:tcPr/>
          <w:p>
            <w:pPr>
              <w:pStyle w:val="Compact"/>
              <w:jc w:val="right"/>
            </w:pPr>
            <w:r>
              <w:t xml:space="preserve">302,735</w:t>
            </w:r>
          </w:p>
        </w:tc>
        <w:tc>
          <w:tcPr/>
          <w:p>
            <w:pPr>
              <w:pStyle w:val="Compact"/>
              <w:jc w:val="right"/>
            </w:pPr>
            <w:r>
              <w:t xml:space="preserve">253,697</w:t>
            </w:r>
          </w:p>
        </w:tc>
        <w:tc>
          <w:tcPr/>
          <w:p>
            <w:pPr>
              <w:pStyle w:val="Compact"/>
              <w:jc w:val="right"/>
            </w:pPr>
            <w:r>
              <w:t xml:space="preserve">7.0</w:t>
            </w:r>
          </w:p>
        </w:tc>
        <w:tc>
          <w:tcPr/>
          <w:p>
            <w:pPr>
              <w:pStyle w:val="Compact"/>
              <w:jc w:val="right"/>
            </w:pPr>
            <w:r>
              <w:t xml:space="preserve">7.7</w:t>
            </w:r>
          </w:p>
        </w:tc>
      </w:tr>
      <w:tr>
        <w:tc>
          <w:tcPr/>
          <w:p>
            <w:pPr>
              <w:pStyle w:val="Compact"/>
              <w:jc w:val="left"/>
            </w:pPr>
            <w:r>
              <w:t xml:space="preserve">Peche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Total revenu courant</w:t>
            </w:r>
          </w:p>
        </w:tc>
        <w:tc>
          <w:tcPr/>
          <w:p>
            <w:pPr>
              <w:pStyle w:val="Compact"/>
              <w:jc w:val="right"/>
            </w:pPr>
            <w:r>
              <w:t xml:space="preserve">4,349,257</w:t>
            </w:r>
          </w:p>
        </w:tc>
        <w:tc>
          <w:tcPr/>
          <w:p>
            <w:pPr>
              <w:pStyle w:val="Compact"/>
              <w:jc w:val="right"/>
            </w:pPr>
            <w:r>
              <w:t xml:space="preserve">3,280,758</w:t>
            </w:r>
          </w:p>
        </w:tc>
        <w:tc>
          <w:tcPr/>
          <w:p>
            <w:pPr>
              <w:pStyle w:val="Compact"/>
              <w:jc w:val="right"/>
            </w:pPr>
            <w:r>
              <w:t xml:space="preserve">100.0</w:t>
            </w:r>
          </w:p>
        </w:tc>
        <w:tc>
          <w:tcPr/>
          <w:p>
            <w:pPr>
              <w:pStyle w:val="Compact"/>
              <w:jc w:val="right"/>
            </w:pPr>
            <w:r>
              <w:t xml:space="preserve">100.0</w:t>
            </w:r>
          </w:p>
        </w:tc>
      </w:tr>
      <w:tr>
        <w:tc>
          <w:tcPr>
            <w:gridSpan w:val="5"/>
          </w:tcPr>
          <w:p>
            <w:pPr>
              <w:pStyle w:val="Compact"/>
              <w:jc w:val="left"/>
            </w:pPr>
            <w:r>
              <w:rPr>
                <w:b/>
                <w:bCs/>
              </w:rPr>
              <w:t xml:space="preserve">Source : Enquête auprès des OR 2025</w:t>
            </w:r>
          </w:p>
        </w:tc>
      </w:tr>
    </w:tbl>
    <w:p>
      <w:pPr>
        <w:pStyle w:val="CaptionedFigure"/>
      </w:pPr>
      <w:r>
        <w:drawing>
          <wp:inline>
            <wp:extent cx="5969000" cy="1865312"/>
            <wp:effectExtent b="0" l="0" r="0" t="0"/>
            <wp:docPr descr="Part des composantes dans le revenu courant moyen par observatoire" title="" id="373" name="Picture"/>
            <a:graphic>
              <a:graphicData uri="http://schemas.openxmlformats.org/drawingml/2006/picture">
                <pic:pic>
                  <pic:nvPicPr>
                    <pic:cNvPr descr="03_habitat_niveau_de_vie_files/figure-docx/fig_revcou_shares-1.png" id="374" name="Picture"/>
                    <pic:cNvPicPr>
                      <a:picLocks noChangeArrowheads="1" noChangeAspect="1"/>
                    </pic:cNvPicPr>
                  </pic:nvPicPr>
                  <pic:blipFill>
                    <a:blip r:embed="rId372"/>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Part des composantes dans le revenu courant moyen par observatoire</w:t>
      </w:r>
    </w:p>
    <w:bookmarkEnd w:id="375"/>
    <w:bookmarkStart w:id="379" w:name="distribution-du-revenu-total"/>
    <w:p>
      <w:pPr>
        <w:pStyle w:val="Titre3"/>
      </w:pPr>
      <w:r>
        <w:t xml:space="preserve">3.4.4 Distribution du revenu total</w:t>
      </w:r>
    </w:p>
    <w:p>
      <w:pPr>
        <w:pStyle w:val="FirstParagraph"/>
      </w:pPr>
      <w:r>
        <w:t xml:space="preserve">La distribution du revenu total illustre le degré d’inégalité au sein de chaque observatoire. L’utilisation d’une échelle logarithmique permet de mieux visualiser l’étalement de la distribution et la concentration des ménages à bas revenus.</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p>
      <w:pPr>
        <w:pStyle w:val="Corpsdetexte"/>
      </w:pPr>
      <w:r>
        <w:t xml:space="preserve">A Alaotra, la distribution du revenu total annuel des ménages dans l’observatoire d’Alaotra montre une forte concentration des revenus autour des valeurs intermédiaires, avec une densité maximale située approximativement entre 1,000,000 et 10,000,000 Ar en échelle logarithmique. La courbe présente une forme relativement asymétrique vers la droite, indiquant que certains ménages disposent de revenus plus élevés mais restent peu nombreux. Les très faibles revenus ainsi que les revenus extrêmement élevés apparaissent avec une faible densité. La distribution traduit donc une concentration majoritaire des ménages autour des revenus moyens.</w:t>
      </w:r>
      <w:r>
        <w:t xml:space="preserve"> </w:t>
      </w:r>
      <w:r>
        <w:t xml:space="preserve">:::</w:t>
      </w:r>
      <w:r>
        <w:t xml:space="preserve"> </w:t>
      </w:r>
      <w:r>
        <w:t xml:space="preserve">::::</w:t>
      </w:r>
    </w:p>
    <w:p>
      <w:pPr>
        <w:pStyle w:val="Corpsdetexte"/>
      </w:pPr>
      <w:r>
        <w:t xml:space="preserve">::: obs-marovoay -</w:t>
      </w:r>
      <w:r>
        <w:t xml:space="preserve"> </w:t>
      </w:r>
      <w:r>
        <w:t xml:space="preserve">A Marovoay, la distribution du revenu total annuel des ménages suit également une forme unimodale avec une concentration importante des ménages autour des revenus intermédiaires. La densité maximale se situe dans la même plage logarithmique, principalement entre 1,000,000 et 10,000,000 Ar. La courbe présente une légère asymétrie à droite, ce qui montre l’existence de quelques ménages à revenus élevés, mais en effectif limité. Les ménages à très faibles revenus ainsi que ceux ayant des revenus très élevés restent minoritaires dans la distribution globale.</w:t>
      </w:r>
    </w:p>
    <w:p>
      <w:pPr>
        <w:pStyle w:val="CaptionedFigure"/>
      </w:pPr>
      <w:r>
        <w:drawing>
          <wp:inline>
            <wp:extent cx="5969000" cy="1865312"/>
            <wp:effectExtent b="0" l="0" r="0" t="0"/>
            <wp:docPr descr="Distribution du revenu total par observatoire (echelle log)" title="" id="377" name="Picture"/>
            <a:graphic>
              <a:graphicData uri="http://schemas.openxmlformats.org/drawingml/2006/picture">
                <pic:pic>
                  <pic:nvPicPr>
                    <pic:cNvPr descr="03_habitat_niveau_de_vie_files/figure-docx/fig_revtot_dist-1.png" id="378" name="Picture"/>
                    <pic:cNvPicPr>
                      <a:picLocks noChangeArrowheads="1" noChangeAspect="1"/>
                    </pic:cNvPicPr>
                  </pic:nvPicPr>
                  <pic:blipFill>
                    <a:blip r:embed="rId376"/>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Distribution du revenu total par observatoire (echelle log)</w:t>
      </w:r>
    </w:p>
    <w:bookmarkEnd w:id="379"/>
    <w:bookmarkStart w:id="380" w:name="revenu-courant-et-revenu-exceptionnel"/>
    <w:p>
      <w:pPr>
        <w:pStyle w:val="Titre3"/>
      </w:pPr>
      <w:r>
        <w:t xml:space="preserve">3.4.5 Revenu courant et revenu exceptionnel</w:t>
      </w:r>
    </w:p>
    <w:p>
      <w:pPr>
        <w:pStyle w:val="FirstParagraph"/>
      </w:pPr>
      <w:r>
        <w:t xml:space="preserve">La distinction entre revenu courant (activités régulières) et revenu exceptionnel (transferts, décapitalisation, travaux HIMO) renseigne sur la durabilité des ressources des ménages. Un poids élevé du revenu exceptionnel peut signaler une vulnérabilité économique.</w:t>
      </w:r>
    </w:p>
    <w:p>
      <w:pPr>
        <w:pStyle w:val="Corpsdetexte"/>
      </w:pPr>
      <w:r>
        <w:t xml:space="preserve">A Alaotra, le revenu total moyen par ménage est estimé à 4,488,029 Ar/an. Le revenu courant constitue l’essentiel de ce revenu total avec 4,349,257 Ar/an, soit 96.9 % du total. Le revenu exceptionnel représente une part limitée de 138,771 Ar/an, correspondant à 3.1 % du revenu total. Cette structure montre que le revenu des ménages repose principalement sur des sources régulières et récurrentes.</w:t>
      </w:r>
    </w:p>
    <w:p>
      <w:pPr>
        <w:pStyle w:val="Corpsdetexte"/>
      </w:pPr>
      <w:r>
        <w:t xml:space="preserve">A Marovoay, le revenu total moyen par ménage s’élève à 3,480,646 Ar/an. Le revenu courant atteint 3,280,758 Ar/an et représente 94.3 % du revenu total. Le revenu exceptionnel est de 199,888 Ar/an, soit 5.7 % du total. Les ménages tirent donc majoritairement leurs ressources de revenus courants tandis que les revenus exceptionnels occupent une place plus réduite dans la structure globale des revenus.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Revenu courant et revenu exceptionnel moyens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Revenu courant</w:t>
            </w:r>
          </w:p>
        </w:tc>
        <w:tc>
          <w:tcPr/>
          <w:p>
            <w:pPr>
              <w:pStyle w:val="Compact"/>
              <w:jc w:val="right"/>
            </w:pPr>
            <w:r>
              <w:t xml:space="preserve">Revenu exceptionnel</w:t>
            </w:r>
          </w:p>
        </w:tc>
        <w:tc>
          <w:tcPr/>
          <w:p>
            <w:pPr>
              <w:pStyle w:val="Compact"/>
              <w:jc w:val="right"/>
            </w:pPr>
            <w:r>
              <w:t xml:space="preserve">Revenu total</w:t>
            </w:r>
          </w:p>
        </w:tc>
        <w:tc>
          <w:tcPr/>
          <w:p>
            <w:pPr>
              <w:pStyle w:val="Compact"/>
              <w:jc w:val="right"/>
            </w:pPr>
            <w:r>
              <w:t xml:space="preserve">Part courant (%)</w:t>
            </w:r>
          </w:p>
        </w:tc>
      </w:tr>
      <w:tr>
        <w:tc>
          <w:tcPr/>
          <w:p>
            <w:pPr>
              <w:pStyle w:val="Compact"/>
              <w:jc w:val="left"/>
            </w:pPr>
            <w:r>
              <w:t xml:space="preserve">Alaotra</w:t>
            </w:r>
          </w:p>
        </w:tc>
        <w:tc>
          <w:tcPr/>
          <w:p>
            <w:pPr>
              <w:pStyle w:val="Compact"/>
              <w:jc w:val="right"/>
            </w:pPr>
            <w:r>
              <w:t xml:space="preserve">4,349,257</w:t>
            </w:r>
          </w:p>
        </w:tc>
        <w:tc>
          <w:tcPr/>
          <w:p>
            <w:pPr>
              <w:pStyle w:val="Compact"/>
              <w:jc w:val="right"/>
            </w:pPr>
            <w:r>
              <w:t xml:space="preserve">138,771</w:t>
            </w:r>
          </w:p>
        </w:tc>
        <w:tc>
          <w:tcPr/>
          <w:p>
            <w:pPr>
              <w:pStyle w:val="Compact"/>
              <w:jc w:val="right"/>
            </w:pPr>
            <w:r>
              <w:t xml:space="preserve">4,488,029</w:t>
            </w:r>
          </w:p>
        </w:tc>
        <w:tc>
          <w:tcPr/>
          <w:p>
            <w:pPr>
              <w:pStyle w:val="Compact"/>
              <w:jc w:val="right"/>
            </w:pPr>
            <w:r>
              <w:t xml:space="preserve">96.9</w:t>
            </w:r>
          </w:p>
        </w:tc>
      </w:tr>
      <w:tr>
        <w:tc>
          <w:tcPr/>
          <w:p>
            <w:pPr>
              <w:pStyle w:val="Compact"/>
              <w:jc w:val="left"/>
            </w:pPr>
            <w:r>
              <w:t xml:space="preserve">Marovoay</w:t>
            </w:r>
          </w:p>
        </w:tc>
        <w:tc>
          <w:tcPr/>
          <w:p>
            <w:pPr>
              <w:pStyle w:val="Compact"/>
              <w:jc w:val="right"/>
            </w:pPr>
            <w:r>
              <w:t xml:space="preserve">3,280,758</w:t>
            </w:r>
          </w:p>
        </w:tc>
        <w:tc>
          <w:tcPr/>
          <w:p>
            <w:pPr>
              <w:pStyle w:val="Compact"/>
              <w:jc w:val="right"/>
            </w:pPr>
            <w:r>
              <w:t xml:space="preserve">199,888</w:t>
            </w:r>
          </w:p>
        </w:tc>
        <w:tc>
          <w:tcPr/>
          <w:p>
            <w:pPr>
              <w:pStyle w:val="Compact"/>
              <w:jc w:val="right"/>
            </w:pPr>
            <w:r>
              <w:t xml:space="preserve">3,480,646</w:t>
            </w:r>
          </w:p>
        </w:tc>
        <w:tc>
          <w:tcPr/>
          <w:p>
            <w:pPr>
              <w:pStyle w:val="Compact"/>
              <w:jc w:val="right"/>
            </w:pPr>
            <w:r>
              <w:t xml:space="preserve">94.3</w:t>
            </w:r>
          </w:p>
        </w:tc>
      </w:tr>
      <w:tr>
        <w:tc>
          <w:tcPr>
            <w:gridSpan w:val="5"/>
          </w:tcPr>
          <w:p>
            <w:pPr>
              <w:pStyle w:val="Compact"/>
              <w:jc w:val="left"/>
            </w:pPr>
            <w:r>
              <w:rPr>
                <w:b/>
                <w:bCs/>
              </w:rPr>
              <w:t xml:space="preserve">Source : Enquête auprès des OR 2025</w:t>
            </w:r>
          </w:p>
        </w:tc>
      </w:tr>
    </w:tbl>
    <w:bookmarkEnd w:id="380"/>
    <w:bookmarkEnd w:id="381"/>
    <w:bookmarkStart w:id="430" w:name="sec-income-multiyear"/>
    <w:p>
      <w:pPr>
        <w:pStyle w:val="Titre2"/>
      </w:pPr>
      <w:r>
        <w:t xml:space="preserve">3.5 Evolution des revenus nominaux depuis 1995</w:t>
      </w:r>
    </w:p>
    <w:p>
      <w:pPr>
        <w:pStyle w:val="FirstParagraph"/>
      </w:pPr>
      <w:r>
        <w:t xml:space="preserve">Les observatoires de Marovoay et d’Alaotra disposent de series longues permettant de suivre l’evolution des revenus sur trois decennies. Les donnees couvrent 1995-2008 et 2010-2014 pour Marovoay, 1999-2008 et 2010-2014 pour Alaotra, ainsi que la campagne 2025 pour les deux. Les annees 2009 et 2015-2024 ne contiennent pas ces observatoires. Le trait pointille materialise l’absence de donnees.</w:t>
      </w:r>
    </w:p>
    <w:p>
      <w:pPr>
        <w:pStyle w:val="Corpsdetexte"/>
      </w:pPr>
      <w:r>
        <w:t xml:space="preserve">A Alaotra, le revenu total moyen par ménage présente d’abord un niveau relativement faible entre 1999 et 2003, avec des fluctuations autour de 500000 à 700000 Ar/ménage/an. À partir de 2004, une forte progression est observée, traduisant une amélioration rapide des revenus des ménages. Malgré quelques variations importantes entre 2005 et 2011, notamment une baisse après le pic de 2010, la tendance générale reste orientée à la hausse. Après 2012, les revenus augmentent de manière plus régulière et atteignent environ 3400000 Ar vers 2014. Les projections jusqu’en 2025 indiquent une poursuite de cette croissance, avec un revenu estimé autour de 4500000 Ar/ménage/an.</w:t>
      </w:r>
    </w:p>
    <w:p>
      <w:pPr>
        <w:pStyle w:val="Corpsdetexte"/>
      </w:pPr>
      <w:r>
        <w:t xml:space="preserve">A Marovoay, le revenu total moyen par ménage évolue progressivement entre 1995 et 2000, passant d’environ 350000 Ar à plus de 1200000 Ar/ménage/an. Une légère baisse apparaît ensuite au début des années 2000 avant qu’une hausse marquée ne survienne en 2004. Après ce changement rapide, les revenus connaissent une phase de relative stabilité entre 2006 et 2011, autour de 2300000 à 2400000 Ar/ménage/an. À partir de 2012, une nouvelle progression est observée, malgré quelques petites fluctuations. Les prévisions jusqu’en 2025 montrent une augmentation continue des revenus, qui pourraient atteindre près de 3500000 Ar/ménage/an.</w:t>
      </w:r>
    </w:p>
    <w:p>
      <w:pPr>
        <w:pStyle w:val="CaptionedFigure"/>
      </w:pPr>
      <w:r>
        <w:drawing>
          <wp:inline>
            <wp:extent cx="5969000" cy="2984500"/>
            <wp:effectExtent b="0" l="0" r="0" t="0"/>
            <wp:docPr descr="Evolution du revenu total moyen par menage (Ar courants)" title="" id="383" name="Picture"/>
            <a:graphic>
              <a:graphicData uri="http://schemas.openxmlformats.org/drawingml/2006/picture">
                <pic:pic>
                  <pic:nvPicPr>
                    <pic:cNvPr descr="03_habitat_niveau_de_vie_files/figure-docx/fig_trends_revtot-1.png" id="384" name="Picture"/>
                    <pic:cNvPicPr>
                      <a:picLocks noChangeArrowheads="1" noChangeAspect="1"/>
                    </pic:cNvPicPr>
                  </pic:nvPicPr>
                  <pic:blipFill>
                    <a:blip r:embed="rId382"/>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total moyen par menage (Ar courants)</w:t>
      </w:r>
    </w:p>
    <w:p>
      <w:pPr>
        <w:pStyle w:val="Corpsdetexte"/>
      </w:pPr>
      <w:r>
        <w:t xml:space="preserve">A Alaotra, le revenu courant moyen par ménage reste relativement faible entre 1999 et 2003, avec des valeurs oscillant autour de 500000 à 700000 Ar/ménage/an. À partir de 2004, une augmentation rapide est enregistrée, traduisant une amélioration importante des revenus des ménages. Entre 2005 et 2012, l’évolution demeure irrégulière, avec plusieurs hausses et baisses successives, mais les revenus se maintiennent globalement au-dessus de 2000000 Ar. Après 2012, la tendance devient de nouveau croissante et les revenus atteignent plus de 3000000 Ar vers 2014. Les projections jusqu’en 2025 indiquent une poursuite de cette hausse, avec un revenu pouvant dépasser 4300000 Ar/ménage/an.</w:t>
      </w:r>
    </w:p>
    <w:p>
      <w:pPr>
        <w:pStyle w:val="Corpsdetexte"/>
      </w:pPr>
      <w:r>
        <w:t xml:space="preserve">A Marovoay, le revenu courant moyen par ménage augmente progressivement entre 1995 et 2000, passant d’environ 350000 Ar à plus de 1000000 Ar/ménage/an. Une légère diminution est ensuite observée au début des années 2000 avant une forte progression en 2004, où les revenus dépassent 2000000 Ar. Entre 2006 et 2011, les revenus évoluent de manière relativement stable autour de 2000000 à 2300000 Ar/ménage/an, malgré quelques fluctuations. À partir de 2012, une reprise de la croissance apparaît et les projections montrent une augmentation régulière des revenus jusqu’en 2025, avec des valeurs estimées autour de 3300000 Ar/ménage/an.</w:t>
      </w:r>
    </w:p>
    <w:p>
      <w:pPr>
        <w:pStyle w:val="CaptionedFigure"/>
      </w:pPr>
      <w:r>
        <w:drawing>
          <wp:inline>
            <wp:extent cx="5969000" cy="2984500"/>
            <wp:effectExtent b="0" l="0" r="0" t="0"/>
            <wp:docPr descr="Evolution du revenu courant moyen par menage (Ar courants)" title="" id="386" name="Picture"/>
            <a:graphic>
              <a:graphicData uri="http://schemas.openxmlformats.org/drawingml/2006/picture">
                <pic:pic>
                  <pic:nvPicPr>
                    <pic:cNvPr descr="03_habitat_niveau_de_vie_files/figure-docx/fig_trends_revcou-1.png" id="387" name="Picture"/>
                    <pic:cNvPicPr>
                      <a:picLocks noChangeArrowheads="1" noChangeAspect="1"/>
                    </pic:cNvPicPr>
                  </pic:nvPicPr>
                  <pic:blipFill>
                    <a:blip r:embed="rId385"/>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courant moyen par menage (Ar courants)</w:t>
      </w:r>
    </w:p>
    <w:p>
      <w:pPr>
        <w:pStyle w:val="Corpsdetexte"/>
      </w:pPr>
      <w:r>
        <w:t xml:space="preserve">A Alaotra, le revenu courant moyen augmente globalement au fil des années, malgré quelques fluctuations intermédiaires. Les revenus nets rizicoles constituent la principale composante du revenu total sur l’ensemble de la période et connaissent une progression marquée, passant d’environ 300000 Ariary au début de la série à près de 2800000 Ariary en fin de période. Les salaires agricoles représentent également une part importante et progressent progressivement, atteignant environ 900000 Ariary dans les dernières années. Les revenus indépendants restent plus modestes mais augmentent tout de même jusqu’à environ 700000 Ariary. Les salaires non agricoles demeurent relativement faibles, avec des niveaux généralement inférieurs à 400000 Ariary. Les revenus issus de la pêche, de l’élevage et des autres cultures restent secondaires tout au long de la période, même si les autres cultures enregistrent ponctuellement des montants proches de 300000 Ariary.</w:t>
      </w:r>
    </w:p>
    <w:p>
      <w:pPr>
        <w:pStyle w:val="Corpsdetexte"/>
      </w:pPr>
      <w:r>
        <w:t xml:space="preserve">A Marovoay, le revenu courant moyen suit également une tendance générale à la hausse au cours du temps. Les revenus nets rizicoles occupent la place la plus importante dans la structure des revenus et atteignent environ 1700000 Ariary lors des dernières années observées. Les salaires agricoles augmentent de manière régulière et représentent une composante significative, avec des montants avoisinant 1000000 Ariary en fin de période. Les revenus indépendants progressent aussi graduellement pour atteindre près de 600000 Ariary. Les salaires non agricoles restent limités, généralement autour de 200000 à 300000 Ariary. Les revenus provenant de l’élevage, de la pêche et des autres cultures demeurent relativement faibles durant toute la période, avec des contributions modestes dans le revenu total moyen.</w:t>
      </w:r>
    </w:p>
    <w:p>
      <w:pPr>
        <w:pStyle w:val="CaptionedFigure"/>
      </w:pPr>
      <w:r>
        <w:drawing>
          <wp:inline>
            <wp:extent cx="5969000" cy="2984500"/>
            <wp:effectExtent b="0" l="0" r="0" t="0"/>
            <wp:docPr descr="Evolution des composantes du revenu courant moyen (Ar courants)" title="" id="389" name="Picture"/>
            <a:graphic>
              <a:graphicData uri="http://schemas.openxmlformats.org/drawingml/2006/picture">
                <pic:pic>
                  <pic:nvPicPr>
                    <pic:cNvPr descr="03_habitat_niveau_de_vie_files/figure-docx/fig_trends_decomp-1.png" id="390" name="Picture"/>
                    <pic:cNvPicPr>
                      <a:picLocks noChangeArrowheads="1" noChangeAspect="1"/>
                    </pic:cNvPicPr>
                  </pic:nvPicPr>
                  <pic:blipFill>
                    <a:blip r:embed="rId388"/>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des composantes du revenu courant moyen (Ar courants)</w:t>
      </w:r>
    </w:p>
    <w:bookmarkStart w:id="396" w:name="deflation-et-indices-de-prix"/>
    <w:p>
      <w:pPr>
        <w:pStyle w:val="Titre3"/>
      </w:pPr>
      <w:r>
        <w:t xml:space="preserve">3.5.1 Deflation et indices de prix</w:t>
      </w:r>
    </w:p>
    <w:p>
      <w:pPr>
        <w:pStyle w:val="FirstParagraph"/>
      </w:pPr>
      <w:r>
        <w:t xml:space="preserve">La comparaison des revenus sur longue periode necessite de tenir compte de l’inflation. Nous utilisons ici l’</w:t>
      </w:r>
      <w:r>
        <w:rPr>
          <w:b/>
          <w:bCs/>
        </w:rPr>
        <w:t xml:space="preserve">IPC national</w:t>
      </w:r>
      <w:r>
        <w:t xml:space="preserve"> </w:t>
      </w:r>
      <w:r>
        <w:t xml:space="preserve">publie par la Banque Mondiale (indicateur</w:t>
      </w:r>
      <w:r>
        <w:t xml:space="preserve"> </w:t>
      </w:r>
      <w:r>
        <w:rPr>
          <w:rStyle w:val="VerbatimChar"/>
        </w:rPr>
        <w:t xml:space="preserve">FP.CPI.TOTL</w:t>
      </w:r>
      <w:r>
        <w:t xml:space="preserve">, base 2010 = 100). Cet indice est calcule a partir d’un panier de consommation urbain ; il ne reflete donc qu’imparfaitement l’evolution des prix en milieu rural. Pour 2024-2025, non encore publies par la Banque Mondiale, l’IPC est extrapole a +9 % par an.</w:t>
      </w:r>
    </w:p>
    <w:p>
      <w:pPr>
        <w:pStyle w:val="Corpsdetexte"/>
      </w:pPr>
      <w:r>
        <w:t xml:space="preserve">L’IPC national de Madagascar présente une augmentation continue entre 1995 et 2025, traduisant une hausse progressive du niveau général des prix sur l’ensemble de la période. L’indice passe d’environ 25 en 1995 à près de 50 au début des années 2000, avant d’atteindre le niveau de base 100 en 2010. Après 2010, la progression se poursuit de manière régulière avec un indice d’environ 130 en 2014, puis une accélération plus marquée à partir de 2015. En 2025, l’IPC atteint près de 290, soit presque trois fois le niveau de 2010. Cette évolution montre une inflation soutenue sur le long terme, avec une hausse particulièrement importante au cours des dix dernières années.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391" name="Picture"/>
                  <a:graphic>
                    <a:graphicData uri="http://schemas.openxmlformats.org/drawingml/2006/picture">
                      <pic:pic>
                        <pic:nvPicPr>
                          <pic:cNvPr descr="C:\PROGRA~1\Quarto\share\formats\docx\note.png" id="392" name="Picture"/>
                          <pic:cNvPicPr>
                            <a:picLocks noChangeArrowheads="1" noChangeAspect="1"/>
                          </pic:cNvPicPr>
                        </pic:nvPicPr>
                        <pic:blipFill>
                          <a:blip r:embed="rId1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Une prochaine version de ce rapport integrera un IPC regional (Boeny pour Marovoay, Alaotra-Mangoro pour Alaotra), extrait des series de l’INSTAT ou des enquetes EPM, afin de mieux capter l’inflation locale.</w:t>
            </w:r>
          </w:p>
          <w:p/>
        </w:tc>
      </w:tr>
    </w:tbl>
    <w:p>
      <w:pPr>
        <w:pStyle w:val="CaptionedFigure"/>
      </w:pPr>
      <w:r>
        <w:drawing>
          <wp:inline>
            <wp:extent cx="5969000" cy="2238375"/>
            <wp:effectExtent b="0" l="0" r="0" t="0"/>
            <wp:docPr descr="Evolution de l’IPC national Madagascar (base 2010 = 100)" title="" id="394" name="Picture"/>
            <a:graphic>
              <a:graphicData uri="http://schemas.openxmlformats.org/drawingml/2006/picture">
                <pic:pic>
                  <pic:nvPicPr>
                    <pic:cNvPr descr="03_habitat_niveau_de_vie_files/figure-docx/fig_ipc_national-1.png" id="395" name="Picture"/>
                    <pic:cNvPicPr>
                      <a:picLocks noChangeArrowheads="1" noChangeAspect="1"/>
                    </pic:cNvPicPr>
                  </pic:nvPicPr>
                  <pic:blipFill>
                    <a:blip r:embed="rId393"/>
                    <a:stretch>
                      <a:fillRect/>
                    </a:stretch>
                  </pic:blipFill>
                  <pic:spPr bwMode="auto">
                    <a:xfrm>
                      <a:off x="0" y="0"/>
                      <a:ext cx="5969000" cy="2238375"/>
                    </a:xfrm>
                    <a:prstGeom prst="rect">
                      <a:avLst/>
                    </a:prstGeom>
                    <a:noFill/>
                    <a:ln w="9525">
                      <a:noFill/>
                      <a:headEnd/>
                      <a:tailEnd/>
                    </a:ln>
                  </pic:spPr>
                </pic:pic>
              </a:graphicData>
            </a:graphic>
          </wp:inline>
        </w:drawing>
      </w:r>
    </w:p>
    <w:p>
      <w:pPr>
        <w:pStyle w:val="ImageCaption"/>
      </w:pPr>
      <w:r>
        <w:t xml:space="preserve">Evolution de l’IPC national Madagascar (base 2010 = 100)</w:t>
      </w:r>
    </w:p>
    <w:bookmarkEnd w:id="396"/>
    <w:bookmarkStart w:id="403" w:name="X2080cf97900a9cca92f58ce3c98c1c56d700ac1"/>
    <w:p>
      <w:pPr>
        <w:pStyle w:val="Titre3"/>
      </w:pPr>
      <w:r>
        <w:t xml:space="preserve">3.5.2 Prix median du paddy et comparaison avec l’IPC</w:t>
      </w:r>
    </w:p>
    <w:p>
      <w:pPr>
        <w:pStyle w:val="FirstParagraph"/>
      </w:pPr>
      <w:r>
        <w:t xml:space="preserve">Cette section examine l’évolution du prix de vente médian du paddy à partir des déclarations des ménages et compare cette tendance à l’indice des prix à la consommation (IPC) national pour mesurer l’inflation locale.</w:t>
      </w:r>
    </w:p>
    <w:p>
      <w:pPr>
        <w:pStyle w:val="Corpsdetexte"/>
      </w:pPr>
      <w:r>
        <w:t xml:space="preserve">Le prix de vente median du paddy, calcule a partir des ventes declarees par les menages, fournit un indicateur complementaire de l’inflation locale.</w:t>
      </w:r>
    </w:p>
    <w:p>
      <w:pPr>
        <w:pStyle w:val="Corpsdetexte"/>
      </w:pPr>
      <w:r>
        <w:t xml:space="preserve">Le prix médian du paddy augmente de manière globale dans les deux observatoires entre 1995 et 2025, malgré quelques fluctuations au cours de certaines années.</w:t>
      </w:r>
    </w:p>
    <w:p>
      <w:pPr>
        <w:pStyle w:val="Corpsdetexte"/>
      </w:pPr>
      <w:r>
        <w:t xml:space="preserve">À Alaotra, le prix passe d’environ 180 Ar/kg en 1995 à près de 300 Ar/kg au début des années 2000, avant d’atteindre environ 500 Ar/kg vers 2005. Après une légère baisse autour de 2006, le prix reprend progressivement sa hausse pour atteindre environ 650 Ar/kg en 2013. Une diminution apparaît ensuite autour de 2014 avec un niveau proche de 550 Ar/kg, avant une forte augmentation après 2015. En 2025, le prix médian atteint environ 1500 Ar/kg, soit le niveau le plus élevé de toute la série.</w:t>
      </w:r>
    </w:p>
    <w:p>
      <w:pPr>
        <w:pStyle w:val="Corpsdetexte"/>
      </w:pPr>
      <w:r>
        <w:t xml:space="preserve">À Marovoay, le prix médian du paddy suit également une tendance haussière sur l’ensemble de la période. Les niveaux restent inférieurs à 300 Ar/kg jusqu’au début des années 2000, puis augmentent rapidement pour atteindre près de 500 Ar/kg autour de 2005. Entre 2006 et 2013, les prix fluctuent généralement entre 450 et 600 Ar/kg. Une baisse apparaît également autour de 2014 avec un niveau proche de 500 Ar/kg, suivie d’une forte progression à partir de 2015. En fin de période, le prix médian atteint environ 1600 Ar/kg en 2025, correspondant au niveau maximal observé sur la série.</w:t>
      </w:r>
    </w:p>
    <w:p>
      <w:pPr>
        <w:pStyle w:val="CaptionedFigure"/>
      </w:pPr>
      <w:r>
        <w:drawing>
          <wp:inline>
            <wp:extent cx="5969000" cy="1865312"/>
            <wp:effectExtent b="0" l="0" r="0" t="0"/>
            <wp:docPr descr="Evolution du prix median du paddy (Ar/kg)" title="" id="398" name="Picture"/>
            <a:graphic>
              <a:graphicData uri="http://schemas.openxmlformats.org/drawingml/2006/picture">
                <pic:pic>
                  <pic:nvPicPr>
                    <pic:cNvPr descr="03_habitat_niveau_de_vie_files/figure-docx/fig_trends_paddy-1.png" id="399" name="Picture"/>
                    <pic:cNvPicPr>
                      <a:picLocks noChangeArrowheads="1" noChangeAspect="1"/>
                    </pic:cNvPicPr>
                  </pic:nvPicPr>
                  <pic:blipFill>
                    <a:blip r:embed="rId397"/>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Evolution du prix median du paddy (Ar/kg)</w:t>
      </w:r>
    </w:p>
    <w:p>
      <w:pPr>
        <w:pStyle w:val="Corpsdetexte"/>
      </w:pPr>
      <w:r>
        <w:t xml:space="preserve">L’évolution de l’indice des prix montre une augmentation continue de l’IPC national et des indices du prix du paddy entre 1995 et 2025, avec une accélération marquée après 2015. L’IPC national progresse régulièrement en passant d’environ 30 en 1995 à 100 en 2010, puis atteint près de 290 en 2025. Cette hausse traduit une augmentation générale et continue du niveau des prix dans le pays sur l’ensemble de la période.</w:t>
      </w:r>
    </w:p>
    <w:p>
      <w:pPr>
        <w:pStyle w:val="Corpsdetexte"/>
      </w:pPr>
      <w:r>
        <w:t xml:space="preserve">A Alaotra, l’indice du prix du paddy suit également une tendance haussière. Après des niveaux proches de 40 à 50 à la fin des années 1990, l’indice dépasse 100 autour de 2005, connaît quelques fluctuations entre 2006 et 2014 autour de 90 à 140, puis augmente fortement après 2015. En 2025, l’indice atteint environ 300, indiquant une hausse importante du prix du paddy par rapport au niveau de 2010.</w:t>
      </w:r>
    </w:p>
    <w:p>
      <w:pPr>
        <w:pStyle w:val="Corpsdetexte"/>
      </w:pPr>
      <w:r>
        <w:t xml:space="preserve">À Marovoay, l’évolution de l’indice du prix du paddy est plus marquée en fin de période. L’indice reste inférieur à 60 avant les années 2000, dépasse 100 autour de 2005, puis fluctue entre environ 90 et 140 jusqu’en 2014. Après 2015, la progression devient très rapide et l’indice atteint près de 350 en 2025. Cette évolution montre une augmentation particulièrement forte du prix du paddy au cours des dernières années.</w:t>
      </w:r>
    </w:p>
    <w:p>
      <w:pPr>
        <w:pStyle w:val="CaptionedFigure"/>
      </w:pPr>
      <w:r>
        <w:drawing>
          <wp:inline>
            <wp:extent cx="5969000" cy="1865312"/>
            <wp:effectExtent b="0" l="0" r="0" t="0"/>
            <wp:docPr descr="Comparaison de l’IPC national et de l’indice du prix du paddy (base 100 en 2010)" title="" id="401" name="Picture"/>
            <a:graphic>
              <a:graphicData uri="http://schemas.openxmlformats.org/drawingml/2006/picture">
                <pic:pic>
                  <pic:nvPicPr>
                    <pic:cNvPr descr="03_habitat_niveau_de_vie_files/figure-docx/fig_ipc_vs_paddy-1.png" id="402" name="Picture"/>
                    <pic:cNvPicPr>
                      <a:picLocks noChangeArrowheads="1" noChangeAspect="1"/>
                    </pic:cNvPicPr>
                  </pic:nvPicPr>
                  <pic:blipFill>
                    <a:blip r:embed="rId400"/>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Comparaison de l’IPC national et de l’indice du prix du paddy (base 100 en 2010)</w:t>
      </w:r>
    </w:p>
    <w:bookmarkEnd w:id="403"/>
    <w:bookmarkStart w:id="422" w:name="revenus-reels-deflates-par-lipc-national"/>
    <w:p>
      <w:pPr>
        <w:pStyle w:val="Titre3"/>
      </w:pPr>
      <w:r>
        <w:t xml:space="preserve">3.5.3 Revenus reels (deflates par l’IPC national)</w:t>
      </w:r>
    </w:p>
    <w:p>
      <w:pPr>
        <w:pStyle w:val="FirstParagraph"/>
      </w:pPr>
      <w:r>
        <w:t xml:space="preserve">Les revenus nominaux sont convertis en Ariary constants (base 2010) en divisant par l’IPC national. Ceci permet d’evaluer l’evolution du pouvoir d’achat, sous reserve des limites du deflateur urbain.</w:t>
      </w:r>
    </w:p>
    <w:p>
      <w:pPr>
        <w:pStyle w:val="Corpsdetexte"/>
      </w:pPr>
      <w:r>
        <w:t xml:space="preserve">Le revenu total réel moyen par ménage présente des fluctuations importantes dans les deux observatoires entre 1995 et 2025.</w:t>
      </w:r>
    </w:p>
    <w:p>
      <w:pPr>
        <w:pStyle w:val="Corpsdetexte"/>
      </w:pPr>
      <w:r>
        <w:t xml:space="preserve">À Alaotra, le revenu augmente progressivement entre 1995 et le début des années 2000, passant d’environ 1400000 Ariary à près de 1800000 Ariary, avant de connaître une forte baisse autour de 2002 avec un niveau proche de 1000000 Ariary. Une hausse très marquée apparaît ensuite entre 2003 et 2005, conduisant à un pic d’environ 3700000 Ariary en 2005. Après cette période, le revenu diminue progressivement malgré quelques fluctuations intermédiaires, oscillant autour de 2300000 à 3100000 Ariary entre 2006 et 2013. La tendance projetée après 2015 indique une baisse continue, avec un revenu proche de 1600000 Ariary en 2025.</w:t>
      </w:r>
    </w:p>
    <w:p>
      <w:pPr>
        <w:pStyle w:val="Corpsdetexte"/>
      </w:pPr>
      <w:r>
        <w:t xml:space="preserve">À Marovoay, le revenu total réel moyen suit également une évolution irrégulière. Le revenu passe d’environ 1400000 Ariary en 1995 à plus de 3000000 Ariary au début des années 2000, avant de diminuer autour de 2002 et 2003. Une très forte hausse est observée en 2004 avec un niveau supérieur à 4300000 Ariary, correspondant au maximum de toute la série. Après ce pic, le revenu diminue progressivement tout en restant proche de 2800000 à 3000000 Ariary entre 2005 et 2009. À partir de 2010, la tendance devient décroissante avec des niveaux proches de 2000000 Ariary après 2013. La projection jusqu’en 2025 montre une poursuite de cette baisse, conduisant à un revenu d’environ 1200000 Ariary en fin de période.</w:t>
      </w:r>
    </w:p>
    <w:p>
      <w:pPr>
        <w:pStyle w:val="CaptionedFigure"/>
      </w:pPr>
      <w:r>
        <w:drawing>
          <wp:inline>
            <wp:extent cx="5969000" cy="2984500"/>
            <wp:effectExtent b="0" l="0" r="0" t="0"/>
            <wp:docPr descr="Evolution du revenu total reel moyen par menage (Ar constants 2010, IPC)" title="" id="405" name="Picture"/>
            <a:graphic>
              <a:graphicData uri="http://schemas.openxmlformats.org/drawingml/2006/picture">
                <pic:pic>
                  <pic:nvPicPr>
                    <pic:cNvPr descr="03_habitat_niveau_de_vie_files/figure-docx/fig_trends_revtot_real-1.png" id="406" name="Picture"/>
                    <pic:cNvPicPr>
                      <a:picLocks noChangeArrowheads="1" noChangeAspect="1"/>
                    </pic:cNvPicPr>
                  </pic:nvPicPr>
                  <pic:blipFill>
                    <a:blip r:embed="rId404"/>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total reel moyen par menage (Ar constants 2010, IPC)</w:t>
      </w:r>
    </w:p>
    <w:p>
      <w:pPr>
        <w:pStyle w:val="CaptionedFigure"/>
      </w:pPr>
      <w:r>
        <w:drawing>
          <wp:inline>
            <wp:extent cx="5969000" cy="2984500"/>
            <wp:effectExtent b="0" l="0" r="0" t="0"/>
            <wp:docPr descr="Evolution du revenu total reel moyen par tete (Ar constants 2010, IPC)" title="" id="408" name="Picture"/>
            <a:graphic>
              <a:graphicData uri="http://schemas.openxmlformats.org/drawingml/2006/picture">
                <pic:pic>
                  <pic:nvPicPr>
                    <pic:cNvPr descr="03_habitat_niveau_de_vie_files/figure-docx/fig_trends_revtot_real_pc-1.png" id="409" name="Picture"/>
                    <pic:cNvPicPr>
                      <a:picLocks noChangeArrowheads="1" noChangeAspect="1"/>
                    </pic:cNvPicPr>
                  </pic:nvPicPr>
                  <pic:blipFill>
                    <a:blip r:embed="rId407"/>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total reel moyen par tete (Ar constants 2010, IPC)</w:t>
      </w:r>
    </w:p>
    <w:p>
      <w:pPr>
        <w:pStyle w:val="CaptionedFigure"/>
      </w:pPr>
      <w:r>
        <w:drawing>
          <wp:inline>
            <wp:extent cx="5969000" cy="2984500"/>
            <wp:effectExtent b="0" l="0" r="0" t="0"/>
            <wp:docPr descr="Evolution du revenu total reel moyen par unite de consommation (Ar constants 2010, IPC)" title="" id="411" name="Picture"/>
            <a:graphic>
              <a:graphicData uri="http://schemas.openxmlformats.org/drawingml/2006/picture">
                <pic:pic>
                  <pic:nvPicPr>
                    <pic:cNvPr descr="03_habitat_niveau_de_vie_files/figure-docx/fig_trends_revtot_real_eq-1.png" id="412" name="Picture"/>
                    <pic:cNvPicPr>
                      <a:picLocks noChangeArrowheads="1" noChangeAspect="1"/>
                    </pic:cNvPicPr>
                  </pic:nvPicPr>
                  <pic:blipFill>
                    <a:blip r:embed="rId410"/>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total reel moyen par unite de consommation (Ar constants 2010, IPC)</w:t>
      </w:r>
    </w:p>
    <w:p>
      <w:pPr>
        <w:pStyle w:val="Corpsdetexte"/>
      </w:pPr>
      <w:r>
        <w:t xml:space="preserve">Le revenu courant réel moyen par ménage présente une évolution très fluctuante dans les deux observatoires sur l’ensemble de la période étudiée.</w:t>
      </w:r>
    </w:p>
    <w:p>
      <w:pPr>
        <w:pStyle w:val="Corpsdetexte"/>
      </w:pPr>
      <w:r>
        <w:t xml:space="preserve">À Alaotra, le revenu diminue d’abord entre 1999 et 2002, passant d’environ 1900000 Ariary à moins de 1000000 Ariary. Une forte hausse intervient ensuite entre 2003 et 2005, avec un pic proche de 3500000 Ariary en 2005. Après cette augmentation, le revenu reste instable entre 2006 et 2010, oscillant généralement entre 2500000 et 3300000 Ariary. À partir de 2011, les niveaux se situent autour de 2200000 à 2500000 Ariary avant une tendance projetée à la baisse après 2015. En 2025, le revenu courant réel moyen est estimé à environ 1500000 Ariary.</w:t>
      </w:r>
    </w:p>
    <w:p>
      <w:pPr>
        <w:pStyle w:val="Corpsdetexte"/>
      </w:pPr>
      <w:r>
        <w:t xml:space="preserve">À Marovoay, le revenu courant réel moyen augmente fortement entre 1995 et 2000, passant d’environ 1400000 Ariary à près de 2800000 Ariary. Après une baisse autour de 2002 et 2003, une hausse très importante apparaît en 2004 avec un niveau proche de 4000000 Ariary, correspondant au maximum observé sur toute la série. Le revenu diminue ensuite progressivement tout en restant autour de 2500000 à 3000000 Ariary jusqu’en 2008. Après 2010, la tendance devient davantage décroissante, avec des niveaux proches de 1800000 à 2200000 Ariary. La projection jusqu’en 2025 montre une poursuite de cette baisse, conduisant à un revenu d’environ 1200000 Ariary en fin de période.</w:t>
      </w:r>
    </w:p>
    <w:p>
      <w:pPr>
        <w:pStyle w:val="CaptionedFigure"/>
      </w:pPr>
      <w:r>
        <w:drawing>
          <wp:inline>
            <wp:extent cx="5969000" cy="2984500"/>
            <wp:effectExtent b="0" l="0" r="0" t="0"/>
            <wp:docPr descr="Evolution du revenu courant reel moyen par menage (Ar constants 2010, IPC)" title="" id="414" name="Picture"/>
            <a:graphic>
              <a:graphicData uri="http://schemas.openxmlformats.org/drawingml/2006/picture">
                <pic:pic>
                  <pic:nvPicPr>
                    <pic:cNvPr descr="03_habitat_niveau_de_vie_files/figure-docx/fig_trends_revcou_real-1.png" id="415" name="Picture"/>
                    <pic:cNvPicPr>
                      <a:picLocks noChangeArrowheads="1" noChangeAspect="1"/>
                    </pic:cNvPicPr>
                  </pic:nvPicPr>
                  <pic:blipFill>
                    <a:blip r:embed="rId413"/>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courant reel moyen par menage (Ar constants 2010, IPC)</w:t>
      </w:r>
    </w:p>
    <w:p>
      <w:pPr>
        <w:pStyle w:val="CaptionedFigure"/>
      </w:pPr>
      <w:r>
        <w:drawing>
          <wp:inline>
            <wp:extent cx="5969000" cy="2984500"/>
            <wp:effectExtent b="0" l="0" r="0" t="0"/>
            <wp:docPr descr="Evolution du revenu courant reel moyen par tete (Ar constants 2010, IPC)" title="" id="417" name="Picture"/>
            <a:graphic>
              <a:graphicData uri="http://schemas.openxmlformats.org/drawingml/2006/picture">
                <pic:pic>
                  <pic:nvPicPr>
                    <pic:cNvPr descr="03_habitat_niveau_de_vie_files/figure-docx/fig_trends_revcou_real_pc-1.png" id="418" name="Picture"/>
                    <pic:cNvPicPr>
                      <a:picLocks noChangeArrowheads="1" noChangeAspect="1"/>
                    </pic:cNvPicPr>
                  </pic:nvPicPr>
                  <pic:blipFill>
                    <a:blip r:embed="rId416"/>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courant reel moyen par tete (Ar constants 2010, IPC)</w:t>
      </w:r>
    </w:p>
    <w:p>
      <w:pPr>
        <w:pStyle w:val="CaptionedFigure"/>
      </w:pPr>
      <w:r>
        <w:drawing>
          <wp:inline>
            <wp:extent cx="5969000" cy="2984500"/>
            <wp:effectExtent b="0" l="0" r="0" t="0"/>
            <wp:docPr descr="Evolution du revenu courant reel moyen par unite de consommation (Ar constants 2010, IPC)" title="" id="420" name="Picture"/>
            <a:graphic>
              <a:graphicData uri="http://schemas.openxmlformats.org/drawingml/2006/picture">
                <pic:pic>
                  <pic:nvPicPr>
                    <pic:cNvPr descr="03_habitat_niveau_de_vie_files/figure-docx/fig_trends_revcou_real_eq-1.png" id="421" name="Picture"/>
                    <pic:cNvPicPr>
                      <a:picLocks noChangeArrowheads="1" noChangeAspect="1"/>
                    </pic:cNvPicPr>
                  </pic:nvPicPr>
                  <pic:blipFill>
                    <a:blip r:embed="rId419"/>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courant reel moyen par unite de consommation (Ar constants 2010, IPC)</w:t>
      </w:r>
    </w:p>
    <w:bookmarkEnd w:id="422"/>
    <w:bookmarkStart w:id="429" w:name="X2a7b5b9a92102baba55ec14e1401f1a7133825d"/>
    <w:p>
      <w:pPr>
        <w:pStyle w:val="Titre3"/>
      </w:pPr>
      <w:r>
        <w:t xml:space="preserve">3.5.4 Revenus reels (deflates par le prix du paddy)</w:t>
      </w:r>
    </w:p>
    <w:p>
      <w:pPr>
        <w:pStyle w:val="FirstParagraph"/>
      </w:pPr>
      <w:r>
        <w:t xml:space="preserve">Le prix du paddy, produit central de ces economies rizicoles, offre un déflateur alternatif plus proche de la realite locale que l’IPC national. Les revenus sont ici exprimes en equivalent-paddy a prix 2010, c’est-a-dire divises par l’indice du prix median du paddy de chaque observatoire (base 2010 = 1). Ce déflateur est propre a chaque observatoire.</w:t>
      </w:r>
    </w:p>
    <w:p>
      <w:pPr>
        <w:pStyle w:val="Corpsdetexte"/>
      </w:pPr>
      <w:r>
        <w:t xml:space="preserve">Le revenu total réel moyen par ménage exprimé en constants paddy 2010 présente de fortes fluctuations dans les deux observatoires au cours de la période étudiée. Cette approche par le déflateur-paddy est d’autant plus cruciale qu’elle met en lumière un appauvrissement réel et structurel des ménages au cours de la dernière décennie. En effet, la baisse des revenus exprimés en équivalent-paddy traduit une érosion directe du pouvoir d’achat sur le bien le plus vital de ces économies ruraux.</w:t>
      </w:r>
    </w:p>
    <w:p>
      <w:pPr>
        <w:pStyle w:val="Corpsdetexte"/>
      </w:pPr>
      <w:r>
        <w:t xml:space="preserve">À Alaotra, le revenu diminue d’abord entre 1999 et 2001, passant d’environ 1600000 Ariary à près de 1300000 Ariary, avant d’augmenter fortement jusqu’à environ 2300000 Ariary en 2003. Une hausse très marquée est ensuite observée entre 2005 et 2007, avec un maximum proche de 3300000 Ariary en 2007. Après une baisse autour de 2008 à environ 2500000 Ariary, le revenu remonte de nouveau autour de 3100000 Ariary en 2010. Les années suivantes restent fluctuantes entre 2100000 et 2800000 Ariary. La projection après 2015 indique une diminution progressive du revenu, qui atteint environ 1500000 Ariary en 2025.</w:t>
      </w:r>
    </w:p>
    <w:p>
      <w:pPr>
        <w:pStyle w:val="Corpsdetexte"/>
      </w:pPr>
      <w:r>
        <w:t xml:space="preserve">À Marovoay, le revenu total réel moyen évolue également de manière irrégulière. Le revenu augmente fortement entre 1997 et 1998, passant d’environ 1600000 Ariary à plus de 2400000 Ariary. Entre 1999 et 2005, les niveaux fluctuent généralement entre 1800000 et 2600000 Ariary, avec plusieurs hausses et baisses successives. Une chute importante apparaît en 2005 avec un niveau proche de 1500000 Ariary, suivie d’une remontée progressive autour de 2200000 Ariary entre 2006 et 2010. Après une légère baisse autour de 2011, le revenu atteint près de 2400000 Ariary en 2012 avant de redescendre autour de 1900000 Ariary en 2013. La projection jusqu’en 2025 montre ensuite une baisse continue, conduisant à un revenu proche de 1000000 Ariary en fin de période.</w:t>
      </w:r>
    </w:p>
    <w:p>
      <w:pPr>
        <w:pStyle w:val="CaptionedFigure"/>
      </w:pPr>
      <w:r>
        <w:drawing>
          <wp:inline>
            <wp:extent cx="5969000" cy="2984500"/>
            <wp:effectExtent b="0" l="0" r="0" t="0"/>
            <wp:docPr descr="Evolution du revenu total reel moyen par menage (Ar constants paddy 2010)" title="" id="424" name="Picture"/>
            <a:graphic>
              <a:graphicData uri="http://schemas.openxmlformats.org/drawingml/2006/picture">
                <pic:pic>
                  <pic:nvPicPr>
                    <pic:cNvPr descr="03_habitat_niveau_de_vie_files/figure-docx/fig_trends_revtot_paddy-1.png" id="425" name="Picture"/>
                    <pic:cNvPicPr>
                      <a:picLocks noChangeArrowheads="1" noChangeAspect="1"/>
                    </pic:cNvPicPr>
                  </pic:nvPicPr>
                  <pic:blipFill>
                    <a:blip r:embed="rId423"/>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total reel moyen par menage (Ar constants paddy 2010)</w:t>
      </w:r>
    </w:p>
    <w:p>
      <w:pPr>
        <w:pStyle w:val="Corpsdetexte"/>
      </w:pPr>
      <w:r>
        <w:t xml:space="preserve">Le revenu courant réel moyen par ménage exprimé en constants paddy 2010 présente de fortes variations dans les deux observatoires au cours de la période étudiée.</w:t>
      </w:r>
    </w:p>
    <w:p>
      <w:pPr>
        <w:pStyle w:val="Corpsdetexte"/>
      </w:pPr>
      <w:r>
        <w:t xml:space="preserve">À Alaotra, le revenu diminue fortement entre 1999 et 2000, passant d’environ 1500000 Ariary à près de 1100000 Ariary, avant de remonter autour de 2000000 Ariary en 2001. Une nouvelle baisse apparaît ensuite en 2002 avec un niveau proche de 1100000 Ariary, suivie d’une forte progression jusqu’à environ 3100000 Ariary en 2006, correspondant au niveau maximal observé dans la série. Après une diminution autour de 2400000 Ariary en 2007, le revenu remonte de nouveau près de 3000000 Ariary en 2009. Entre 2010 et 2013, les niveaux restent fluctuants entre environ 2100000 et 2600000 Ariary. La projection après 2015 montre une tendance continue à la baisse, avec un revenu proche de 1450000 Ariary en 2025.</w:t>
      </w:r>
    </w:p>
    <w:p>
      <w:pPr>
        <w:pStyle w:val="Corpsdetexte"/>
      </w:pPr>
      <w:r>
        <w:t xml:space="preserve">À Marovoay, le revenu courant réel moyen évolue également de manière irrégulière sur l’ensemble de la période. Le revenu augmente fortement entre 1997 et 1998, passant d’environ 1500000 Ariary à plus de 2100000 Ariary, puis fluctue entre environ 1800000 et 2400000 Ariary jusqu’en 2004. Une forte baisse apparaît en 2005 avec un niveau proche de 1300000 Ariary, avant une remontée progressive autour de 2000000 Ariary entre 2006 et 2010. Après une légère diminution autour de 2011, le revenu atteint près de 2100000 Ariary en 2013 avant de redescendre autour de 1600000 Ariary en 2014. La projection jusqu’en 2025 indique ensuite une baisse régulière du revenu, qui atteint environ 900000 Ariary en fin de période.</w:t>
      </w:r>
    </w:p>
    <w:p>
      <w:pPr>
        <w:pStyle w:val="CaptionedFigure"/>
      </w:pPr>
      <w:r>
        <w:drawing>
          <wp:inline>
            <wp:extent cx="5969000" cy="2984500"/>
            <wp:effectExtent b="0" l="0" r="0" t="0"/>
            <wp:docPr descr="Evolution du revenu courant reel moyen par menage (Ar constants paddy 2010)" title="" id="427" name="Picture"/>
            <a:graphic>
              <a:graphicData uri="http://schemas.openxmlformats.org/drawingml/2006/picture">
                <pic:pic>
                  <pic:nvPicPr>
                    <pic:cNvPr descr="03_habitat_niveau_de_vie_files/figure-docx/fig_trends_revcou_paddy-1.png" id="428" name="Picture"/>
                    <pic:cNvPicPr>
                      <a:picLocks noChangeArrowheads="1" noChangeAspect="1"/>
                    </pic:cNvPicPr>
                  </pic:nvPicPr>
                  <pic:blipFill>
                    <a:blip r:embed="rId426"/>
                    <a:stretch>
                      <a:fillRect/>
                    </a:stretch>
                  </pic:blipFill>
                  <pic:spPr bwMode="auto">
                    <a:xfrm>
                      <a:off x="0" y="0"/>
                      <a:ext cx="5969000" cy="2984500"/>
                    </a:xfrm>
                    <a:prstGeom prst="rect">
                      <a:avLst/>
                    </a:prstGeom>
                    <a:noFill/>
                    <a:ln w="9525">
                      <a:noFill/>
                      <a:headEnd/>
                      <a:tailEnd/>
                    </a:ln>
                  </pic:spPr>
                </pic:pic>
              </a:graphicData>
            </a:graphic>
          </wp:inline>
        </w:drawing>
      </w:r>
    </w:p>
    <w:p>
      <w:pPr>
        <w:pStyle w:val="ImageCaption"/>
      </w:pPr>
      <w:r>
        <w:t xml:space="preserve">Evolution du revenu courant reel moyen par menage (Ar constants paddy 2010)</w:t>
      </w:r>
    </w:p>
    <w:bookmarkEnd w:id="429"/>
    <w:bookmarkEnd w:id="430"/>
    <w:bookmarkStart w:id="434" w:name="sec-habitat-multiyear"/>
    <w:p>
      <w:pPr>
        <w:pStyle w:val="Titre2"/>
      </w:pPr>
      <w:r>
        <w:t xml:space="preserve">3.6 Evolution des conditions d’habitat (1997-2025)</w:t>
      </w:r>
    </w:p>
    <w:p>
      <w:pPr>
        <w:pStyle w:val="FirstParagraph"/>
      </w:pPr>
      <w:r>
        <w:t xml:space="preserve">Les donnees sur l’habitat permettent de suivre l’evolution de la source d’eau principale sur la periode couverte.</w:t>
      </w:r>
    </w:p>
    <w:p>
      <w:pPr>
        <w:pStyle w:val="Corpsdetexte"/>
      </w:pPr>
      <w:r>
        <w:t xml:space="preserve">À Alaotra, la proportion de ménages concernés augmente fortement entre 1997 et 2000, passant d’environ 20 % à près de 60 %. Entre 2001 et 2008, les niveaux restent relativement élevés et fluctuent généralement entre 60 % et 70 %, avec un maximum proche de 70 % autour de 2006. Après 2008, une tendance progressive à la baisse apparaît, conduisant à des niveaux proches de 50 % entre 2012 et 2014. En 2015, la proportion descend à environ 38 %, avant de remonter autour de 60 % dans la projection pour 2025.</w:t>
      </w:r>
    </w:p>
    <w:p>
      <w:pPr>
        <w:pStyle w:val="Corpsdetexte"/>
      </w:pPr>
      <w:r>
        <w:t xml:space="preserve">À Marovoay, l’accès à une source d’eau améliorée demeure beaucoup plus faible sur l’ensemble de la période. Les niveaux restent proches de 0 % jusqu’à la fin des années 1990, puis augmentent progressivement pour atteindre environ 6 % au début des années 2000. Une hausse plus importante apparaît entre 2003 et 2006, avec un maximum proche de 13 % en 2006. Après cette période, la proportion diminue autour de 5 % entre 2007 et 2010, puis se stabilise légèrement au-dessus de ce niveau jusqu’en 2014. En 2015, la proportion atteint environ 8 %, tandis que la projection pour 2025 indique un niveau proche de 30 %.</w:t>
      </w:r>
    </w:p>
    <w:p>
      <w:pPr>
        <w:pStyle w:val="CaptionedFigure"/>
      </w:pPr>
      <w:r>
        <w:drawing>
          <wp:inline>
            <wp:extent cx="5969000" cy="1865312"/>
            <wp:effectExtent b="0" l="0" r="0" t="0"/>
            <wp:docPr descr="Evolution de l’acces a une source d’eau amelioree (1997-2025)" title="" id="432" name="Picture"/>
            <a:graphic>
              <a:graphicData uri="http://schemas.openxmlformats.org/drawingml/2006/picture">
                <pic:pic>
                  <pic:nvPicPr>
                    <pic:cNvPr descr="03_habitat_niveau_de_vie_files/figure-docx/fig_habitat_water-1.png" id="433" name="Picture"/>
                    <pic:cNvPicPr>
                      <a:picLocks noChangeArrowheads="1" noChangeAspect="1"/>
                    </pic:cNvPicPr>
                  </pic:nvPicPr>
                  <pic:blipFill>
                    <a:blip r:embed="rId431"/>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Evolution de l’acces a une source d’eau amelioree (1997-2025)</w:t>
      </w:r>
    </w:p>
    <w:bookmarkEnd w:id="434"/>
    <w:bookmarkEnd w:id="435"/>
    <w:bookmarkStart w:id="520"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C:\PROGRA~1\Quarto\share\formats\docx\warning.png" id="437"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471" w:name="sec-patrimoine"/>
    <w:p>
      <w:pPr>
        <w:pStyle w:val="Titre2"/>
      </w:pPr>
      <w:r>
        <w:t xml:space="preserve">4.1 Patrimoine foncier</w:t>
      </w:r>
    </w:p>
    <w:p>
      <w:pPr>
        <w:pStyle w:val="FirstParagraph"/>
      </w:pPr>
      <w:r>
        <w:t xml:space="preserve">L’analyse du patrimoine foncier permet de caractériser la dotation globale en terres des ménages en détaillant le nombre de parcelles possédées, leurs spécificités agro-physiques ainsi que les dynamiques historiques et sociales d’accès à la propriété</w:t>
      </w:r>
    </w:p>
    <w:bookmarkStart w:id="443" w:name="nombre-de-parcelles-possédées"/>
    <w:p>
      <w:pPr>
        <w:pStyle w:val="Titre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Lienhypertexte"/>
          </w:rPr>
          <w:t xml:space="preserve">Figure 4.1</w:t>
        </w:r>
      </w:hyperlink>
      <w:r>
        <w:t xml:space="preserve">). Les ménages propriétaires possèdent en moyenne 2.3 parcelles.</w:t>
      </w:r>
    </w:p>
    <w:p>
      <w:pPr>
        <w:pStyle w:val="Corpsdetexte"/>
      </w:pPr>
      <w:r>
        <w:rPr>
          <w:b/>
          <w:bCs/>
        </w:rPr>
        <w:t xml:space="preserve">Marovoay.</w:t>
      </w:r>
      <w:r>
        <w:t xml:space="preserve"> </w:t>
      </w:r>
      <w:r>
        <w:t xml:space="preserve">Sur les 519 ménages enquêtés, 253 (48.7 %) ne possèdent aucune parcelle. La très grande majorité des ménages (51.3 %) sont donc propriétaires d’au moins une parcelle (</w:t>
      </w:r>
      <w:hyperlink w:anchor="fig-nb-parcelles">
        <w:r>
          <w:rPr>
            <w:rStyle w:val="Lienhypertexte"/>
          </w:rPr>
          <w:t xml:space="preserve">Figure 4.1</w:t>
        </w:r>
      </w:hyperlink>
      <w:r>
        <w:t xml:space="preserve">). Les ménages propriétaires possèdent en moyenne 2 parcelles.</w:t>
      </w:r>
    </w:p>
    <w:tbl>
      <w:tblPr>
        <w:tblStyle w:val="Table"/>
        <w:tblW w:type="pct" w:w="5000"/>
        <w:tblLayout w:type="fixed"/>
        <w:tblLook w:firstRow="0" w:lastRow="0" w:firstColumn="0" w:lastColumn="0" w:noHBand="0" w:noVBand="0" w:val="0000"/>
      </w:tblPr>
      <w:tblGrid>
        <w:gridCol w:w="7920"/>
      </w:tblGrid>
      <w:tr>
        <w:tc>
          <w:tcPr/>
          <w:bookmarkStart w:id="441"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1865312"/>
                  <wp:effectExtent b="0" l="0" r="0" t="0"/>
                  <wp:docPr descr="" title="" id="439" name="Picture"/>
                  <a:graphic>
                    <a:graphicData uri="http://schemas.openxmlformats.org/drawingml/2006/picture">
                      <pic:pic>
                        <pic:nvPicPr>
                          <pic:cNvPr descr="04_foncier_files/figure-docx/fig-nb-parcelles-1.png" id="440" name="Picture"/>
                          <pic:cNvPicPr>
                            <a:picLocks noChangeArrowheads="1" noChangeAspect="1"/>
                          </pic:cNvPicPr>
                        </pic:nvPicPr>
                        <pic:blipFill>
                          <a:blip r:embed="rId438"/>
                          <a:stretch>
                            <a:fillRect/>
                          </a:stretch>
                        </pic:blipFill>
                        <pic:spPr bwMode="auto">
                          <a:xfrm>
                            <a:off x="0" y="0"/>
                            <a:ext cx="5969000" cy="1865312"/>
                          </a:xfrm>
                          <a:prstGeom prst="rect">
                            <a:avLst/>
                          </a:prstGeom>
                          <a:noFill/>
                          <a:ln w="9525">
                            <a:noFill/>
                            <a:headEnd/>
                            <a:tailEnd/>
                          </a:ln>
                        </pic:spPr>
                      </pic:pic>
                    </a:graphicData>
                  </a:graphic>
                </wp:inline>
              </w:drawing>
            </w:r>
          </w:p>
          <w:bookmarkEnd w:id="441"/>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Alaotra.</w:t>
      </w:r>
      <w:r>
        <w:t xml:space="preserve"> </w:t>
      </w:r>
      <w:r>
        <w:t xml:space="preserve">La superficie moyenne par parcelle est de 51.6 ares, et la surface totale possédée par ménage atteint en moyenne 117.4 ares.</w:t>
      </w:r>
    </w:p>
    <w:p>
      <w:pPr>
        <w:pStyle w:val="Corpsdetexte"/>
      </w:pPr>
      <w:r>
        <w:rPr>
          <w:b/>
          <w:bCs/>
        </w:rPr>
        <w:t xml:space="preserve">Marovoay.</w:t>
      </w:r>
      <w:r>
        <w:t xml:space="preserve"> </w:t>
      </w:r>
      <w:r>
        <w:t xml:space="preserve">La superficie moyenne par parcelle est de 78.9 ares, et la surface totale possédée par ménage atteint en moyenne 163.2 ares.</w:t>
      </w:r>
    </w:p>
    <w:tbl>
      <w:tblPr>
        <w:tblStyle w:val="Table"/>
        <w:tblW w:type="pct" w:w="5000"/>
        <w:tblLayout w:type="fixed"/>
        <w:tblLook w:firstRow="0" w:lastRow="0" w:firstColumn="0" w:lastColumn="0" w:noHBand="0" w:noVBand="0" w:val="0000"/>
      </w:tblPr>
      <w:tblGrid>
        <w:gridCol w:w="7920"/>
      </w:tblGrid>
      <w:tr>
        <w:tc>
          <w:tcPr/>
          <w:bookmarkStart w:id="442"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442"/>
          <w:p/>
        </w:tc>
      </w:tr>
    </w:tbl>
    <w:bookmarkEnd w:id="443"/>
    <w:bookmarkStart w:id="456"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Alaotra.</w:t>
      </w:r>
      <w:r>
        <w:t xml:space="preserve"> </w:t>
      </w:r>
      <w:r>
        <w:t xml:space="preserve">Avec une plus grande diversité, les rizières représentent 52.3 % des parcelles possédées et les champs 40.4 %.</w:t>
      </w:r>
    </w:p>
    <w:p>
      <w:pPr>
        <w:pStyle w:val="Corpsdetexte"/>
      </w:pPr>
      <w:r>
        <w:rPr>
          <w:b/>
          <w:bCs/>
        </w:rPr>
        <w:t xml:space="preserve">Marovoay.</w:t>
      </w:r>
      <w:r>
        <w:t xml:space="preserve"> </w:t>
      </w:r>
      <w:r>
        <w:t xml:space="preserve">Quasi exclusivement tourné vers la rizière de plaine, les rizières représentent 73.9 % des parcelles possédées et les champs 25.6 %.</w:t>
      </w:r>
    </w:p>
    <w:tbl>
      <w:tblPr>
        <w:tblStyle w:val="Table"/>
        <w:tblW w:type="pct" w:w="5000"/>
        <w:tblLayout w:type="fixed"/>
        <w:tblLook w:firstRow="0" w:lastRow="0" w:firstColumn="0" w:lastColumn="0" w:noHBand="0" w:noVBand="0" w:val="0000"/>
      </w:tblPr>
      <w:tblGrid>
        <w:gridCol w:w="7920"/>
      </w:tblGrid>
      <w:tr>
        <w:tc>
          <w:tcPr/>
          <w:bookmarkStart w:id="447" w:name="fig-type-parcelle"/>
          <w:p>
            <w:pPr>
              <w:jc w:val="center"/>
            </w:pPr>
            <w:pPr>
              <w:jc w:val="left"/>
              <w:spacing w:before="200"/>
              <w:pStyle w:val="ImageCaption"/>
            </w:pPr>
            <w:r>
              <w:t xml:space="preserve">Figure 4.2: Type des parcelles possédées</w:t>
            </w:r>
          </w:p>
          <w:p>
            <w:pPr>
              <w:pStyle w:val="Compact"/>
              <w:jc w:val="center"/>
            </w:pPr>
            <w:r>
              <w:drawing>
                <wp:inline>
                  <wp:extent cx="5969000" cy="1865312"/>
                  <wp:effectExtent b="0" l="0" r="0" t="0"/>
                  <wp:docPr descr="" title="" id="445" name="Picture"/>
                  <a:graphic>
                    <a:graphicData uri="http://schemas.openxmlformats.org/drawingml/2006/picture">
                      <pic:pic>
                        <pic:nvPicPr>
                          <pic:cNvPr descr="04_foncier_files/figure-docx/fig-type-parcelle-1.png" id="446" name="Picture"/>
                          <pic:cNvPicPr>
                            <a:picLocks noChangeArrowheads="1" noChangeAspect="1"/>
                          </pic:cNvPicPr>
                        </pic:nvPicPr>
                        <pic:blipFill>
                          <a:blip r:embed="rId444"/>
                          <a:stretch>
                            <a:fillRect/>
                          </a:stretch>
                        </pic:blipFill>
                        <pic:spPr bwMode="auto">
                          <a:xfrm>
                            <a:off x="0" y="0"/>
                            <a:ext cx="5969000" cy="1865312"/>
                          </a:xfrm>
                          <a:prstGeom prst="rect">
                            <a:avLst/>
                          </a:prstGeom>
                          <a:noFill/>
                          <a:ln w="9525">
                            <a:noFill/>
                            <a:headEnd/>
                            <a:tailEnd/>
                          </a:ln>
                        </pic:spPr>
                      </pic:pic>
                    </a:graphicData>
                  </a:graphic>
                </wp:inline>
              </w:drawing>
            </w:r>
          </w:p>
          <w:bookmarkEnd w:id="447"/>
        </w:tc>
      </w:tr>
    </w:tbl>
    <w:p>
      <w:pPr>
        <w:pStyle w:val="Corpsdetexte"/>
      </w:pPr>
      <w:r>
        <w:t xml:space="preserve">Cette lecture peut être affinée en pondérant chaque parcelle par sa superficie : une grande parcelle contribue alors davantage qu’une petite. La figure suivante ne montre donc plus la part du nombre de parcelles, mais la part de la surface totale détenue par type de parcelle.</w:t>
      </w:r>
    </w:p>
    <w:p>
      <w:pPr>
        <w:pStyle w:val="Corpsdetexte"/>
      </w:pPr>
      <w:r>
        <w:rPr>
          <w:b/>
          <w:bCs/>
        </w:rPr>
        <w:t xml:space="preserve">Alaotra.</w:t>
      </w:r>
      <w:r>
        <w:t xml:space="preserve"> </w:t>
      </w:r>
      <w:r>
        <w:t xml:space="preserve">Une fois les parcelles pondérées par leur surface, les rizières représentent 61 % de la surface totale possédée, contre 26.3 % pour les champs. La hiérarchie par type reste donc dominée par la rizière, et cet écart se renforce par rapport au simple comptage des parcelles.</w:t>
      </w:r>
    </w:p>
    <w:p>
      <w:pPr>
        <w:pStyle w:val="Corpsdetexte"/>
      </w:pPr>
      <w:r>
        <w:rPr>
          <w:b/>
          <w:bCs/>
        </w:rPr>
        <w:t xml:space="preserve">Marovoay.</w:t>
      </w:r>
      <w:r>
        <w:t xml:space="preserve"> </w:t>
      </w:r>
      <w:r>
        <w:t xml:space="preserve">Une fois les parcelles pondérées par leur surface, les rizières représentent 77.3 % de la surface totale possédée, contre 22.3 % pour les champs. La domination foncière de la rizière apparaît ainsi encore plus nettement que dans la répartition en nombre de parcelles.</w:t>
      </w:r>
    </w:p>
    <w:tbl>
      <w:tblPr>
        <w:tblStyle w:val="Table"/>
        <w:tblW w:type="pct" w:w="5000"/>
        <w:tblLayout w:type="fixed"/>
        <w:tblLook w:firstRow="0" w:lastRow="0" w:firstColumn="0" w:lastColumn="0" w:noHBand="0" w:noVBand="0" w:val="0000"/>
      </w:tblPr>
      <w:tblGrid>
        <w:gridCol w:w="7920"/>
      </w:tblGrid>
      <w:tr>
        <w:tc>
          <w:tcPr/>
          <w:bookmarkStart w:id="451" w:name="fig-type-parcelle-surface"/>
          <w:p>
            <w:pPr>
              <w:jc w:val="center"/>
            </w:pPr>
            <w:pPr>
              <w:jc w:val="left"/>
              <w:spacing w:before="200"/>
              <w:pStyle w:val="ImageCaption"/>
            </w:pPr>
            <w:r>
              <w:t xml:space="preserve">Figure 4.3: Type des parcelles possédées, pondéré par la surface</w:t>
            </w:r>
          </w:p>
          <w:p>
            <w:pPr>
              <w:pStyle w:val="Compact"/>
              <w:jc w:val="center"/>
            </w:pPr>
            <w:r>
              <w:drawing>
                <wp:inline>
                  <wp:extent cx="5969000" cy="4263571"/>
                  <wp:effectExtent b="0" l="0" r="0" t="0"/>
                  <wp:docPr descr="" title="" id="449" name="Picture"/>
                  <a:graphic>
                    <a:graphicData uri="http://schemas.openxmlformats.org/drawingml/2006/picture">
                      <pic:pic>
                        <pic:nvPicPr>
                          <pic:cNvPr descr="04_foncier_files/figure-docx/fig-type-parcelle-surface-1.png" id="450" name="Picture"/>
                          <pic:cNvPicPr>
                            <a:picLocks noChangeArrowheads="1" noChangeAspect="1"/>
                          </pic:cNvPicPr>
                        </pic:nvPicPr>
                        <pic:blipFill>
                          <a:blip r:embed="rId448"/>
                          <a:stretch>
                            <a:fillRect/>
                          </a:stretch>
                        </pic:blipFill>
                        <pic:spPr bwMode="auto">
                          <a:xfrm>
                            <a:off x="0" y="0"/>
                            <a:ext cx="5969000" cy="4263571"/>
                          </a:xfrm>
                          <a:prstGeom prst="rect">
                            <a:avLst/>
                          </a:prstGeom>
                          <a:noFill/>
                          <a:ln w="9525">
                            <a:noFill/>
                            <a:headEnd/>
                            <a:tailEnd/>
                          </a:ln>
                        </pic:spPr>
                      </pic:pic>
                    </a:graphicData>
                  </a:graphic>
                </wp:inline>
              </w:drawing>
            </w:r>
          </w:p>
          <w:bookmarkEnd w:id="451"/>
        </w:tc>
      </w:tr>
    </w:tbl>
    <w:p>
      <w:pPr>
        <w:pStyle w:val="Corpsdetexte"/>
      </w:pPr>
      <w:r>
        <w:t xml:space="preserve">La localisation des parcelles reflète les spécificités agro-écologiques de chaque site (</w:t>
      </w:r>
      <w:hyperlink w:anchor="fig-localisation-parcelle">
        <w:r>
          <w:rPr>
            <w:rStyle w:val="Lienhypertexte"/>
          </w:rPr>
          <w:t xml:space="preserve">Figure 4.4</w:t>
        </w:r>
      </w:hyperlink>
      <w:r>
        <w:t xml:space="preserve">).</w:t>
      </w:r>
    </w:p>
    <w:p>
      <w:pPr>
        <w:pStyle w:val="Corpsdetexte"/>
      </w:pPr>
      <w:r>
        <w:rPr>
          <w:b/>
          <w:bCs/>
        </w:rPr>
        <w:t xml:space="preserve">Alaotra.</w:t>
      </w:r>
      <w:r>
        <w:t xml:space="preserve"> </w:t>
      </w:r>
      <w:r>
        <w:t xml:space="preserve">Les parcelles se concentrent principalement en plaine (45.3 %) puis sur tanety avec 28.3% .</w:t>
      </w:r>
    </w:p>
    <w:p>
      <w:pPr>
        <w:pStyle w:val="Corpsdetexte"/>
      </w:pPr>
      <w:r>
        <w:rPr>
          <w:b/>
          <w:bCs/>
        </w:rPr>
        <w:t xml:space="preserve">Marovoay.</w:t>
      </w:r>
      <w:r>
        <w:t xml:space="preserve"> </w:t>
      </w:r>
      <w:r>
        <w:t xml:space="preserve">La localisation la plus fréquente est la plaine (67.3 %) puis sur tanety avec 29%.</w:t>
      </w:r>
    </w:p>
    <w:tbl>
      <w:tblPr>
        <w:tblStyle w:val="Table"/>
        <w:tblW w:type="pct" w:w="5000"/>
        <w:tblLayout w:type="fixed"/>
        <w:tblLook w:firstRow="0" w:lastRow="0" w:firstColumn="0" w:lastColumn="0" w:noHBand="0" w:noVBand="0" w:val="0000"/>
      </w:tblPr>
      <w:tblGrid>
        <w:gridCol w:w="7920"/>
      </w:tblGrid>
      <w:tr>
        <w:tc>
          <w:tcPr/>
          <w:bookmarkStart w:id="455" w:name="fig-localisation-parcelle"/>
          <w:p>
            <w:pPr>
              <w:jc w:val="center"/>
            </w:pPr>
            <w:pPr>
              <w:jc w:val="left"/>
              <w:spacing w:before="200"/>
              <w:pStyle w:val="ImageCaption"/>
            </w:pPr>
            <w:r>
              <w:t xml:space="preserve">Figure 4.4: Localisation des parcelles possédées</w:t>
            </w:r>
          </w:p>
          <w:p>
            <w:pPr>
              <w:pStyle w:val="Compact"/>
              <w:jc w:val="center"/>
            </w:pPr>
            <w:r>
              <w:drawing>
                <wp:inline>
                  <wp:extent cx="5969000" cy="1865312"/>
                  <wp:effectExtent b="0" l="0" r="0" t="0"/>
                  <wp:docPr descr="" title="" id="453" name="Picture"/>
                  <a:graphic>
                    <a:graphicData uri="http://schemas.openxmlformats.org/drawingml/2006/picture">
                      <pic:pic>
                        <pic:nvPicPr>
                          <pic:cNvPr descr="04_foncier_files/figure-docx/fig-localisation-parcelle-1.png" id="454" name="Picture"/>
                          <pic:cNvPicPr>
                            <a:picLocks noChangeArrowheads="1" noChangeAspect="1"/>
                          </pic:cNvPicPr>
                        </pic:nvPicPr>
                        <pic:blipFill>
                          <a:blip r:embed="rId452"/>
                          <a:stretch>
                            <a:fillRect/>
                          </a:stretch>
                        </pic:blipFill>
                        <pic:spPr bwMode="auto">
                          <a:xfrm>
                            <a:off x="0" y="0"/>
                            <a:ext cx="5969000" cy="1865312"/>
                          </a:xfrm>
                          <a:prstGeom prst="rect">
                            <a:avLst/>
                          </a:prstGeom>
                          <a:noFill/>
                          <a:ln w="9525">
                            <a:noFill/>
                            <a:headEnd/>
                            <a:tailEnd/>
                          </a:ln>
                        </pic:spPr>
                      </pic:pic>
                    </a:graphicData>
                  </a:graphic>
                </wp:inline>
              </w:drawing>
            </w:r>
          </w:p>
          <w:bookmarkEnd w:id="455"/>
        </w:tc>
      </w:tr>
    </w:tbl>
    <w:bookmarkEnd w:id="456"/>
    <w:bookmarkStart w:id="461"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4.5</w:t>
        </w:r>
      </w:hyperlink>
      <w:r>
        <w:t xml:space="preserve"> </w:t>
      </w:r>
      <w:r>
        <w:t xml:space="preserve">présente les modes d’irrigation des parcelles possédées par les ménages.</w:t>
      </w:r>
    </w:p>
    <w:p>
      <w:pPr>
        <w:pStyle w:val="Corpsdetexte"/>
      </w:pPr>
      <w:r>
        <w:t xml:space="preserve">Les différences entre Alaotra et Marovoay reflètent les investissements hydrauliques historiques de chaque périmètre.</w:t>
      </w:r>
    </w:p>
    <w:p>
      <w:pPr>
        <w:pStyle w:val="Corpsdetexte"/>
      </w:pPr>
      <w:r>
        <w:t xml:space="preserve">À Alaotra, près de 48 % des parcelles n’ont aucune irrigation et le réseau traditionnel occupe 39 %.</w:t>
      </w:r>
    </w:p>
    <w:p>
      <w:pPr>
        <w:pStyle w:val="Corpsdetexte"/>
      </w:pPr>
      <w:r>
        <w:t xml:space="preserve">À Marovoay, le réseau traditionnel est le mode principal (43 %), suivi de l’absence totale d’irrigation (39 %).</w:t>
      </w:r>
    </w:p>
    <w:p>
      <w:pPr>
        <w:pStyle w:val="Corpsdetexte"/>
      </w:pPr>
      <w:r>
        <w:t xml:space="preserve">Malgré le statut de « greniers à riz », une part importante des terres dépend encore uniquement de la pluviométrie ou de réseaux traditionnels peu sécurisés.</w:t>
      </w:r>
    </w:p>
    <w:tbl>
      <w:tblPr>
        <w:tblStyle w:val="Table"/>
        <w:tblW w:type="pct" w:w="5000"/>
        <w:tblLayout w:type="fixed"/>
        <w:tblLook w:firstRow="0" w:lastRow="0" w:firstColumn="0" w:lastColumn="0" w:noHBand="0" w:noVBand="0" w:val="0000"/>
      </w:tblPr>
      <w:tblGrid>
        <w:gridCol w:w="7920"/>
      </w:tblGrid>
      <w:tr>
        <w:tc>
          <w:tcPr/>
          <w:bookmarkStart w:id="460" w:name="fig-irrigation-possedee"/>
          <w:p>
            <w:pPr>
              <w:jc w:val="center"/>
            </w:pPr>
            <w:pPr>
              <w:jc w:val="left"/>
              <w:spacing w:before="200"/>
              <w:pStyle w:val="ImageCaption"/>
            </w:pPr>
            <w:r>
              <w:t xml:space="preserve">Figure 4.5: Mode d’irrigation des parcelles possédées</w:t>
            </w:r>
          </w:p>
          <w:p>
            <w:pPr>
              <w:pStyle w:val="Compact"/>
              <w:jc w:val="center"/>
            </w:pPr>
            <w:r>
              <w:drawing>
                <wp:inline>
                  <wp:extent cx="5969000" cy="1865312"/>
                  <wp:effectExtent b="0" l="0" r="0" t="0"/>
                  <wp:docPr descr="" title="" id="458" name="Picture"/>
                  <a:graphic>
                    <a:graphicData uri="http://schemas.openxmlformats.org/drawingml/2006/picture">
                      <pic:pic>
                        <pic:nvPicPr>
                          <pic:cNvPr descr="04_foncier_files/figure-docx/fig-irrigation-possedee-1.png" id="459" name="Picture"/>
                          <pic:cNvPicPr>
                            <a:picLocks noChangeArrowheads="1" noChangeAspect="1"/>
                          </pic:cNvPicPr>
                        </pic:nvPicPr>
                        <pic:blipFill>
                          <a:blip r:embed="rId457"/>
                          <a:stretch>
                            <a:fillRect/>
                          </a:stretch>
                        </pic:blipFill>
                        <pic:spPr bwMode="auto">
                          <a:xfrm>
                            <a:off x="0" y="0"/>
                            <a:ext cx="5969000" cy="1865312"/>
                          </a:xfrm>
                          <a:prstGeom prst="rect">
                            <a:avLst/>
                          </a:prstGeom>
                          <a:noFill/>
                          <a:ln w="9525">
                            <a:noFill/>
                            <a:headEnd/>
                            <a:tailEnd/>
                          </a:ln>
                        </pic:spPr>
                      </pic:pic>
                    </a:graphicData>
                  </a:graphic>
                </wp:inline>
              </w:drawing>
            </w:r>
          </w:p>
          <w:bookmarkEnd w:id="460"/>
        </w:tc>
      </w:tr>
    </w:tbl>
    <w:bookmarkEnd w:id="461"/>
    <w:bookmarkStart w:id="470"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4.6</w:t>
        </w:r>
      </w:hyperlink>
      <w:r>
        <w:t xml:space="preserve">). L’héritage domine largement.</w:t>
      </w:r>
    </w:p>
    <w:p>
      <w:pPr>
        <w:pStyle w:val="Corpsdetexte"/>
      </w:pPr>
      <w:r>
        <w:rPr>
          <w:b/>
          <w:bCs/>
        </w:rPr>
        <w:t xml:space="preserve">Alaotra.</w:t>
      </w:r>
      <w:r>
        <w:t xml:space="preserve"> </w:t>
      </w:r>
      <w:r>
        <w:t xml:space="preserve">Le marché foncier est plus dynamique avec une dominance de l’achat. L’héritage concerne 46.5 % des parcelles (en nombre), l’achat 49.1 % et la mise en valeur 1.1 %.</w:t>
      </w:r>
    </w:p>
    <w:p>
      <w:pPr>
        <w:pStyle w:val="Corpsdetexte"/>
      </w:pPr>
      <w:r>
        <w:rPr>
          <w:b/>
          <w:bCs/>
        </w:rPr>
        <w:t xml:space="preserve">Marovoay</w:t>
      </w:r>
      <w:r>
        <w:t xml:space="preserve"> </w:t>
      </w:r>
      <w:r>
        <w:t xml:space="preserve">reste marqué par la transmission familiale. L’héritage concerne 59.4 % des parcelles (en nombre), l’achat 39 % et la mise en valeur 0.2 %.</w:t>
      </w:r>
    </w:p>
    <w:tbl>
      <w:tblPr>
        <w:tblStyle w:val="Table"/>
        <w:tblW w:type="pct" w:w="5000"/>
        <w:tblLayout w:type="fixed"/>
        <w:tblLook w:firstRow="0" w:lastRow="0" w:firstColumn="0" w:lastColumn="0" w:noHBand="0" w:noVBand="0" w:val="0000"/>
      </w:tblPr>
      <w:tblGrid>
        <w:gridCol w:w="7920"/>
      </w:tblGrid>
      <w:tr>
        <w:tc>
          <w:tcPr/>
          <w:bookmarkStart w:id="465" w:name="fig-acquisition"/>
          <w:p>
            <w:pPr>
              <w:jc w:val="center"/>
            </w:pPr>
            <w:pPr>
              <w:jc w:val="left"/>
              <w:spacing w:before="200"/>
              <w:pStyle w:val="ImageCaption"/>
            </w:pPr>
            <w:r>
              <w:t xml:space="preserve">Figure 4.6: Mode d’acquisition des parcelles possédées</w:t>
            </w:r>
          </w:p>
          <w:p>
            <w:pPr>
              <w:pStyle w:val="Compact"/>
              <w:jc w:val="center"/>
            </w:pPr>
            <w:r>
              <w:drawing>
                <wp:inline>
                  <wp:extent cx="5969000" cy="2238375"/>
                  <wp:effectExtent b="0" l="0" r="0" t="0"/>
                  <wp:docPr descr="" title="" id="463" name="Picture"/>
                  <a:graphic>
                    <a:graphicData uri="http://schemas.openxmlformats.org/drawingml/2006/picture">
                      <pic:pic>
                        <pic:nvPicPr>
                          <pic:cNvPr descr="04_foncier_files/figure-docx/fig-acquisition-1.png" id="464" name="Picture"/>
                          <pic:cNvPicPr>
                            <a:picLocks noChangeArrowheads="1" noChangeAspect="1"/>
                          </pic:cNvPicPr>
                        </pic:nvPicPr>
                        <pic:blipFill>
                          <a:blip r:embed="rId462"/>
                          <a:stretch>
                            <a:fillRect/>
                          </a:stretch>
                        </pic:blipFill>
                        <pic:spPr bwMode="auto">
                          <a:xfrm>
                            <a:off x="0" y="0"/>
                            <a:ext cx="5969000" cy="2238375"/>
                          </a:xfrm>
                          <a:prstGeom prst="rect">
                            <a:avLst/>
                          </a:prstGeom>
                          <a:noFill/>
                          <a:ln w="9525">
                            <a:noFill/>
                            <a:headEnd/>
                            <a:tailEnd/>
                          </a:ln>
                        </pic:spPr>
                      </pic:pic>
                    </a:graphicData>
                  </a:graphic>
                </wp:inline>
              </w:drawing>
            </w:r>
          </w:p>
          <w:bookmarkEnd w:id="465"/>
        </w:tc>
      </w:tr>
    </w:tbl>
    <w:p>
      <w:pPr>
        <w:pStyle w:val="Corpsdetexte"/>
      </w:pPr>
      <w:r>
        <w:t xml:space="preserve">L’ancienneté de possession témoigne de l’enracinement des ménages sur leurs terres (</w:t>
      </w:r>
      <w:hyperlink w:anchor="fig-anciennete">
        <w:r>
          <w:rPr>
            <w:rStyle w:val="Lienhypertexte"/>
          </w:rPr>
          <w:t xml:space="preserve">Figure 4.7</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p>
      <w:pPr>
        <w:pStyle w:val="Corpsdetexte"/>
      </w:pPr>
      <w:r>
        <w:t xml:space="preserve">À Alaotra, les données indiquent que près d’un quart des parcelles (24.6%) ont été acquises récemment, au cours des années 2010. Les acquisitions durant les années 2000 représentent 19.5% du patrimoine foncier, suivies par les années 1990 avec 14.2%. Les possessions plus anciennes sont proportionnellement moins nombreuses, avec 8.9% pour les années 1980, 4.7% pour les années 1970 et seulement 2.6% pour la période antérieure à 1970.</w:t>
      </w:r>
    </w:p>
    <w:p>
      <w:pPr>
        <w:pStyle w:val="Corpsdetexte"/>
      </w:pPr>
      <w:r>
        <w:t xml:space="preserve">À Marovoay, les acquisitions réalisées durant les années 2010 sont les plus fréquentes et concernent 24.5% des parcelles possédées. Les parcelles obtenues dans les années 2000 constituent 16.3% de l’ensemble, tandis que celles datant des années 1990 représentent 12.2%. La part des terrains acquis plus anciennement est plus faible, s’établissant à 7.3% pour les années 1980, 1.9% pour les années 1970 et 2.6% pour la période avant 1970. Il est notable qu’une part importante des répondants (14.9%) déclare ne pas se rappeler de la date d’acquisition de leurs terres.</w:t>
      </w:r>
    </w:p>
    <w:tbl>
      <w:tblPr>
        <w:tblStyle w:val="Table"/>
        <w:tblW w:type="pct" w:w="5000"/>
        <w:tblLayout w:type="fixed"/>
        <w:tblLook w:firstRow="0" w:lastRow="0" w:firstColumn="0" w:lastColumn="0" w:noHBand="0" w:noVBand="0" w:val="0000"/>
      </w:tblPr>
      <w:tblGrid>
        <w:gridCol w:w="7920"/>
      </w:tblGrid>
      <w:tr>
        <w:tc>
          <w:tcPr/>
          <w:bookmarkStart w:id="469" w:name="fig-anciennete"/>
          <w:p>
            <w:pPr>
              <w:jc w:val="center"/>
            </w:pPr>
            <w:pPr>
              <w:jc w:val="left"/>
              <w:spacing w:before="200"/>
              <w:pStyle w:val="ImageCaption"/>
            </w:pPr>
            <w:r>
              <w:t xml:space="preserve">Figure 4.7: Ancienneté de possession des parcelles</w:t>
            </w:r>
          </w:p>
          <w:p>
            <w:pPr>
              <w:pStyle w:val="Compact"/>
              <w:jc w:val="center"/>
            </w:pPr>
            <w:r>
              <w:drawing>
                <wp:inline>
                  <wp:extent cx="5969000" cy="2611437"/>
                  <wp:effectExtent b="0" l="0" r="0" t="0"/>
                  <wp:docPr descr="" title="" id="467" name="Picture"/>
                  <a:graphic>
                    <a:graphicData uri="http://schemas.openxmlformats.org/drawingml/2006/picture">
                      <pic:pic>
                        <pic:nvPicPr>
                          <pic:cNvPr descr="04_foncier_files/figure-docx/fig-anciennete-1.png" id="468" name="Picture"/>
                          <pic:cNvPicPr>
                            <a:picLocks noChangeArrowheads="1" noChangeAspect="1"/>
                          </pic:cNvPicPr>
                        </pic:nvPicPr>
                        <pic:blipFill>
                          <a:blip r:embed="rId466"/>
                          <a:stretch>
                            <a:fillRect/>
                          </a:stretch>
                        </pic:blipFill>
                        <pic:spPr bwMode="auto">
                          <a:xfrm>
                            <a:off x="0" y="0"/>
                            <a:ext cx="5969000" cy="2611437"/>
                          </a:xfrm>
                          <a:prstGeom prst="rect">
                            <a:avLst/>
                          </a:prstGeom>
                          <a:noFill/>
                          <a:ln w="9525">
                            <a:noFill/>
                            <a:headEnd/>
                            <a:tailEnd/>
                          </a:ln>
                        </pic:spPr>
                      </pic:pic>
                    </a:graphicData>
                  </a:graphic>
                </wp:inline>
              </w:drawing>
            </w:r>
          </w:p>
          <w:bookmarkEnd w:id="469"/>
        </w:tc>
      </w:tr>
    </w:tbl>
    <w:bookmarkEnd w:id="470"/>
    <w:bookmarkEnd w:id="471"/>
    <w:bookmarkStart w:id="480"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Les ménages s’appuient massivement sur des documents informels comme le « Taratasy visa Fokontany » ou le « Visa Mairie » (</w:t>
      </w:r>
      <w:hyperlink w:anchor="fig-securisation">
        <w:r>
          <w:rPr>
            <w:rStyle w:val="Lienhypertexte"/>
          </w:rPr>
          <w:t xml:space="preserve">Figure 4.8</w:t>
        </w:r>
      </w:hyperlink>
      <w:r>
        <w:t xml:space="preserve">).</w:t>
      </w:r>
    </w:p>
    <w:p>
      <w:pPr>
        <w:pStyle w:val="Corpsdetexte"/>
      </w:pPr>
      <w:r>
        <w:rPr>
          <w:b/>
          <w:bCs/>
        </w:rPr>
        <w:t xml:space="preserve">Alaotra.</w:t>
      </w:r>
      <w:r>
        <w:t xml:space="preserve"> </w:t>
      </w:r>
      <w:r>
        <w:t xml:space="preserve">Seules 16.2 % des parcelles disposent d’un titre foncier. Les certificats fonciers ne couvrent que 27.5 % des parcelles (en nombre).</w:t>
      </w:r>
    </w:p>
    <w:p>
      <w:pPr>
        <w:pStyle w:val="Corpsdetexte"/>
      </w:pPr>
      <w:r>
        <w:rPr>
          <w:b/>
          <w:bCs/>
        </w:rPr>
        <w:t xml:space="preserve">Marovoay.</w:t>
      </w:r>
      <w:r>
        <w:t xml:space="preserve"> </w:t>
      </w:r>
      <w:r>
        <w:t xml:space="preserve">Seules 21.5 % des parcelles disposent d’un titre foncier. Les certificats fonciers ne couvrent que 28.3 % des parcelles (en nombre).</w:t>
      </w:r>
    </w:p>
    <w:tbl>
      <w:tblPr>
        <w:tblStyle w:val="Table"/>
        <w:tblW w:type="pct" w:w="5000"/>
        <w:tblLayout w:type="fixed"/>
        <w:tblLook w:firstRow="0" w:lastRow="0" w:firstColumn="0" w:lastColumn="0" w:noHBand="0" w:noVBand="0" w:val="0000"/>
      </w:tblPr>
      <w:tblGrid>
        <w:gridCol w:w="7920"/>
      </w:tblGrid>
      <w:tr>
        <w:tc>
          <w:tcPr/>
          <w:bookmarkStart w:id="475" w:name="fig-securisation"/>
          <w:p>
            <w:pPr>
              <w:jc w:val="center"/>
            </w:pPr>
            <w:pPr>
              <w:jc w:val="left"/>
              <w:spacing w:before="200"/>
              <w:pStyle w:val="ImageCaption"/>
            </w:pPr>
            <w:r>
              <w:t xml:space="preserve">Figure 4.8: Sécurisation foncière des parcelles possédées</w:t>
            </w:r>
          </w:p>
          <w:p>
            <w:pPr>
              <w:pStyle w:val="Compact"/>
              <w:jc w:val="center"/>
            </w:pPr>
            <w:r>
              <w:drawing>
                <wp:inline>
                  <wp:extent cx="4620126" cy="1848050"/>
                  <wp:effectExtent b="0" l="0" r="0" t="0"/>
                  <wp:docPr descr="" title="" id="473" name="Picture"/>
                  <a:graphic>
                    <a:graphicData uri="http://schemas.openxmlformats.org/drawingml/2006/picture">
                      <pic:pic>
                        <pic:nvPicPr>
                          <pic:cNvPr descr="04_foncier_files/figure-docx/fig-securisation-1.png" id="474" name="Picture"/>
                          <pic:cNvPicPr>
                            <a:picLocks noChangeArrowheads="1" noChangeAspect="1"/>
                          </pic:cNvPicPr>
                        </pic:nvPicPr>
                        <pic:blipFill>
                          <a:blip r:embed="rId472"/>
                          <a:stretch>
                            <a:fillRect/>
                          </a:stretch>
                        </pic:blipFill>
                        <pic:spPr bwMode="auto">
                          <a:xfrm>
                            <a:off x="0" y="0"/>
                            <a:ext cx="4620126" cy="1848050"/>
                          </a:xfrm>
                          <a:prstGeom prst="rect">
                            <a:avLst/>
                          </a:prstGeom>
                          <a:noFill/>
                          <a:ln w="9525">
                            <a:noFill/>
                            <a:headEnd/>
                            <a:tailEnd/>
                          </a:ln>
                        </pic:spPr>
                      </pic:pic>
                    </a:graphicData>
                  </a:graphic>
                </wp:inline>
              </w:drawing>
            </w:r>
          </w:p>
          <w:bookmarkEnd w:id="475"/>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4.9</w:t>
        </w:r>
      </w:hyperlink>
      <w:r>
        <w:t xml:space="preserve">). Cependant, 34.5 % des parcelles ne sont accompagnées d’aucun document justificatif, ce qui expose ces ménages à un risque élevé d’insécurité foncière en cas de litige.</w:t>
      </w:r>
    </w:p>
    <w:p>
      <w:pPr>
        <w:pStyle w:val="Corpsdetexte"/>
      </w:pPr>
      <w:r>
        <w:t xml:space="preserve">A Alaotra, l’analyse des documents prouvant la possession des parcelles par les ménages montre que la situation la plus courante est l’absence de tout document justificatif. Ce qui concerne 33.5 % des parcelles. Pour les terrains disposant d’une forme de sécurisation informelle, le visa de la mairie est la modalité la plus fréquente avec un taux de 27.6 %. Viennent ensuite les documents non visés pour 15.3 % des parcelles et les actes munis d’un visa du fokontany pour 14.1 %.</w:t>
      </w:r>
    </w:p>
    <w:p>
      <w:pPr>
        <w:pStyle w:val="Corpsdetexte"/>
      </w:pPr>
      <w:r>
        <w:t xml:space="preserve">A Marovoay, la part des parcelles ne disposant d’aucun document de possession s’élève à 35.5 %. En ce qui concerne les autres types de preuves informelles, le visa de la mairie est le plus utilisé puisqu’il concerne 28.1 % des parcelles possédées. Il est suivi par les documents munis d’un visa du fokontany qui représentent 25.6 % des cas recensés.</w:t>
      </w:r>
    </w:p>
    <w:tbl>
      <w:tblPr>
        <w:tblStyle w:val="Table"/>
        <w:tblW w:type="pct" w:w="5000"/>
        <w:tblLayout w:type="fixed"/>
        <w:tblLook w:firstRow="0" w:lastRow="0" w:firstColumn="0" w:lastColumn="0" w:noHBand="0" w:noVBand="0" w:val="0000"/>
      </w:tblPr>
      <w:tblGrid>
        <w:gridCol w:w="7920"/>
      </w:tblGrid>
      <w:tr>
        <w:tc>
          <w:tcPr/>
          <w:bookmarkStart w:id="479" w:name="fig-papiers"/>
          <w:p>
            <w:pPr>
              <w:jc w:val="center"/>
            </w:pPr>
            <w:pPr>
              <w:jc w:val="left"/>
              <w:spacing w:before="200"/>
              <w:pStyle w:val="ImageCaption"/>
            </w:pPr>
            <w:r>
              <w:t xml:space="preserve">Figure 4.9: Autres documents prouvant la possession</w:t>
            </w:r>
          </w:p>
          <w:p>
            <w:pPr>
              <w:pStyle w:val="Compact"/>
              <w:jc w:val="center"/>
            </w:pPr>
            <w:r>
              <w:drawing>
                <wp:inline>
                  <wp:extent cx="5969000" cy="1865312"/>
                  <wp:effectExtent b="0" l="0" r="0" t="0"/>
                  <wp:docPr descr="" title="" id="477" name="Picture"/>
                  <a:graphic>
                    <a:graphicData uri="http://schemas.openxmlformats.org/drawingml/2006/picture">
                      <pic:pic>
                        <pic:nvPicPr>
                          <pic:cNvPr descr="04_foncier_files/figure-docx/fig-papiers-1.png" id="478" name="Picture"/>
                          <pic:cNvPicPr>
                            <a:picLocks noChangeArrowheads="1" noChangeAspect="1"/>
                          </pic:cNvPicPr>
                        </pic:nvPicPr>
                        <pic:blipFill>
                          <a:blip r:embed="rId476"/>
                          <a:stretch>
                            <a:fillRect/>
                          </a:stretch>
                        </pic:blipFill>
                        <pic:spPr bwMode="auto">
                          <a:xfrm>
                            <a:off x="0" y="0"/>
                            <a:ext cx="5969000" cy="1865312"/>
                          </a:xfrm>
                          <a:prstGeom prst="rect">
                            <a:avLst/>
                          </a:prstGeom>
                          <a:noFill/>
                          <a:ln w="9525">
                            <a:noFill/>
                            <a:headEnd/>
                            <a:tailEnd/>
                          </a:ln>
                        </pic:spPr>
                      </pic:pic>
                    </a:graphicData>
                  </a:graphic>
                </wp:inline>
              </w:drawing>
            </w:r>
          </w:p>
          <w:bookmarkEnd w:id="479"/>
        </w:tc>
      </w:tr>
    </w:tbl>
    <w:bookmarkEnd w:id="480"/>
    <w:bookmarkStart w:id="494"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4.2</w:t>
        </w:r>
      </w:hyperlink>
      <w:r>
        <w:t xml:space="preserve">), pour un total de 132 parcelles cédées.</w:t>
      </w:r>
    </w:p>
    <w:p>
      <w:pPr>
        <w:pStyle w:val="Corpsdetexte"/>
      </w:pPr>
      <w:r>
        <w:rPr>
          <w:b/>
          <w:bCs/>
        </w:rPr>
        <w:t xml:space="preserve">Alaotra.</w:t>
      </w:r>
      <w:r>
        <w:t xml:space="preserve"> </w:t>
      </w:r>
      <w:r>
        <w:t xml:space="preserve">Cette pratique concerne 9.3 % des ménages.</w:t>
      </w:r>
    </w:p>
    <w:p>
      <w:pPr>
        <w:pStyle w:val="Corpsdetexte"/>
      </w:pPr>
      <w:r>
        <w:rPr>
          <w:b/>
          <w:bCs/>
        </w:rPr>
        <w:t xml:space="preserve">Marovoay.</w:t>
      </w:r>
      <w:r>
        <w:t xml:space="preserve"> </w:t>
      </w:r>
      <w:r>
        <w:t xml:space="preserve">Cette pratique concerne 10.6 % des ménages.</w:t>
      </w:r>
    </w:p>
    <w:tbl>
      <w:tblPr>
        <w:tblStyle w:val="Table"/>
        <w:tblW w:type="pct" w:w="5000"/>
        <w:tblLayout w:type="fixed"/>
        <w:tblLook w:firstRow="0" w:lastRow="0" w:firstColumn="0" w:lastColumn="0" w:noHBand="0" w:noVBand="0" w:val="0000"/>
      </w:tblPr>
      <w:tblGrid>
        <w:gridCol w:w="7920"/>
      </w:tblGrid>
      <w:tr>
        <w:tc>
          <w:tcPr/>
          <w:bookmarkStart w:id="481" w:name="tbl-cession-pratique"/>
          <w:p>
            <w:pPr>
              <w:jc w:val="center"/>
            </w:pPr>
            <w:pPr>
              <w:jc w:val="left"/>
              <w:spacing w:before="200"/>
              <w:pStyle w:val="ImageCaption"/>
            </w:pPr>
            <w:r>
              <w:t xml:space="preserve">Table 4.2: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Marovoay</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481"/>
          <w:p/>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4.10</w:t>
        </w:r>
      </w:hyperlink>
      <w:r>
        <w:t xml:space="preserve">). Le prêt et le métayage sont les formes les plus courantes de cession, le métayage occupant une place particulièrement importante dans les zones rizicoles.</w:t>
      </w:r>
    </w:p>
    <w:p>
      <w:pPr>
        <w:pStyle w:val="Corpsdetexte"/>
      </w:pPr>
      <w:r>
        <w:t xml:space="preserve">A Alaotra, le métayage est la pratique la plus répandue avec environ 48 % des terrains concernés. Il est suivi par la location pour environ 39 % des parcelles et par le prêt qui représente 12 % des cessions.</w:t>
      </w:r>
    </w:p>
    <w:p>
      <w:pPr>
        <w:pStyle w:val="Corpsdetexte"/>
      </w:pPr>
      <w:r>
        <w:t xml:space="preserve">À Marovoay, la location constitue le principal mode de cession des parcelles et concerne environ 64 % des cas. Le métayage arrive en deuxième position avec environ 30 % des réponses. Les autres modalités de cession en particulier le prêt se situent toutes en dessous du seuil de 10 % dans cet observatoire.</w:t>
      </w:r>
    </w:p>
    <w:p>
      <w:pPr>
        <w:pStyle w:val="Corpsdetexte"/>
      </w:pPr>
      <w:r>
        <w:t xml:space="preserve">Il n’ y a aucune pratique de mise en gage de parcelles dans aucune des deux observatoires.</w:t>
      </w:r>
    </w:p>
    <w:tbl>
      <w:tblPr>
        <w:tblStyle w:val="Table"/>
        <w:tblW w:type="pct" w:w="5000"/>
        <w:tblLayout w:type="fixed"/>
        <w:tblLook w:firstRow="0" w:lastRow="0" w:firstColumn="0" w:lastColumn="0" w:noHBand="0" w:noVBand="0" w:val="0000"/>
      </w:tblPr>
      <w:tblGrid>
        <w:gridCol w:w="7920"/>
      </w:tblGrid>
      <w:tr>
        <w:tc>
          <w:tcPr/>
          <w:bookmarkStart w:id="485" w:name="fig-mode-cession"/>
          <w:p>
            <w:pPr>
              <w:jc w:val="center"/>
            </w:pPr>
            <w:pPr>
              <w:jc w:val="left"/>
              <w:spacing w:before="200"/>
              <w:pStyle w:val="ImageCaption"/>
            </w:pPr>
            <w:r>
              <w:t xml:space="preserve">Figure 4.10: Mode de faire-valoir des parcelles cédées</w:t>
            </w:r>
          </w:p>
          <w:p>
            <w:pPr>
              <w:pStyle w:val="Compact"/>
              <w:jc w:val="center"/>
            </w:pPr>
            <w:r>
              <w:drawing>
                <wp:inline>
                  <wp:extent cx="5969000" cy="1865312"/>
                  <wp:effectExtent b="0" l="0" r="0" t="0"/>
                  <wp:docPr descr="" title="" id="483" name="Picture"/>
                  <a:graphic>
                    <a:graphicData uri="http://schemas.openxmlformats.org/drawingml/2006/picture">
                      <pic:pic>
                        <pic:nvPicPr>
                          <pic:cNvPr descr="04_foncier_files/figure-docx/fig-mode-cession-1.png" id="484" name="Picture"/>
                          <pic:cNvPicPr>
                            <a:picLocks noChangeArrowheads="1" noChangeAspect="1"/>
                          </pic:cNvPicPr>
                        </pic:nvPicPr>
                        <pic:blipFill>
                          <a:blip r:embed="rId482"/>
                          <a:stretch>
                            <a:fillRect/>
                          </a:stretch>
                        </pic:blipFill>
                        <pic:spPr bwMode="auto">
                          <a:xfrm>
                            <a:off x="0" y="0"/>
                            <a:ext cx="5969000" cy="1865312"/>
                          </a:xfrm>
                          <a:prstGeom prst="rect">
                            <a:avLst/>
                          </a:prstGeom>
                          <a:noFill/>
                          <a:ln w="9525">
                            <a:noFill/>
                            <a:headEnd/>
                            <a:tailEnd/>
                          </a:ln>
                        </pic:spPr>
                      </pic:pic>
                    </a:graphicData>
                  </a:graphic>
                </wp:inline>
              </w:drawing>
            </w:r>
          </w:p>
          <w:bookmarkEnd w:id="485"/>
        </w:tc>
      </w:tr>
    </w:tbl>
    <w:p>
      <w:pPr>
        <w:pStyle w:val="Corpsdetexte"/>
      </w:pPr>
      <w:r>
        <w:t xml:space="preserve">Les motivations de la cession reflètent des stratégies économiques diversifiées (</w:t>
      </w:r>
      <w:hyperlink w:anchor="fig-motif-cession">
        <w:r>
          <w:rPr>
            <w:rStyle w:val="Lienhypertexte"/>
          </w:rPr>
          <w:t xml:space="preserve">Figure 4.11</w:t>
        </w:r>
      </w:hyperlink>
      <w:r>
        <w:t xml:space="preserve">). Pour certains ménages, céder une parcelle répond à un besoin de liquidités ou à l’impossibilité de cultiver l’ensemble de leur patrimoine ; pour d’autres, il s’agit de maintenir un lien social avec la parenté ou le voisinage.</w:t>
      </w:r>
    </w:p>
    <w:p>
      <w:pPr>
        <w:pStyle w:val="Corpsdetexte"/>
      </w:pPr>
      <w:r>
        <w:t xml:space="preserve">A Alaotra, les raisons de la cession de parcelles dépassant le seuil de 10% sont l’urgence familiale (maladie, décès, accident) pour environ 19% des cas, suivie par le motif identifié sous le</w:t>
      </w:r>
      <w:r>
        <w:t xml:space="preserve"> </w:t>
      </w:r>
      <w:r>
        <w:rPr>
          <w:b/>
          <w:bCs/>
        </w:rPr>
        <w:t xml:space="preserve">code 55</w:t>
      </w:r>
      <w:r>
        <w:t xml:space="preserve"> </w:t>
      </w:r>
      <w:r>
        <w:t xml:space="preserve">à hauteur de 17%. Le manque d’argent pour cultiver la parcelle concernée représente 15.5% des cessions. Viennent ensuite l’aide apportée à un membre de la famille pour environ 12% et les dépenses familiales prévues telles que les frais de scolarité ou de cimetière pour 11.5%.</w:t>
      </w:r>
    </w:p>
    <w:p>
      <w:pPr>
        <w:pStyle w:val="Corpsdetexte"/>
      </w:pPr>
      <w:r>
        <w:t xml:space="preserve">A Marovoay, les motivations principales de cession de parcelles sont plus concentrées. L’urgence familiale (maladie, décès, accident) constitue le motif prédominant avec 38% des réponses. Elle est suivie par le manque de moyens financiers pour cultiver la parcelle pour 16.5% des répondants et par le motif correspondant au</w:t>
      </w:r>
      <w:r>
        <w:t xml:space="preserve"> </w:t>
      </w:r>
      <w:r>
        <w:rPr>
          <w:b/>
          <w:bCs/>
        </w:rPr>
        <w:t xml:space="preserve">code 56</w:t>
      </w:r>
      <w:r>
        <w:t xml:space="preserve"> </w:t>
      </w:r>
      <w:r>
        <w:t xml:space="preserve">qui concerne 11% des terrains cédés.</w:t>
      </w:r>
    </w:p>
    <w:tbl>
      <w:tblPr>
        <w:tblStyle w:val="Table"/>
        <w:tblW w:type="pct" w:w="5000"/>
        <w:tblLayout w:type="fixed"/>
        <w:tblLook w:firstRow="0" w:lastRow="0" w:firstColumn="0" w:lastColumn="0" w:noHBand="0" w:noVBand="0" w:val="0000"/>
      </w:tblPr>
      <w:tblGrid>
        <w:gridCol w:w="7920"/>
      </w:tblGrid>
      <w:tr>
        <w:tc>
          <w:tcPr/>
          <w:bookmarkStart w:id="489" w:name="fig-motif-cession"/>
          <w:p>
            <w:pPr>
              <w:jc w:val="center"/>
            </w:pPr>
            <w:pPr>
              <w:jc w:val="left"/>
              <w:spacing w:before="200"/>
              <w:pStyle w:val="ImageCaption"/>
            </w:pPr>
            <w:r>
              <w:t xml:space="preserve">Figure 4.11: Motif de la cession de parcelles</w:t>
            </w:r>
          </w:p>
          <w:p>
            <w:pPr>
              <w:pStyle w:val="Compact"/>
              <w:jc w:val="center"/>
            </w:pPr>
            <w:r>
              <w:drawing>
                <wp:inline>
                  <wp:extent cx="5969000" cy="2611437"/>
                  <wp:effectExtent b="0" l="0" r="0" t="0"/>
                  <wp:docPr descr="" title="" id="487" name="Picture"/>
                  <a:graphic>
                    <a:graphicData uri="http://schemas.openxmlformats.org/drawingml/2006/picture">
                      <pic:pic>
                        <pic:nvPicPr>
                          <pic:cNvPr descr="04_foncier_files/figure-docx/fig-motif-cession-1.png" id="488" name="Picture"/>
                          <pic:cNvPicPr>
                            <a:picLocks noChangeArrowheads="1" noChangeAspect="1"/>
                          </pic:cNvPicPr>
                        </pic:nvPicPr>
                        <pic:blipFill>
                          <a:blip r:embed="rId486"/>
                          <a:stretch>
                            <a:fillRect/>
                          </a:stretch>
                        </pic:blipFill>
                        <pic:spPr bwMode="auto">
                          <a:xfrm>
                            <a:off x="0" y="0"/>
                            <a:ext cx="5969000" cy="2611437"/>
                          </a:xfrm>
                          <a:prstGeom prst="rect">
                            <a:avLst/>
                          </a:prstGeom>
                          <a:noFill/>
                          <a:ln w="9525">
                            <a:noFill/>
                            <a:headEnd/>
                            <a:tailEnd/>
                          </a:ln>
                        </pic:spPr>
                      </pic:pic>
                    </a:graphicData>
                  </a:graphic>
                </wp:inline>
              </w:drawing>
            </w:r>
          </w:p>
          <w:bookmarkEnd w:id="489"/>
        </w:tc>
      </w:tr>
    </w:tbl>
    <w:p>
      <w:pPr>
        <w:pStyle w:val="Corpsdetexte"/>
      </w:pPr>
      <w:r>
        <w:t xml:space="preserve">Les bénéficiaires des cessions sont principalement des membres de la famille ou des voisins (</w:t>
      </w:r>
      <w:hyperlink w:anchor="fig-cedee-a-qui">
        <w:r>
          <w:rPr>
            <w:rStyle w:val="Lienhypertexte"/>
          </w:rPr>
          <w:t xml:space="preserve">Figure 4.12</w:t>
        </w:r>
      </w:hyperlink>
      <w:r>
        <w:t xml:space="preserve">), ce qui confirme le caractère en grande partie familial et communautaire du marché foncier local.</w:t>
      </w:r>
    </w:p>
    <w:p>
      <w:pPr>
        <w:pStyle w:val="Corpsdetexte"/>
      </w:pPr>
      <w:r>
        <w:t xml:space="preserve">A Alaotra, les bénéficiaires des parcelles cédées concernent majoritairement le cercle familial et le voisinage immédiat les parents du chef de ménage sont les premiers destinataires avec environ 29.2% des cessions, suivis par les bénéficiaires identifiés sous le</w:t>
      </w:r>
      <w:r>
        <w:t xml:space="preserve"> </w:t>
      </w:r>
      <w:r>
        <w:rPr>
          <w:b/>
          <w:bCs/>
        </w:rPr>
        <w:t xml:space="preserve">code 23</w:t>
      </w:r>
      <w:r>
        <w:t xml:space="preserve"> </w:t>
      </w:r>
      <w:r>
        <w:t xml:space="preserve">pour 25.5% des cas. Les personnes hors de la famille résidant dans la même commune ou une commune voisine reçoivent 17.2% des parcelles, tandis que celles situées dans le même fokontany en obtiennent 12.1%. En ce qui concerne les parents du conjoint, ils représentent 5.3% des statistiques de cession dans cet observatoire.</w:t>
      </w:r>
    </w:p>
    <w:p>
      <w:pPr>
        <w:pStyle w:val="Corpsdetexte"/>
      </w:pPr>
      <w:r>
        <w:t xml:space="preserve">À Marovoay, la répartition des bénéficiaires privilégie davantage le voisinage géographique. Les personnes hors famille résidant dans le même fokontany constituent le groupe principal avec 36.8% des réponses. Les parents du chef de ménage arrivent en deuxième position avec 22.8% des parcelles cédées, suivis par</w:t>
      </w:r>
      <w:r>
        <w:t xml:space="preserve"> </w:t>
      </w:r>
      <w:r>
        <w:rPr>
          <w:b/>
          <w:bCs/>
        </w:rPr>
        <w:t xml:space="preserve">le groupe codé 23</w:t>
      </w:r>
      <w:r>
        <w:t xml:space="preserve"> </w:t>
      </w:r>
      <w:r>
        <w:t xml:space="preserve">à hauteur de 14.7%. Enfin, les personnes hors famille de la même commune ou d’une commune voisine représentent 12.2% des bénéficiaires. Pour cet observatoire, les statistiques indiquent que les parents du conjoint reçoivent 4.2% des parcelles cédées.</w:t>
      </w:r>
    </w:p>
    <w:tbl>
      <w:tblPr>
        <w:tblStyle w:val="Table"/>
        <w:tblW w:type="pct" w:w="5000"/>
        <w:tblLayout w:type="fixed"/>
        <w:tblLook w:firstRow="0" w:lastRow="0" w:firstColumn="0" w:lastColumn="0" w:noHBand="0" w:noVBand="0" w:val="0000"/>
      </w:tblPr>
      <w:tblGrid>
        <w:gridCol w:w="7920"/>
      </w:tblGrid>
      <w:tr>
        <w:tc>
          <w:tcPr/>
          <w:bookmarkStart w:id="493" w:name="fig-cedee-a-qui"/>
          <w:p>
            <w:pPr>
              <w:jc w:val="center"/>
            </w:pPr>
            <w:pPr>
              <w:jc w:val="left"/>
              <w:spacing w:before="200"/>
              <w:pStyle w:val="ImageCaption"/>
            </w:pPr>
            <w:r>
              <w:t xml:space="preserve">Figure 4.12: À qui la parcelle est-elle cédée</w:t>
            </w:r>
          </w:p>
          <w:p>
            <w:pPr>
              <w:pStyle w:val="Compact"/>
              <w:jc w:val="center"/>
            </w:pPr>
            <w:r>
              <w:drawing>
                <wp:inline>
                  <wp:extent cx="5969000" cy="2238375"/>
                  <wp:effectExtent b="0" l="0" r="0" t="0"/>
                  <wp:docPr descr="" title="" id="491" name="Picture"/>
                  <a:graphic>
                    <a:graphicData uri="http://schemas.openxmlformats.org/drawingml/2006/picture">
                      <pic:pic>
                        <pic:nvPicPr>
                          <pic:cNvPr descr="04_foncier_files/figure-docx/fig-cedee-a-qui-1.png" id="492" name="Picture"/>
                          <pic:cNvPicPr>
                            <a:picLocks noChangeArrowheads="1" noChangeAspect="1"/>
                          </pic:cNvPicPr>
                        </pic:nvPicPr>
                        <pic:blipFill>
                          <a:blip r:embed="rId490"/>
                          <a:stretch>
                            <a:fillRect/>
                          </a:stretch>
                        </pic:blipFill>
                        <pic:spPr bwMode="auto">
                          <a:xfrm>
                            <a:off x="0" y="0"/>
                            <a:ext cx="5969000" cy="2238375"/>
                          </a:xfrm>
                          <a:prstGeom prst="rect">
                            <a:avLst/>
                          </a:prstGeom>
                          <a:noFill/>
                          <a:ln w="9525">
                            <a:noFill/>
                            <a:headEnd/>
                            <a:tailEnd/>
                          </a:ln>
                        </pic:spPr>
                      </pic:pic>
                    </a:graphicData>
                  </a:graphic>
                </wp:inline>
              </w:drawing>
            </w:r>
          </w:p>
          <w:bookmarkEnd w:id="493"/>
        </w:tc>
      </w:tr>
    </w:tbl>
    <w:bookmarkEnd w:id="494"/>
    <w:bookmarkStart w:id="512"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4.3</w:t>
        </w:r>
      </w:hyperlink>
      <w:r>
        <w:t xml:space="preserve">), pour un total de 713 parcelles. Le recours à l’exploitation de terres d’autrui traduit soit une insuffisance du patrimoine propre, soit une stratégie de diversification de l’assiette foncière cultivée.</w:t>
      </w:r>
    </w:p>
    <w:p>
      <w:pPr>
        <w:pStyle w:val="Corpsdetexte"/>
      </w:pPr>
      <w:r>
        <w:rPr>
          <w:b/>
          <w:bCs/>
        </w:rPr>
        <w:t xml:space="preserve">Alaotra.</w:t>
      </w:r>
      <w:r>
        <w:t xml:space="preserve"> </w:t>
      </w:r>
      <w:r>
        <w:t xml:space="preserve">Cette pratique concerne 45.6 % des ménages.</w:t>
      </w:r>
    </w:p>
    <w:p>
      <w:pPr>
        <w:pStyle w:val="Corpsdetexte"/>
      </w:pPr>
      <w:r>
        <w:rPr>
          <w:b/>
          <w:bCs/>
        </w:rPr>
        <w:t xml:space="preserve">Marovoay.</w:t>
      </w:r>
      <w:r>
        <w:t xml:space="preserve"> </w:t>
      </w:r>
      <w:r>
        <w:t xml:space="preserve">Cette pratique concerne 46.8 % des ménages.</w:t>
      </w:r>
    </w:p>
    <w:tbl>
      <w:tblPr>
        <w:tblStyle w:val="Table"/>
        <w:tblW w:type="pct" w:w="5000"/>
        <w:tblLayout w:type="fixed"/>
        <w:tblLook w:firstRow="0" w:lastRow="0" w:firstColumn="0" w:lastColumn="0" w:noHBand="0" w:noVBand="0" w:val="0000"/>
      </w:tblPr>
      <w:tblGrid>
        <w:gridCol w:w="7920"/>
      </w:tblGrid>
      <w:tr>
        <w:tc>
          <w:tcPr/>
          <w:bookmarkStart w:id="495" w:name="tbl-exploitation-autres"/>
          <w:p>
            <w:pPr>
              <w:jc w:val="center"/>
            </w:pPr>
            <w:pPr>
              <w:jc w:val="left"/>
              <w:spacing w:before="200"/>
              <w:pStyle w:val="ImageCaption"/>
            </w:pPr>
            <w:r>
              <w:t xml:space="preserve">Table 4.3: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495"/>
          <w:p/>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4.13</w:t>
        </w:r>
      </w:hyperlink>
      <w:r>
        <w:t xml:space="preserve">), reflétant la place centrale de la riziculture dans les stratégies des ménages.</w:t>
      </w:r>
    </w:p>
    <w:p>
      <w:pPr>
        <w:pStyle w:val="Corpsdetexte"/>
      </w:pPr>
      <w:r>
        <w:t xml:space="preserve">A Alaotra, les parcelles exploitées sans en être propriétaire sont majoritairement les rizières, qui constituent environ 58 % des parcelles concernées, suivies par les champs de cultures pluviales à hauteur de 41 %.</w:t>
      </w:r>
    </w:p>
    <w:p>
      <w:pPr>
        <w:pStyle w:val="Corpsdetexte"/>
      </w:pPr>
      <w:r>
        <w:t xml:space="preserve">À Marovoay, la spécialisation est encore plus marquée pour les parcelles exploitées en faire-valoir indirect. Les rizières représentent environ 85 % des réponses, tandis que les champs constituent la seule autre catégorie significative avec environ 15 %.</w:t>
      </w:r>
    </w:p>
    <w:tbl>
      <w:tblPr>
        <w:tblStyle w:val="Table"/>
        <w:tblW w:type="pct" w:w="5000"/>
        <w:tblLayout w:type="fixed"/>
        <w:tblLook w:firstRow="0" w:lastRow="0" w:firstColumn="0" w:lastColumn="0" w:noHBand="0" w:noVBand="0" w:val="0000"/>
      </w:tblPr>
      <w:tblGrid>
        <w:gridCol w:w="7920"/>
      </w:tblGrid>
      <w:tr>
        <w:tc>
          <w:tcPr/>
          <w:bookmarkStart w:id="499" w:name="fig-type-exploitee"/>
          <w:p>
            <w:pPr>
              <w:jc w:val="center"/>
            </w:pPr>
            <w:pPr>
              <w:jc w:val="left"/>
              <w:spacing w:before="200"/>
              <w:pStyle w:val="ImageCaption"/>
            </w:pPr>
            <w:r>
              <w:t xml:space="preserve">Figure 4.13: Type des parcelles exploitées (non possédées, en nombre)</w:t>
            </w:r>
          </w:p>
          <w:p>
            <w:pPr>
              <w:pStyle w:val="Compact"/>
              <w:jc w:val="center"/>
            </w:pPr>
            <w:r>
              <w:drawing>
                <wp:inline>
                  <wp:extent cx="5969000" cy="1865312"/>
                  <wp:effectExtent b="0" l="0" r="0" t="0"/>
                  <wp:docPr descr="" title="" id="497" name="Picture"/>
                  <a:graphic>
                    <a:graphicData uri="http://schemas.openxmlformats.org/drawingml/2006/picture">
                      <pic:pic>
                        <pic:nvPicPr>
                          <pic:cNvPr descr="04_foncier_files/figure-docx/fig-type-exploitee-1.png" id="498" name="Picture"/>
                          <pic:cNvPicPr>
                            <a:picLocks noChangeArrowheads="1" noChangeAspect="1"/>
                          </pic:cNvPicPr>
                        </pic:nvPicPr>
                        <pic:blipFill>
                          <a:blip r:embed="rId496"/>
                          <a:stretch>
                            <a:fillRect/>
                          </a:stretch>
                        </pic:blipFill>
                        <pic:spPr bwMode="auto">
                          <a:xfrm>
                            <a:off x="0" y="0"/>
                            <a:ext cx="5969000" cy="1865312"/>
                          </a:xfrm>
                          <a:prstGeom prst="rect">
                            <a:avLst/>
                          </a:prstGeom>
                          <a:noFill/>
                          <a:ln w="9525">
                            <a:noFill/>
                            <a:headEnd/>
                            <a:tailEnd/>
                          </a:ln>
                        </pic:spPr>
                      </pic:pic>
                    </a:graphicData>
                  </a:graphic>
                </wp:inline>
              </w:drawing>
            </w:r>
          </w:p>
          <w:bookmarkEnd w:id="499"/>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4.14</w:t>
        </w:r>
      </w:hyperlink>
      <w:r>
        <w:t xml:space="preserve">). Le métayage, qui consiste à partager la récolte avec le propriétaire, reste une forme d’accès au foncier particulièrement répandue.</w:t>
      </w:r>
    </w:p>
    <w:p>
      <w:pPr>
        <w:pStyle w:val="Corpsdetexte"/>
      </w:pPr>
      <w:r>
        <w:t xml:space="preserve">A Alaotra, la majorité des parcelles exploitées sans en être propriétaire concerne la location avec environ 36 % des parcelles, suivie du métayage pour 33 % et du prêt pour 31 %.</w:t>
      </w:r>
    </w:p>
    <w:p>
      <w:pPr>
        <w:pStyle w:val="Corpsdetexte"/>
      </w:pPr>
      <w:r>
        <w:t xml:space="preserve">À Marovoay, le métayage prédomine à hauteur de 52 %, et la location concerne environ 38 % des terrains exploités. Les autres formes de faire-valoir indirect comme le prêt s’établissent à 9.7 %.</w:t>
      </w:r>
    </w:p>
    <w:tbl>
      <w:tblPr>
        <w:tblStyle w:val="Table"/>
        <w:tblW w:type="pct" w:w="5000"/>
        <w:tblLayout w:type="fixed"/>
        <w:tblLook w:firstRow="0" w:lastRow="0" w:firstColumn="0" w:lastColumn="0" w:noHBand="0" w:noVBand="0" w:val="0000"/>
      </w:tblPr>
      <w:tblGrid>
        <w:gridCol w:w="7920"/>
      </w:tblGrid>
      <w:tr>
        <w:tc>
          <w:tcPr/>
          <w:bookmarkStart w:id="503" w:name="fig-fv-exploitee"/>
          <w:p>
            <w:pPr>
              <w:jc w:val="center"/>
            </w:pPr>
            <w:pPr>
              <w:jc w:val="left"/>
              <w:spacing w:before="200"/>
              <w:pStyle w:val="ImageCaption"/>
            </w:pPr>
            <w:r>
              <w:t xml:space="preserve">Figure 4.14: Mode de faire-valoir des parcelles exploitées (en nombre)</w:t>
            </w:r>
          </w:p>
          <w:p>
            <w:pPr>
              <w:pStyle w:val="Compact"/>
              <w:jc w:val="center"/>
            </w:pPr>
            <w:r>
              <w:drawing>
                <wp:inline>
                  <wp:extent cx="5969000" cy="1865312"/>
                  <wp:effectExtent b="0" l="0" r="0" t="0"/>
                  <wp:docPr descr="" title="" id="501" name="Picture"/>
                  <a:graphic>
                    <a:graphicData uri="http://schemas.openxmlformats.org/drawingml/2006/picture">
                      <pic:pic>
                        <pic:nvPicPr>
                          <pic:cNvPr descr="04_foncier_files/figure-docx/fig-fv-exploitee-1.png" id="502" name="Picture"/>
                          <pic:cNvPicPr>
                            <a:picLocks noChangeArrowheads="1" noChangeAspect="1"/>
                          </pic:cNvPicPr>
                        </pic:nvPicPr>
                        <pic:blipFill>
                          <a:blip r:embed="rId500"/>
                          <a:stretch>
                            <a:fillRect/>
                          </a:stretch>
                        </pic:blipFill>
                        <pic:spPr bwMode="auto">
                          <a:xfrm>
                            <a:off x="0" y="0"/>
                            <a:ext cx="5969000" cy="1865312"/>
                          </a:xfrm>
                          <a:prstGeom prst="rect">
                            <a:avLst/>
                          </a:prstGeom>
                          <a:noFill/>
                          <a:ln w="9525">
                            <a:noFill/>
                            <a:headEnd/>
                            <a:tailEnd/>
                          </a:ln>
                        </pic:spPr>
                      </pic:pic>
                    </a:graphicData>
                  </a:graphic>
                </wp:inline>
              </w:drawing>
            </w:r>
          </w:p>
          <w:bookmarkEnd w:id="503"/>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4.15</w:t>
        </w:r>
      </w:hyperlink>
      <w:r>
        <w:t xml:space="preserve">), ce qui témoigne du rôle des réseaux de proximité dans l’accès au foncier.</w:t>
      </w:r>
    </w:p>
    <w:p>
      <w:pPr>
        <w:pStyle w:val="Corpsdetexte"/>
      </w:pPr>
      <w:r>
        <w:t xml:space="preserve">A Alaotra, les propriétaires des parcelles exploitées en faire-valoir indirect montre que concernent en premier lieu les parents du chef de ménage pour environ 33.1%. Viennent ensuite les parents du conjoint à hauteur de 22.4%, les personnes hors famille résidant dans le même fokontany pour 16.8% et les personnes hors famille de la même commune ou d’une commune voisine pour 14.9%. Cette structure met en évidence la prédominance des réseaux familiaux et de proximité géographique dans les mécanismes d’accès aux terres d’autrui au sein de l’observatoire.</w:t>
      </w:r>
    </w:p>
    <w:p>
      <w:pPr>
        <w:pStyle w:val="Corpsdetexte"/>
      </w:pPr>
      <w:r>
        <w:t xml:space="preserve">À Marovoay, la répartition des propriétaires privilégie davantage les liens de voisinage immédiat. Les personnes hors famille résidant dans le même fokontany constituent la catégorie principale avec environ 37.2%. Les parents du chef de ménage occupent la deuxième position avec 32.1%, suivis par les personnes hors famille de la même commune ou d’une commune voisine à hauteur de 16.1%. Enfin, les parents du conjoint représentent 11.5% des propriétaires pour les parcelles exploitées.</w:t>
      </w:r>
    </w:p>
    <w:tbl>
      <w:tblPr>
        <w:tblStyle w:val="Table"/>
        <w:tblW w:type="pct" w:w="5000"/>
        <w:tblLayout w:type="fixed"/>
        <w:tblLook w:firstRow="0" w:lastRow="0" w:firstColumn="0" w:lastColumn="0" w:noHBand="0" w:noVBand="0" w:val="0000"/>
      </w:tblPr>
      <w:tblGrid>
        <w:gridCol w:w="7920"/>
      </w:tblGrid>
      <w:tr>
        <w:tc>
          <w:tcPr/>
          <w:bookmarkStart w:id="507" w:name="fig-proprietaire-exploitee"/>
          <w:p>
            <w:pPr>
              <w:jc w:val="center"/>
            </w:pPr>
            <w:pPr>
              <w:jc w:val="left"/>
              <w:spacing w:before="200"/>
              <w:pStyle w:val="ImageCaption"/>
            </w:pPr>
            <w:r>
              <w:t xml:space="preserve">Figure 4.15: Propriétaire des parcelles exploitées</w:t>
            </w:r>
          </w:p>
          <w:p>
            <w:pPr>
              <w:pStyle w:val="Compact"/>
              <w:jc w:val="center"/>
            </w:pPr>
            <w:r>
              <w:drawing>
                <wp:inline>
                  <wp:extent cx="5969000" cy="2611437"/>
                  <wp:effectExtent b="0" l="0" r="0" t="0"/>
                  <wp:docPr descr="" title="" id="505" name="Picture"/>
                  <a:graphic>
                    <a:graphicData uri="http://schemas.openxmlformats.org/drawingml/2006/picture">
                      <pic:pic>
                        <pic:nvPicPr>
                          <pic:cNvPr descr="04_foncier_files/figure-docx/fig-proprietaire-exploitee-1.png" id="506" name="Picture"/>
                          <pic:cNvPicPr>
                            <a:picLocks noChangeArrowheads="1" noChangeAspect="1"/>
                          </pic:cNvPicPr>
                        </pic:nvPicPr>
                        <pic:blipFill>
                          <a:blip r:embed="rId504"/>
                          <a:stretch>
                            <a:fillRect/>
                          </a:stretch>
                        </pic:blipFill>
                        <pic:spPr bwMode="auto">
                          <a:xfrm>
                            <a:off x="0" y="0"/>
                            <a:ext cx="5969000" cy="2611437"/>
                          </a:xfrm>
                          <a:prstGeom prst="rect">
                            <a:avLst/>
                          </a:prstGeom>
                          <a:noFill/>
                          <a:ln w="9525">
                            <a:noFill/>
                            <a:headEnd/>
                            <a:tailEnd/>
                          </a:ln>
                        </pic:spPr>
                      </pic:pic>
                    </a:graphicData>
                  </a:graphic>
                </wp:inline>
              </w:drawing>
            </w:r>
          </w:p>
          <w:bookmarkEnd w:id="507"/>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4.16</w:t>
        </w:r>
      </w:hyperlink>
      <w:r>
        <w:t xml:space="preserve"> </w:t>
      </w:r>
      <w:r>
        <w:t xml:space="preserve">permet d’examiner si les ménages qui exploitent des terres d’autrui accèdent à des parcelles de même qualité irriguée.</w:t>
      </w:r>
    </w:p>
    <w:p>
      <w:pPr>
        <w:pStyle w:val="Corpsdetexte"/>
      </w:pPr>
      <w:r>
        <w:t xml:space="preserve">A Alaotra, la catégorie prédominante est l’absence d’irrigation (incluant les parcelles avec diguettes) qui concerne 50.2% des terrains. Elle est suivie par le recours au réseau traditionnel pour 41.3% des parcelles. Concernant le réseau aménagé, il ne représente que 7.6% des modes d’irrigation pour les terres exploitées en faire-valoir indirect dans cet observatoire.</w:t>
      </w:r>
    </w:p>
    <w:p>
      <w:pPr>
        <w:pStyle w:val="Corpsdetexte"/>
      </w:pPr>
      <w:r>
        <w:t xml:space="preserve">À Marovoay, les modalités d’irrigation des terres exploitées appartenant à autrui montrent une prédominance du réseau traditionnel avec 51.3% des parcelles recensées. La catégorie regroupant les parcelles sans irrigation (incluant celles utilisant des diguettes) arrive en deuxième position avec un taux de 39.3%. Enfin, le recours au réseau aménagé reste marginal et concerne 2.5% des parcelles exploitées dans cet observatoire.</w:t>
      </w:r>
    </w:p>
    <w:tbl>
      <w:tblPr>
        <w:tblStyle w:val="Table"/>
        <w:tblW w:type="pct" w:w="5000"/>
        <w:tblLayout w:type="fixed"/>
        <w:tblLook w:firstRow="0" w:lastRow="0" w:firstColumn="0" w:lastColumn="0" w:noHBand="0" w:noVBand="0" w:val="0000"/>
      </w:tblPr>
      <w:tblGrid>
        <w:gridCol w:w="7920"/>
      </w:tblGrid>
      <w:tr>
        <w:tc>
          <w:tcPr/>
          <w:bookmarkStart w:id="511" w:name="fig-irrigation-exploitee"/>
          <w:p>
            <w:pPr>
              <w:jc w:val="center"/>
            </w:pPr>
            <w:pPr>
              <w:jc w:val="left"/>
              <w:spacing w:before="200"/>
              <w:pStyle w:val="ImageCaption"/>
            </w:pPr>
            <w:r>
              <w:t xml:space="preserve">Figure 4.16: Mode d’irrigation des parcelles exploitées (surface)</w:t>
            </w:r>
          </w:p>
          <w:p>
            <w:pPr>
              <w:pStyle w:val="Compact"/>
              <w:jc w:val="center"/>
            </w:pPr>
            <w:r>
              <w:drawing>
                <wp:inline>
                  <wp:extent cx="5969000" cy="1865312"/>
                  <wp:effectExtent b="0" l="0" r="0" t="0"/>
                  <wp:docPr descr="" title="" id="509" name="Picture"/>
                  <a:graphic>
                    <a:graphicData uri="http://schemas.openxmlformats.org/drawingml/2006/picture">
                      <pic:pic>
                        <pic:nvPicPr>
                          <pic:cNvPr descr="04_foncier_files/figure-docx/fig-irrigation-exploitee-1.png" id="510" name="Picture"/>
                          <pic:cNvPicPr>
                            <a:picLocks noChangeArrowheads="1" noChangeAspect="1"/>
                          </pic:cNvPicPr>
                        </pic:nvPicPr>
                        <pic:blipFill>
                          <a:blip r:embed="rId508"/>
                          <a:stretch>
                            <a:fillRect/>
                          </a:stretch>
                        </pic:blipFill>
                        <pic:spPr bwMode="auto">
                          <a:xfrm>
                            <a:off x="0" y="0"/>
                            <a:ext cx="5969000" cy="1865312"/>
                          </a:xfrm>
                          <a:prstGeom prst="rect">
                            <a:avLst/>
                          </a:prstGeom>
                          <a:noFill/>
                          <a:ln w="9525">
                            <a:noFill/>
                            <a:headEnd/>
                            <a:tailEnd/>
                          </a:ln>
                        </pic:spPr>
                      </pic:pic>
                    </a:graphicData>
                  </a:graphic>
                </wp:inline>
              </w:drawing>
            </w:r>
          </w:p>
          <w:bookmarkEnd w:id="511"/>
        </w:tc>
      </w:tr>
    </w:tbl>
    <w:bookmarkEnd w:id="512"/>
    <w:bookmarkStart w:id="514"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4.4</w:t>
        </w:r>
      </w:hyperlink>
      <w:r>
        <w:t xml:space="preserve">).</w:t>
      </w:r>
    </w:p>
    <w:p>
      <w:pPr>
        <w:pStyle w:val="Corpsdetexte"/>
      </w:pPr>
      <w:r>
        <w:rPr>
          <w:b/>
          <w:bCs/>
        </w:rPr>
        <w:t xml:space="preserve">Alaotra.</w:t>
      </w:r>
      <w:r>
        <w:t xml:space="preserve"> </w:t>
      </w:r>
      <w:r>
        <w:t xml:space="preserve">18.9 % des ménages, soit 53 ménages sur 281, ont cessé d’ exploiter une ou plusieurs de leurs terres..</w:t>
      </w:r>
    </w:p>
    <w:p>
      <w:pPr>
        <w:pStyle w:val="Corpsdetexte"/>
      </w:pPr>
      <w:r>
        <w:rPr>
          <w:b/>
          <w:bCs/>
        </w:rPr>
        <w:t xml:space="preserve">Marovoay.</w:t>
      </w:r>
      <w:r>
        <w:t xml:space="preserve">la proportion de ménages ayant abandonné la culture de parcelles s’établit à 16.8 % représentant 45 ménages sur les 268 enquêtés.</w:t>
      </w:r>
    </w:p>
    <w:tbl>
      <w:tblPr>
        <w:tblStyle w:val="Table"/>
        <w:tblW w:type="pct" w:w="5000"/>
        <w:tblLayout w:type="fixed"/>
        <w:tblLook w:firstRow="0" w:lastRow="0" w:firstColumn="0" w:lastColumn="0" w:noHBand="0" w:noVBand="0" w:val="0000"/>
      </w:tblPr>
      <w:tblGrid>
        <w:gridCol w:w="7920"/>
      </w:tblGrid>
      <w:tr>
        <w:tc>
          <w:tcPr/>
          <w:bookmarkStart w:id="513" w:name="tbl-abandon"/>
          <w:p>
            <w:pPr>
              <w:jc w:val="center"/>
            </w:pPr>
            <w:pPr>
              <w:jc w:val="left"/>
              <w:spacing w:before="200"/>
              <w:pStyle w:val="ImageCaption"/>
            </w:pPr>
            <w:r>
              <w:t xml:space="preserve">Table 4.4: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Alaotra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Marovoay</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513"/>
          <w:p/>
        </w:tc>
      </w:tr>
    </w:tbl>
    <w:bookmarkEnd w:id="514"/>
    <w:bookmarkStart w:id="519"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4.17</w:t>
        </w:r>
      </w:hyperlink>
      <w:r>
        <w:t xml:space="preserve">). Ce sentiment d’insuffisance foncière constitue un enjeu majeur pour les politiques de développement rural. Malgré la possession moyenne de 1 à 1.6 hectare, un tiers des familles estime ne pas avoir assez de terre pour assurer ses besoins.</w:t>
      </w:r>
    </w:p>
    <w:p>
      <w:pPr>
        <w:pStyle w:val="Corpsdetexte"/>
      </w:pPr>
      <w:r>
        <w:rPr>
          <w:b/>
          <w:bCs/>
        </w:rPr>
        <w:t xml:space="preserve">Alaotra.</w:t>
      </w:r>
      <w:r>
        <w:t xml:space="preserve"> </w:t>
      </w:r>
      <w:r>
        <w:t xml:space="preserve">29.2 % des ménages jugent leur surface insuffisante ou très insuffisante. Seuls 70.8 % estiment leur dotation suffisante.</w:t>
      </w:r>
    </w:p>
    <w:p>
      <w:pPr>
        <w:pStyle w:val="Corpsdetexte"/>
      </w:pPr>
      <w:r>
        <w:rPr>
          <w:b/>
          <w:bCs/>
        </w:rPr>
        <w:t xml:space="preserve">Marovoay.</w:t>
      </w:r>
      <w:r>
        <w:t xml:space="preserve"> </w:t>
      </w:r>
      <w:r>
        <w:t xml:space="preserve">34.4 % des ménages jugent leur surface insuffisante ou très insuffisante. Seuls 65.5 % estiment leur dotation suffisante.</w:t>
      </w:r>
    </w:p>
    <w:tbl>
      <w:tblPr>
        <w:tblStyle w:val="Table"/>
        <w:tblW w:type="pct" w:w="5000"/>
        <w:tblLayout w:type="fixed"/>
        <w:tblLook w:firstRow="0" w:lastRow="0" w:firstColumn="0" w:lastColumn="0" w:noHBand="0" w:noVBand="0" w:val="0000"/>
      </w:tblPr>
      <w:tblGrid>
        <w:gridCol w:w="7920"/>
      </w:tblGrid>
      <w:tr>
        <w:tc>
          <w:tcPr/>
          <w:bookmarkStart w:id="518" w:name="fig-satisfaction"/>
          <w:p>
            <w:pPr>
              <w:jc w:val="center"/>
            </w:pPr>
            <w:pPr>
              <w:jc w:val="left"/>
              <w:spacing w:before="200"/>
              <w:pStyle w:val="ImageCaption"/>
            </w:pPr>
            <w:r>
              <w:t xml:space="preserve">Figure 4.17: Satisfaction des ménages par rapport à leur surface foncière</w:t>
            </w:r>
          </w:p>
          <w:p>
            <w:pPr>
              <w:pStyle w:val="Compact"/>
              <w:jc w:val="center"/>
            </w:pPr>
            <w:r>
              <w:drawing>
                <wp:inline>
                  <wp:extent cx="5969000" cy="1865312"/>
                  <wp:effectExtent b="0" l="0" r="0" t="0"/>
                  <wp:docPr descr="" title="" id="516" name="Picture"/>
                  <a:graphic>
                    <a:graphicData uri="http://schemas.openxmlformats.org/drawingml/2006/picture">
                      <pic:pic>
                        <pic:nvPicPr>
                          <pic:cNvPr descr="04_foncier_files/figure-docx/fig-satisfaction-1.png" id="517" name="Picture"/>
                          <pic:cNvPicPr>
                            <a:picLocks noChangeArrowheads="1" noChangeAspect="1"/>
                          </pic:cNvPicPr>
                        </pic:nvPicPr>
                        <pic:blipFill>
                          <a:blip r:embed="rId515"/>
                          <a:stretch>
                            <a:fillRect/>
                          </a:stretch>
                        </pic:blipFill>
                        <pic:spPr bwMode="auto">
                          <a:xfrm>
                            <a:off x="0" y="0"/>
                            <a:ext cx="5969000" cy="1865312"/>
                          </a:xfrm>
                          <a:prstGeom prst="rect">
                            <a:avLst/>
                          </a:prstGeom>
                          <a:noFill/>
                          <a:ln w="9525">
                            <a:noFill/>
                            <a:headEnd/>
                            <a:tailEnd/>
                          </a:ln>
                        </pic:spPr>
                      </pic:pic>
                    </a:graphicData>
                  </a:graphic>
                </wp:inline>
              </w:drawing>
            </w:r>
          </w:p>
          <w:bookmarkEnd w:id="518"/>
        </w:tc>
      </w:tr>
    </w:tbl>
    <w:bookmarkEnd w:id="519"/>
    <w:bookmarkEnd w:id="520"/>
    <w:bookmarkStart w:id="681" w:name="agriculture-élevage-et-pêche"/>
    <w:p>
      <w:pPr>
        <w:pStyle w:val="Titre1"/>
      </w:pPr>
      <w:r>
        <w:t xml:space="preserve">5. Agriculture, élevage et pêche</w:t>
      </w:r>
    </w:p>
    <w:p>
      <w:pPr>
        <w:pStyle w:val="FirstParagraph"/>
      </w:pPr>
      <w:r>
        <w:t xml:space="preserve">À Madagascar, l’agriculture occupe une place centrale dans l’économie et dans la vie des ménages ruraux, car elle constitue la principale source de revenus, d’emplois et de subsistance pour une grande partie de la population.</w:t>
      </w:r>
    </w:p>
    <w:p>
      <w:pPr>
        <w:pStyle w:val="Corpsdetexte"/>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21" name="Picture"/>
                  <a:graphic>
                    <a:graphicData uri="http://schemas.openxmlformats.org/drawingml/2006/picture">
                      <pic:pic>
                        <pic:nvPicPr>
                          <pic:cNvPr descr="C:\PROGRA~1\Quarto\share\formats\docx\warning.png" id="522"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624" w:name="sec-agriculture"/>
    <w:p>
      <w:pPr>
        <w:pStyle w:val="Titre2"/>
      </w:pPr>
      <w:r>
        <w:t xml:space="preserve">5.1 Agriculture</w:t>
      </w:r>
    </w:p>
    <w:bookmarkStart w:id="583" w:name="sec-riziculture"/>
    <w:p>
      <w:pPr>
        <w:pStyle w:val="Titre3"/>
      </w:pPr>
      <w:r>
        <w:t xml:space="preserve">5.1.1 Riziculture</w:t>
      </w:r>
    </w:p>
    <w:p>
      <w:pPr>
        <w:pStyle w:val="FirstParagraph"/>
      </w:pPr>
      <w:r>
        <w:t xml:space="preserve">La riziculture est l’activité agricole dominante.</w:t>
      </w:r>
    </w:p>
    <w:p>
      <w:pPr>
        <w:pStyle w:val="Corpsdetexte"/>
      </w:pPr>
      <w:r>
        <w:t xml:space="preserve">Dans l’Alaotra, 58.3 % des ménages pratiquent la riziculture. Les riziculteurs exploitent en moyenne 1.4 parcelles (superficie moyenne de 57 ares).</w:t>
      </w:r>
    </w:p>
    <w:p>
      <w:pPr>
        <w:pStyle w:val="Corpsdetexte"/>
      </w:pPr>
      <w:r>
        <w:t xml:space="preserve">A Marovoay, 73.6 % des ménages pratiquent la riziculture. Les riziculteurs exploitent en moyenne 1.7 parcelles (superficie moyenne de 68 ares).</w:t>
      </w:r>
    </w:p>
    <w:tbl>
      <w:tblPr>
        <w:tblStyle w:val="Table"/>
        <w:tblW w:type="pct" w:w="5000"/>
        <w:tblLayout w:type="fixed"/>
        <w:tblLook w:firstRow="0" w:lastRow="0" w:firstColumn="0" w:lastColumn="0" w:noHBand="0" w:noVBand="0" w:val="0000"/>
      </w:tblPr>
      <w:tblGrid>
        <w:gridCol w:w="7920"/>
      </w:tblGrid>
      <w:tr>
        <w:tc>
          <w:tcPr/>
          <w:bookmarkStart w:id="523"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523"/>
          <w:p/>
        </w:tc>
      </w:tr>
    </w:tbl>
    <w:bookmarkStart w:id="532"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À Alaotra, le mode de faire valoir direct domine largement l’exploitation des parcelles avec 59.7 % des parcelles concernées (en nombre). La prise en location représente également une pratique importante avec 19.8 %, suivie par la prise en métayage qui atteint 12.9 %. Les autres formes d’accès à la terre restent marginales, notamment la mise en location avec 1.4 %, la mise en métayage avec 3.5 %, le prêt gratuit avec 2.2 % et la mise à disposition gratuite avec seulement 0.6 %.</w:t>
      </w:r>
    </w:p>
    <w:p>
      <w:pPr>
        <w:pStyle w:val="Corpsdetexte"/>
      </w:pPr>
      <w:r>
        <w:t xml:space="preserve">A Marovoay, le faire valoir direct constitue également la principale forme d’exploitation des parcelles avec 46.5 % des parcelles (en nombre). La prise en métayage occupe une place importante et atteint 24.8 %, tandis que la prise en location représente 18.4 % des parcelles. Les autres modalités restent peu répandues, avec 6.3 % pour la mise en location, 2.2 % pour la mise en métayage et 1.6 % pour le prêt gratuit. Les catégories « autre » et « mise à disposition gratuite » ne représentent chacune que 0.1 % des parcelles.</w:t>
      </w:r>
    </w:p>
    <w:p>
      <w:pPr>
        <w:pStyle w:val="Corpsdetexte"/>
      </w:pPr>
      <w:r>
        <w:t xml:space="preserve">Les formes liées à la mise en gage sont quasiment inexistantes dans les deux observatoires.</w:t>
      </w:r>
    </w:p>
    <w:tbl>
      <w:tblPr>
        <w:tblStyle w:val="Table"/>
        <w:tblW w:type="pct" w:w="5000"/>
        <w:tblLayout w:type="fixed"/>
        <w:tblLook w:firstRow="0" w:lastRow="0" w:firstColumn="0" w:lastColumn="0" w:noHBand="0" w:noVBand="0" w:val="0000"/>
      </w:tblPr>
      <w:tblGrid>
        <w:gridCol w:w="7920"/>
      </w:tblGrid>
      <w:tr>
        <w:tc>
          <w:tcPr/>
          <w:bookmarkStart w:id="527"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2611437"/>
                  <wp:effectExtent b="0" l="0" r="0" t="0"/>
                  <wp:docPr descr="" title="" id="525" name="Picture"/>
                  <a:graphic>
                    <a:graphicData uri="http://schemas.openxmlformats.org/drawingml/2006/picture">
                      <pic:pic>
                        <pic:nvPicPr>
                          <pic:cNvPr descr="05_agriculture_files/figure-docx/fig-tenure-riz-1.png" id="526" name="Picture"/>
                          <pic:cNvPicPr>
                            <a:picLocks noChangeArrowheads="1" noChangeAspect="1"/>
                          </pic:cNvPicPr>
                        </pic:nvPicPr>
                        <pic:blipFill>
                          <a:blip r:embed="rId524"/>
                          <a:stretch>
                            <a:fillRect/>
                          </a:stretch>
                        </pic:blipFill>
                        <pic:spPr bwMode="auto">
                          <a:xfrm>
                            <a:off x="0" y="0"/>
                            <a:ext cx="5969000" cy="2611437"/>
                          </a:xfrm>
                          <a:prstGeom prst="rect">
                            <a:avLst/>
                          </a:prstGeom>
                          <a:noFill/>
                          <a:ln w="9525">
                            <a:noFill/>
                            <a:headEnd/>
                            <a:tailEnd/>
                          </a:ln>
                        </pic:spPr>
                      </pic:pic>
                    </a:graphicData>
                  </a:graphic>
                </wp:inline>
              </w:drawing>
            </w:r>
          </w:p>
          <w:bookmarkEnd w:id="527"/>
        </w:tc>
      </w:tr>
    </w:tbl>
    <w:p>
      <w:pPr>
        <w:pStyle w:val="Corpsdetexte"/>
      </w:pPr>
      <w:r>
        <w:t xml:space="preserve">La gestion de l’eau est un enjeu central de la riziculture.</w:t>
      </w:r>
    </w:p>
    <w:p>
      <w:pPr>
        <w:pStyle w:val="Corpsdetexte"/>
      </w:pPr>
      <w:r>
        <w:t xml:space="preserve">À Alaotra, le principal problème de maîtrise de l’eau sur les parcelles rizicoles est le manque d’eau (53%). Une part importante des parcelles ne rencontre toutefois aucun problème particulier, avec 35.2 % des cas. Les problèmes d’inondation concernent 9.6 % des parcelles, tandis que les problèmes de drainage restent limités avec 1.6 %. Les autres difficultés demeurent marginales avec seulement 0.4 %, alors que les situations non renseignées représentent 0.2 %.</w:t>
      </w:r>
    </w:p>
    <w:p>
      <w:pPr>
        <w:pStyle w:val="Corpsdetexte"/>
      </w:pPr>
      <w:r>
        <w:t xml:space="preserve">À Marovoay, le manque d’eau constitue également le principal problème de maîtrise de l’eau et concerne 57.9 % des parcelles rizicoles. Les parcelles ne présentant aucun problème représentent 38 % des cas. Les problèmes d’inondation restent relativement faibles avec 3.4 %, tandis que les problèmes de drainage et les autres difficultés ne concernent chacun que 0.3 % des parcelles.</w:t>
      </w:r>
    </w:p>
    <w:p>
      <w:pPr>
        <w:pStyle w:val="Corpsdetexte"/>
      </w:pPr>
      <w:r>
        <w:t xml:space="preserve">Les problèmes d’ensablement apparaissent comme quasiment absents dans les deux observatoires.</w:t>
      </w:r>
    </w:p>
    <w:tbl>
      <w:tblPr>
        <w:tblStyle w:val="Table"/>
        <w:tblW w:type="pct" w:w="5000"/>
        <w:tblLayout w:type="fixed"/>
        <w:tblLook w:firstRow="0" w:lastRow="0" w:firstColumn="0" w:lastColumn="0" w:noHBand="0" w:noVBand="0" w:val="0000"/>
      </w:tblPr>
      <w:tblGrid>
        <w:gridCol w:w="7920"/>
      </w:tblGrid>
      <w:tr>
        <w:tc>
          <w:tcPr/>
          <w:bookmarkStart w:id="531"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2238375"/>
                  <wp:effectExtent b="0" l="0" r="0" t="0"/>
                  <wp:docPr descr="" title="" id="529" name="Picture"/>
                  <a:graphic>
                    <a:graphicData uri="http://schemas.openxmlformats.org/drawingml/2006/picture">
                      <pic:pic>
                        <pic:nvPicPr>
                          <pic:cNvPr descr="05_agriculture_files/figure-docx/fig-eau-riz-1.png" id="530" name="Picture"/>
                          <pic:cNvPicPr>
                            <a:picLocks noChangeArrowheads="1" noChangeAspect="1"/>
                          </pic:cNvPicPr>
                        </pic:nvPicPr>
                        <pic:blipFill>
                          <a:blip r:embed="rId528"/>
                          <a:stretch>
                            <a:fillRect/>
                          </a:stretch>
                        </pic:blipFill>
                        <pic:spPr bwMode="auto">
                          <a:xfrm>
                            <a:off x="0" y="0"/>
                            <a:ext cx="5969000" cy="2238375"/>
                          </a:xfrm>
                          <a:prstGeom prst="rect">
                            <a:avLst/>
                          </a:prstGeom>
                          <a:noFill/>
                          <a:ln w="9525">
                            <a:noFill/>
                            <a:headEnd/>
                            <a:tailEnd/>
                          </a:ln>
                        </pic:spPr>
                      </pic:pic>
                    </a:graphicData>
                  </a:graphic>
                </wp:inline>
              </w:drawing>
            </w:r>
          </w:p>
          <w:bookmarkEnd w:id="531"/>
        </w:tc>
      </w:tr>
    </w:tbl>
    <w:bookmarkEnd w:id="532"/>
    <w:bookmarkStart w:id="544"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Dans l’Alaotra, le repiquage traditionnel constitue la principale technique de culture rizicole et concerne56 % des parcelles. Le repiquage en ligne représente également une pratique importante avec 17.6 %, tandis que le semis à la volée atteint 10.4 %. Le SRI concerne 8.2 % des parcelles et le semis direct poquet représente 7.2 %. La technique SRA reste très marginale avec seulement 0.6 %, tandis que le zéro labour et le semis direct amélioré apparaissent comme quasiment absents dans l’observatoire.</w:t>
      </w:r>
    </w:p>
    <w:p>
      <w:pPr>
        <w:pStyle w:val="Corpsdetexte"/>
      </w:pPr>
      <w:r>
        <w:t xml:space="preserve">A Marovoay, la culture rizicole repose très largement sur le repiquage traditionnel utilisé sur 97 % des parcelles. Les autres techniques restent très peu développées, avec seulement 1.8 % pour le repiquage en ligne, 1 % pour le semis direct poquet et 0.1 % pour le SRI. Les techniques telles que le semis à la volée, le SRA, le zéro labour et le semis direct amélioré sont quasiment inexistantes dans l’observatoire.</w:t>
      </w:r>
    </w:p>
    <w:tbl>
      <w:tblPr>
        <w:tblStyle w:val="Table"/>
        <w:tblW w:type="pct" w:w="5000"/>
        <w:tblLayout w:type="fixed"/>
        <w:tblLook w:firstRow="0" w:lastRow="0" w:firstColumn="0" w:lastColumn="0" w:noHBand="0" w:noVBand="0" w:val="0000"/>
      </w:tblPr>
      <w:tblGrid>
        <w:gridCol w:w="7920"/>
      </w:tblGrid>
      <w:tr>
        <w:tc>
          <w:tcPr/>
          <w:bookmarkStart w:id="536"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1865312"/>
                  <wp:effectExtent b="0" l="0" r="0" t="0"/>
                  <wp:docPr descr="" title="" id="534" name="Picture"/>
                  <a:graphic>
                    <a:graphicData uri="http://schemas.openxmlformats.org/drawingml/2006/picture">
                      <pic:pic>
                        <pic:nvPicPr>
                          <pic:cNvPr descr="05_agriculture_files/figure-docx/fig-technique-riz-1.png" id="535" name="Picture"/>
                          <pic:cNvPicPr>
                            <a:picLocks noChangeArrowheads="1" noChangeAspect="1"/>
                          </pic:cNvPicPr>
                        </pic:nvPicPr>
                        <pic:blipFill>
                          <a:blip r:embed="rId533"/>
                          <a:stretch>
                            <a:fillRect/>
                          </a:stretch>
                        </pic:blipFill>
                        <pic:spPr bwMode="auto">
                          <a:xfrm>
                            <a:off x="0" y="0"/>
                            <a:ext cx="5969000" cy="1865312"/>
                          </a:xfrm>
                          <a:prstGeom prst="rect">
                            <a:avLst/>
                          </a:prstGeom>
                          <a:noFill/>
                          <a:ln w="9525">
                            <a:noFill/>
                            <a:headEnd/>
                            <a:tailEnd/>
                          </a:ln>
                        </pic:spPr>
                      </pic:pic>
                    </a:graphicData>
                  </a:graphic>
                </wp:inline>
              </w:drawing>
            </w:r>
          </w:p>
          <w:bookmarkEnd w:id="536"/>
        </w:tc>
      </w:tr>
    </w:tbl>
    <w:p>
      <w:pPr>
        <w:pStyle w:val="Corpsdetexte"/>
      </w:pPr>
      <w:r>
        <w:t xml:space="preserve">À Alaotra, une part importante des parcelles rizicoles ne reçoit aucun engrais, avec 40.4 % des parcelles concernées. L’utilisation exclusive de fumure organique ou de compost représente 27.3 %, tandis que l’usage exclusif d’engrais chimiques atteint 18.2 %. L’association fumure organique et engrais chimiques concerne 12.9 % des parcelles. Les autres pratiques restent très marginales, avec 0.6 % pour l’utilisation de produits chimiques pérennes, 0.2 % pour la jachère et 0.4 % pour les autres formes d’amendement. Les pratiques telles que le compost amélioré ou le guano apparaissent comme quasiment inexistantes dans l’observatoire.</w:t>
      </w:r>
    </w:p>
    <w:p>
      <w:pPr>
        <w:pStyle w:val="Corpsdetexte"/>
      </w:pPr>
      <w:r>
        <w:t xml:space="preserve">À Marovoay, l’absence d’utilisation d’engrais domine largement et concerne 62.6 % des parcelles rizicoles. L’usage exclusif de fumure organique ou de compost représente 11.7 %, tandis que les engrais chimiques seuls concernent 9.8 % des parcelles. Les produits chimiques pérennes occupent également une place notable avec 15.2 %. L’association fumure organique et engrais chimiques reste très faible avec seulement 0.3 %, tandis que la jachère représente 0.4 % des parcelles. Les autres formes d’amendement demeurent quasiment absentes dans l’observatoire.</w:t>
      </w:r>
    </w:p>
    <w:tbl>
      <w:tblPr>
        <w:tblStyle w:val="Table"/>
        <w:tblW w:type="pct" w:w="5000"/>
        <w:tblLayout w:type="fixed"/>
        <w:tblLook w:firstRow="0" w:lastRow="0" w:firstColumn="0" w:lastColumn="0" w:noHBand="0" w:noVBand="0" w:val="0000"/>
      </w:tblPr>
      <w:tblGrid>
        <w:gridCol w:w="7920"/>
      </w:tblGrid>
      <w:tr>
        <w:tc>
          <w:tcPr/>
          <w:bookmarkStart w:id="540"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2611437"/>
                  <wp:effectExtent b="0" l="0" r="0" t="0"/>
                  <wp:docPr descr="" title="" id="538" name="Picture"/>
                  <a:graphic>
                    <a:graphicData uri="http://schemas.openxmlformats.org/drawingml/2006/picture">
                      <pic:pic>
                        <pic:nvPicPr>
                          <pic:cNvPr descr="05_agriculture_files/figure-docx/fig-engrais-riz-1.png" id="539" name="Picture"/>
                          <pic:cNvPicPr>
                            <a:picLocks noChangeArrowheads="1" noChangeAspect="1"/>
                          </pic:cNvPicPr>
                        </pic:nvPicPr>
                        <pic:blipFill>
                          <a:blip r:embed="rId537"/>
                          <a:stretch>
                            <a:fillRect/>
                          </a:stretch>
                        </pic:blipFill>
                        <pic:spPr bwMode="auto">
                          <a:xfrm>
                            <a:off x="0" y="0"/>
                            <a:ext cx="5969000" cy="2611437"/>
                          </a:xfrm>
                          <a:prstGeom prst="rect">
                            <a:avLst/>
                          </a:prstGeom>
                          <a:noFill/>
                          <a:ln w="9525">
                            <a:noFill/>
                            <a:headEnd/>
                            <a:tailEnd/>
                          </a:ln>
                        </pic:spPr>
                      </pic:pic>
                    </a:graphicData>
                  </a:graphic>
                </wp:inline>
              </w:drawing>
            </w:r>
          </w:p>
          <w:bookmarkEnd w:id="540"/>
        </w:tc>
      </w:tr>
    </w:tbl>
    <w:p>
      <w:pPr>
        <w:pStyle w:val="Corpsdetexte"/>
      </w:pPr>
      <w:r>
        <w:t xml:space="preserve">A Alaotra, le mode de travail du sol dominant sur les parcelles rizicoles est le labour à la charrue, qui concerne 57.1 % des exploitations. Le recours au tracteur ou motoculteur représente 21.7 %, tandis que l’angady est utilisé par 14.9 % des producteurs. Le piétinage reste peu pratiqué avec 5.3 % des cas. Le nettoyage manuel ou « mikaoka » est presque inexistant, avec seulement 0.2 %, et les autres modes de préparation du sol représentent 0.8 %.</w:t>
      </w:r>
    </w:p>
    <w:p>
      <w:pPr>
        <w:pStyle w:val="Corpsdetexte"/>
      </w:pPr>
      <w:r>
        <w:t xml:space="preserve">A Marovoay, le travail du sol est principalement réalisé à la charrue, avec une proportion de 78 %. Les autres pratiques restent beaucoup moins fréquentes. Le recours à l’angady concerne 6.7 % des exploitations, tandis que le nettoyage au « mikaoka » représente 6.2 %. Le piétinage est pratiqué par 4.9 % des producteurs et l’utilisation du tracteur ou motoculteur ne concerne que 3.7 % des cas. Les autres modes de travail du sol sont marginaux avec 0.1 %.</w:t>
      </w:r>
    </w:p>
    <w:p>
      <w:pPr>
        <w:pStyle w:val="Corpsdetexte"/>
      </w:pPr>
      <w:r>
        <w:t xml:space="preserve">Aucun cas d’absence de labour n’est signalé dans les deux observatoires.</w:t>
      </w:r>
    </w:p>
    <w:p>
      <w:pPr>
        <w:pStyle w:val="CaptionedFigure"/>
      </w:pPr>
      <w:r>
        <w:drawing>
          <wp:inline>
            <wp:extent cx="4620126" cy="2310063"/>
            <wp:effectExtent b="0" l="0" r="0" t="0"/>
            <wp:docPr descr="Mode de travail du sol sur les parcelles rizicoles" title="" id="542" name="Picture"/>
            <a:graphic>
              <a:graphicData uri="http://schemas.openxmlformats.org/drawingml/2006/picture">
                <pic:pic>
                  <pic:nvPicPr>
                    <pic:cNvPr descr="05_agriculture_files/figure-docx/fig_semences_labour-1.png" id="543" name="Picture"/>
                    <pic:cNvPicPr>
                      <a:picLocks noChangeArrowheads="1" noChangeAspect="1"/>
                    </pic:cNvPicPr>
                  </pic:nvPicPr>
                  <pic:blipFill>
                    <a:blip r:embed="rId541"/>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r>
        <w:t xml:space="preserve">Mode de travail du sol sur les parcelles rizicoles</w:t>
      </w:r>
    </w:p>
    <w:bookmarkEnd w:id="544"/>
    <w:bookmarkStart w:id="552"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Dans l’Alaotra, le rendement rizicole médian s’établit à 2.5 t/ha (hors 5 % des valeurs extrêmes). La perception des rendements rizicoles est majoritairement négative. En effet, 41.1 % des riziculteurs considèrent que les rendements sont très mauvais, tandis que 37.7 % les jugent mauvais. Les producteurs ayant une appréciation positive restent minoritaires, avec 20.2 % qui estiment les rendements bons et seulement 1 % qui les qualifient de très bons. Cette perception traduit une forte insatisfaction des producteurs vis-à-vis des performances rizicoles observées.</w:t>
      </w:r>
    </w:p>
    <w:p>
      <w:pPr>
        <w:pStyle w:val="Corpsdetexte"/>
      </w:pPr>
      <w:r>
        <w:t xml:space="preserve">A Marovoay, le rendement rizicole médian s’établit à 1.2 t/ha (hors 5 % des valeurs extrêmes). Les rendements rizicoles sont également perçus de manière défavorable par une grande partie des producteurs. La catégorie « mauvais » regroupe 46.4 % des riziculteurs, alors que 40.2 % considèrent les rendements comme très mauvais. Les avis positifs demeurent limités, avec 12.1 % des producteurs qui jugent les rendements bons et 1.3 % qui les estiment très bons. L’ensemble de ces perceptions met en évidence un ressenti globalement pessimiste concernant les niveaux de rendement rizicole dans cet observatoire.</w:t>
      </w:r>
    </w:p>
    <w:p>
      <w:pPr>
        <w:pStyle w:val="CaptionedFigure"/>
      </w:pPr>
      <w:r>
        <w:drawing>
          <wp:inline>
            <wp:extent cx="4620126" cy="3696101"/>
            <wp:effectExtent b="0" l="0" r="0" t="0"/>
            <wp:docPr descr="Perception des rendements rizicoles" title="" id="546" name="Picture"/>
            <a:graphic>
              <a:graphicData uri="http://schemas.openxmlformats.org/drawingml/2006/picture">
                <pic:pic>
                  <pic:nvPicPr>
                    <pic:cNvPr descr="05_agriculture_files/figure-docx/fig_rendement_perception-1.png" id="547" name="Picture"/>
                    <pic:cNvPicPr>
                      <a:picLocks noChangeArrowheads="1" noChangeAspect="1"/>
                    </pic:cNvPicPr>
                  </pic:nvPicPr>
                  <pic:blipFill>
                    <a:blip r:embed="rId54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Perception des rendements rizicoles</w:t>
      </w:r>
    </w:p>
    <w:p>
      <w:pPr>
        <w:pStyle w:val="Corpsdetexte"/>
      </w:pPr>
      <w:r>
        <w:t xml:space="preserve">A Alaotra, les rendements rizicoles présentent une dispersion relativement large, avec des valeurs s’étendant d’environ 0 à plus de 5 t/ha. La médiane se situe autour de 2.3 t/ha, ce qui indique que la moitié des exploitations obtiennent des rendements inférieurs à cette valeur. La majorité des rendements est concentrée entre environ 1.2 et 3.3 t/ha, traduisant une variabilité modérée des performances rizicoles. L’absence de valeurs aberrantes visibles suggère une distribution relativement homogène des rendements au sein de l’observatoire.</w:t>
      </w:r>
    </w:p>
    <w:p>
      <w:pPr>
        <w:pStyle w:val="Corpsdetexte"/>
      </w:pPr>
      <w:r>
        <w:t xml:space="preserve">A Marovoay, les rendements rizicoles sont globalement concentrés à des niveaux plus faibles, avec une médiane proche de 1.2 t/ha. La majorité des exploitations enregistre des rendements compris entre environ 0.7 et 2 t/ha. Quelques valeurs aberrantes apparaissent au-dessus de 4 t/ha et atteignent près de 5 t/ha, indiquant l’existence de rares exploitations obtenant des rendements nettement supérieurs au reste des producteurs. La distribution met ainsi en évidence une forte concentration des rendements autour de faibles niveaux, accompagnée de quelques performances exceptionnellement élevées.</w:t>
      </w:r>
    </w:p>
    <w:tbl>
      <w:tblPr>
        <w:tblStyle w:val="Table"/>
        <w:tblW w:type="pct" w:w="5000"/>
        <w:tblLayout w:type="fixed"/>
        <w:tblLook w:firstRow="0" w:lastRow="0" w:firstColumn="0" w:lastColumn="0" w:noHBand="0" w:noVBand="0" w:val="0000"/>
      </w:tblPr>
      <w:tblGrid>
        <w:gridCol w:w="7920"/>
      </w:tblGrid>
      <w:tr>
        <w:tc>
          <w:tcPr/>
          <w:bookmarkStart w:id="551"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2611437"/>
                  <wp:effectExtent b="0" l="0" r="0" t="0"/>
                  <wp:docPr descr="" title="" id="549" name="Picture"/>
                  <a:graphic>
                    <a:graphicData uri="http://schemas.openxmlformats.org/drawingml/2006/picture">
                      <pic:pic>
                        <pic:nvPicPr>
                          <pic:cNvPr descr="05_agriculture_files/figure-docx/fig-rendement-riz-tha-1.png" id="550" name="Picture"/>
                          <pic:cNvPicPr>
                            <a:picLocks noChangeArrowheads="1" noChangeAspect="1"/>
                          </pic:cNvPicPr>
                        </pic:nvPicPr>
                        <pic:blipFill>
                          <a:blip r:embed="rId548"/>
                          <a:stretch>
                            <a:fillRect/>
                          </a:stretch>
                        </pic:blipFill>
                        <pic:spPr bwMode="auto">
                          <a:xfrm>
                            <a:off x="0" y="0"/>
                            <a:ext cx="5969000" cy="2611437"/>
                          </a:xfrm>
                          <a:prstGeom prst="rect">
                            <a:avLst/>
                          </a:prstGeom>
                          <a:noFill/>
                          <a:ln w="9525">
                            <a:noFill/>
                            <a:headEnd/>
                            <a:tailEnd/>
                          </a:ln>
                        </pic:spPr>
                      </pic:pic>
                    </a:graphicData>
                  </a:graphic>
                </wp:inline>
              </w:drawing>
            </w:r>
          </w:p>
          <w:bookmarkEnd w:id="551"/>
        </w:tc>
      </w:tr>
    </w:tbl>
    <w:bookmarkEnd w:id="552"/>
    <w:bookmarkStart w:id="565"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p>
      <w:pPr>
        <w:pStyle w:val="Corpsdetexte"/>
      </w:pPr>
      <w:r>
        <w:t xml:space="preserve">À Alaotra, la topographie des parcelles agricoles est dominée par les plaines sans inondation, qui représentent 38.5 % des parcelles observées. Les plaines sujettes à des inondations périodiques occupent également une part importante avec 28.5 %, tandis que les zones de bas-fond représentent 20 %. Les parcelles situées sur des tanety correspondent à 6.1 % des observations. Les autres formes topographiques restent très marginales, notamment les réseaux d’eau et les rizières en escalier avec 0.2 % chacune, ainsi que les tay qui représentent 0.4 %.</w:t>
      </w:r>
    </w:p>
    <w:p>
      <w:pPr>
        <w:pStyle w:val="Corpsdetexte"/>
      </w:pPr>
      <w:r>
        <w:t xml:space="preserve">À Marovoay, les parcelles agricoles se concentrent principalement dans les zones de bas-fond, qui représentent 34.0 % des parcelles. Les plaines sans inondation occupent également une place importante avec 30.5 %, suivies des plaines à inondation périodique qui représentent 21.3 %. Les tanety constituent 6.7 % des parcelles observées, tandis que les réseaux d’eau représentent 3.4 %. Les rizières en escalier restent très peu représentées avec 0.6 %, et les tay ne concernent que 0.1 % des parcelles.</w:t>
      </w:r>
    </w:p>
    <w:tbl>
      <w:tblPr>
        <w:tblStyle w:val="Table"/>
        <w:tblW w:type="pct" w:w="5000"/>
        <w:tblLayout w:type="fixed"/>
        <w:tblLook w:firstRow="0" w:lastRow="0" w:firstColumn="0" w:lastColumn="0" w:noHBand="0" w:noVBand="0" w:val="0000"/>
      </w:tblPr>
      <w:tblGrid>
        <w:gridCol w:w="7920"/>
      </w:tblGrid>
      <w:tr>
        <w:tc>
          <w:tcPr/>
          <w:bookmarkStart w:id="556" w:name="fig-topographie-riz"/>
          <w:p>
            <w:pPr>
              <w:jc w:val="center"/>
            </w:pPr>
            <w:pPr>
              <w:jc w:val="left"/>
              <w:spacing w:before="200"/>
              <w:pStyle w:val="ImageCaption"/>
            </w:pPr>
            <w:r>
              <w:t xml:space="preserve">Figure 5.6: Topographie des parcelles rizicoles</w:t>
            </w:r>
          </w:p>
          <w:p>
            <w:pPr>
              <w:pStyle w:val="Compact"/>
              <w:jc w:val="center"/>
            </w:pPr>
            <w:r>
              <w:drawing>
                <wp:inline>
                  <wp:extent cx="5969000" cy="2238375"/>
                  <wp:effectExtent b="0" l="0" r="0" t="0"/>
                  <wp:docPr descr="" title="" id="554" name="Picture"/>
                  <a:graphic>
                    <a:graphicData uri="http://schemas.openxmlformats.org/drawingml/2006/picture">
                      <pic:pic>
                        <pic:nvPicPr>
                          <pic:cNvPr descr="05_agriculture_files/figure-docx/fig-topographie-riz-1.png" id="555" name="Picture"/>
                          <pic:cNvPicPr>
                            <a:picLocks noChangeArrowheads="1" noChangeAspect="1"/>
                          </pic:cNvPicPr>
                        </pic:nvPicPr>
                        <pic:blipFill>
                          <a:blip r:embed="rId553"/>
                          <a:stretch>
                            <a:fillRect/>
                          </a:stretch>
                        </pic:blipFill>
                        <pic:spPr bwMode="auto">
                          <a:xfrm>
                            <a:off x="0" y="0"/>
                            <a:ext cx="5969000" cy="2238375"/>
                          </a:xfrm>
                          <a:prstGeom prst="rect">
                            <a:avLst/>
                          </a:prstGeom>
                          <a:noFill/>
                          <a:ln w="9525">
                            <a:noFill/>
                            <a:headEnd/>
                            <a:tailEnd/>
                          </a:ln>
                        </pic:spPr>
                      </pic:pic>
                    </a:graphicData>
                  </a:graphic>
                </wp:inline>
              </w:drawing>
            </w:r>
          </w:p>
          <w:bookmarkEnd w:id="556"/>
        </w:tc>
      </w:tr>
    </w:tbl>
    <w:p>
      <w:pPr>
        <w:pStyle w:val="Corpsdetexte"/>
      </w:pPr>
      <w:r>
        <w:t xml:space="preserve">À Alaotra, la saison principale domine très largement les pratiques de culture rizicole, avec 91.2 % des parcelles cultivées durant cette période. La contre-saison reste marginale et concerne seulement 7.6 % des parcelles, tandis que la saison intermédiaire est très peu pratiquée avec 1.2 %. Cette répartition montre une forte concentration des activités rizicoles sur une seule période culturale, correspondant au calendrier agricole principal de l’observatoire.</w:t>
      </w:r>
    </w:p>
    <w:p>
      <w:pPr>
        <w:pStyle w:val="Corpsdetexte"/>
      </w:pPr>
      <w:r>
        <w:t xml:space="preserve">À Marovoay, la saison principale représente également la période de culture la plus importante avec 72 % des parcelles. Toutefois, la contre-saison occupe une place plus notable, atteignant 23.2 % des parcelles cultivées. La saison intermédiaire reste minoritaire avec 4.7 %. La distribution des saisons culturales traduit ainsi une organisation des cultures principalement centrée sur la saison principale, tout en intégrant une part non négligeable de cultures réalisées en contre-saison.</w:t>
      </w:r>
    </w:p>
    <w:tbl>
      <w:tblPr>
        <w:tblStyle w:val="Table"/>
        <w:tblW w:type="pct" w:w="5000"/>
        <w:tblLayout w:type="fixed"/>
        <w:tblLook w:firstRow="0" w:lastRow="0" w:firstColumn="0" w:lastColumn="0" w:noHBand="0" w:noVBand="0" w:val="0000"/>
      </w:tblPr>
      <w:tblGrid>
        <w:gridCol w:w="7920"/>
      </w:tblGrid>
      <w:tr>
        <w:tc>
          <w:tcPr/>
          <w:bookmarkStart w:id="560" w:name="fig-saison-riz"/>
          <w:p>
            <w:pPr>
              <w:jc w:val="center"/>
            </w:pPr>
            <w:pPr>
              <w:jc w:val="left"/>
              <w:spacing w:before="200"/>
              <w:pStyle w:val="ImageCaption"/>
            </w:pPr>
            <w:r>
              <w:t xml:space="preserve">Figure 5.7: Saison de culture rizicole</w:t>
            </w:r>
          </w:p>
          <w:p>
            <w:pPr>
              <w:pStyle w:val="Compact"/>
              <w:jc w:val="center"/>
            </w:pPr>
            <w:r>
              <w:drawing>
                <wp:inline>
                  <wp:extent cx="5969000" cy="1492250"/>
                  <wp:effectExtent b="0" l="0" r="0" t="0"/>
                  <wp:docPr descr="" title="" id="558" name="Picture"/>
                  <a:graphic>
                    <a:graphicData uri="http://schemas.openxmlformats.org/drawingml/2006/picture">
                      <pic:pic>
                        <pic:nvPicPr>
                          <pic:cNvPr descr="05_agriculture_files/figure-docx/fig-saison-riz-1.png" id="559" name="Picture"/>
                          <pic:cNvPicPr>
                            <a:picLocks noChangeArrowheads="1" noChangeAspect="1"/>
                          </pic:cNvPicPr>
                        </pic:nvPicPr>
                        <pic:blipFill>
                          <a:blip r:embed="rId557"/>
                          <a:stretch>
                            <a:fillRect/>
                          </a:stretch>
                        </pic:blipFill>
                        <pic:spPr bwMode="auto">
                          <a:xfrm>
                            <a:off x="0" y="0"/>
                            <a:ext cx="5969000" cy="1492250"/>
                          </a:xfrm>
                          <a:prstGeom prst="rect">
                            <a:avLst/>
                          </a:prstGeom>
                          <a:noFill/>
                          <a:ln w="9525">
                            <a:noFill/>
                            <a:headEnd/>
                            <a:tailEnd/>
                          </a:ln>
                        </pic:spPr>
                      </pic:pic>
                    </a:graphicData>
                  </a:graphic>
                </wp:inline>
              </w:drawing>
            </w:r>
          </w:p>
          <w:bookmarkEnd w:id="560"/>
        </w:tc>
      </w:tr>
    </w:tbl>
    <w:p>
      <w:pPr>
        <w:pStyle w:val="Corpsdetexte"/>
      </w:pPr>
      <w:r>
        <w:t xml:space="preserve">À Alaotra, les semences de riz proviennent principalement de la dernière récolte, qui représente 51 % des parcelles. Les autres agriculteurs constituent la deuxième source d’approvisionnement avec 21.6 %, suivis des commerçants avec 20.2 %. Les coopératives et organismes de développement ne concernent que 3.1 % des parcelles, tandis que les autres sources restent très faibles avec 2.4 %. Les semences fournies par le propriétaire représentent seulement 1.2 %.</w:t>
      </w:r>
    </w:p>
    <w:p>
      <w:pPr>
        <w:pStyle w:val="Corpsdetexte"/>
      </w:pPr>
      <w:r>
        <w:t xml:space="preserve">À Marovoay, la dernière récolte constitue également la principale origine des semences avec 55.1 % des parcelles. Les commerçants arrivent ensuite avec 30.8 %, suivis des semences fournies par le propriétaire qui représentent 11 %. Les autres agriculteurs ne contribuent qu’à 0.7 % des approvisionnements. Les coopératives, organismes de développement et autres sources restent très peu représentés, avec des proportions avoisinant 1 % ou moins.</w:t>
      </w:r>
    </w:p>
    <w:tbl>
      <w:tblPr>
        <w:tblStyle w:val="Table"/>
        <w:tblW w:type="pct" w:w="5000"/>
        <w:tblLayout w:type="fixed"/>
        <w:tblLook w:firstRow="0" w:lastRow="0" w:firstColumn="0" w:lastColumn="0" w:noHBand="0" w:noVBand="0" w:val="0000"/>
      </w:tblPr>
      <w:tblGrid>
        <w:gridCol w:w="7920"/>
      </w:tblGrid>
      <w:tr>
        <w:tc>
          <w:tcPr/>
          <w:bookmarkStart w:id="564" w:name="fig-origine-semence"/>
          <w:p>
            <w:pPr>
              <w:jc w:val="center"/>
            </w:pPr>
            <w:pPr>
              <w:jc w:val="left"/>
              <w:spacing w:before="200"/>
              <w:pStyle w:val="ImageCaption"/>
            </w:pPr>
            <w:r>
              <w:t xml:space="preserve">Figure 5.8: Origine des semences de riz</w:t>
            </w:r>
          </w:p>
          <w:p>
            <w:pPr>
              <w:pStyle w:val="Compact"/>
              <w:jc w:val="center"/>
            </w:pPr>
            <w:r>
              <w:drawing>
                <wp:inline>
                  <wp:extent cx="5969000" cy="2238375"/>
                  <wp:effectExtent b="0" l="0" r="0" t="0"/>
                  <wp:docPr descr="" title="" id="562" name="Picture"/>
                  <a:graphic>
                    <a:graphicData uri="http://schemas.openxmlformats.org/drawingml/2006/picture">
                      <pic:pic>
                        <pic:nvPicPr>
                          <pic:cNvPr descr="05_agriculture_files/figure-docx/fig-origine-semence-1.png" id="563" name="Picture"/>
                          <pic:cNvPicPr>
                            <a:picLocks noChangeArrowheads="1" noChangeAspect="1"/>
                          </pic:cNvPicPr>
                        </pic:nvPicPr>
                        <pic:blipFill>
                          <a:blip r:embed="rId561"/>
                          <a:stretch>
                            <a:fillRect/>
                          </a:stretch>
                        </pic:blipFill>
                        <pic:spPr bwMode="auto">
                          <a:xfrm>
                            <a:off x="0" y="0"/>
                            <a:ext cx="5969000" cy="2238375"/>
                          </a:xfrm>
                          <a:prstGeom prst="rect">
                            <a:avLst/>
                          </a:prstGeom>
                          <a:noFill/>
                          <a:ln w="9525">
                            <a:noFill/>
                            <a:headEnd/>
                            <a:tailEnd/>
                          </a:ln>
                        </pic:spPr>
                      </pic:pic>
                    </a:graphicData>
                  </a:graphic>
                </wp:inline>
              </w:drawing>
            </w:r>
          </w:p>
          <w:bookmarkEnd w:id="564"/>
        </w:tc>
      </w:tr>
    </w:tbl>
    <w:bookmarkEnd w:id="565"/>
    <w:bookmarkStart w:id="578"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Dans l’Alaotra, 41.7 % des ménages riziculteurs déclarent avoir vendu du riz au cours de la campagne.</w:t>
      </w:r>
    </w:p>
    <w:p>
      <w:pPr>
        <w:pStyle w:val="Corpsdetexte"/>
      </w:pPr>
      <w:r>
        <w:t xml:space="preserve">A Marovoay, 44.2 % des ménages riziculteurs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569" w:name="fig-ventes-riz-taux"/>
          <w:p>
            <w:pPr>
              <w:jc w:val="center"/>
            </w:pPr>
            <w:pPr>
              <w:jc w:val="left"/>
              <w:spacing w:before="200"/>
              <w:pStyle w:val="ImageCaption"/>
            </w:pPr>
            <w:r>
              <w:t xml:space="preserve">Figure 5.9: Taux de vente de riz par observatoire</w:t>
            </w:r>
          </w:p>
          <w:p>
            <w:pPr>
              <w:pStyle w:val="Compact"/>
              <w:jc w:val="center"/>
            </w:pPr>
            <w:r>
              <w:drawing>
                <wp:inline>
                  <wp:extent cx="5969000" cy="4263571"/>
                  <wp:effectExtent b="0" l="0" r="0" t="0"/>
                  <wp:docPr descr="" title="" id="567" name="Picture"/>
                  <a:graphic>
                    <a:graphicData uri="http://schemas.openxmlformats.org/drawingml/2006/picture">
                      <pic:pic>
                        <pic:nvPicPr>
                          <pic:cNvPr descr="05_agriculture_files/figure-docx/fig-ventes-riz-taux-1.png" id="568" name="Picture"/>
                          <pic:cNvPicPr>
                            <a:picLocks noChangeArrowheads="1" noChangeAspect="1"/>
                          </pic:cNvPicPr>
                        </pic:nvPicPr>
                        <pic:blipFill>
                          <a:blip r:embed="rId566"/>
                          <a:stretch>
                            <a:fillRect/>
                          </a:stretch>
                        </pic:blipFill>
                        <pic:spPr bwMode="auto">
                          <a:xfrm>
                            <a:off x="0" y="0"/>
                            <a:ext cx="5969000" cy="4263571"/>
                          </a:xfrm>
                          <a:prstGeom prst="rect">
                            <a:avLst/>
                          </a:prstGeom>
                          <a:noFill/>
                          <a:ln w="9525">
                            <a:noFill/>
                            <a:headEnd/>
                            <a:tailEnd/>
                          </a:ln>
                        </pic:spPr>
                      </pic:pic>
                    </a:graphicData>
                  </a:graphic>
                </wp:inline>
              </w:drawing>
            </w:r>
          </w:p>
          <w:bookmarkEnd w:id="569"/>
        </w:tc>
      </w:tr>
    </w:tbl>
    <w:p>
      <w:pPr>
        <w:pStyle w:val="Corpsdetexte"/>
      </w:pPr>
      <w:r>
        <w:t xml:space="preserve">A Alaotra montre une concentration massive des transactions sur une période très courte, principalement en juin avec environ 37 % des ventes, suivi de juillet pour 23 %. Ce pic de commercialisation coïncide directement avec la fin de la période de récolte du riz irrigué, qui se déroule en mai et juin dans la zone du Moyen-Est, et suit de près celle du riz pluvial récolté en avril et mai. Cette forte saisonnalité des ventes suggère que les ménages de l’Alaotra privilégient une mise sur le marché immédiate après la moisson pour répondre à des besoins rapides de liquidités. La quasi-absence de ventes significatives en dehors de cette fenêtre de trois mois souligne une dépendance étroite de l’économie domestique vis-à-vis de la campagne de récolte principale.</w:t>
      </w:r>
    </w:p>
    <w:p>
      <w:pPr>
        <w:pStyle w:val="Corpsdetexte"/>
      </w:pPr>
      <w:r>
        <w:t xml:space="preserve">À Marovoay, le profil des ventes est nettement plus étalé, avec un plateau soutenu entre juin et août où les ventes oscillent entre 16 % et 17 %, suivi d’un sommet en septembre atteignant 23 %. Ce rythme de vente plus régulier s’explique par la multiplicité des cycles de culture dans le Nord-Ouest, où les récoltes des campagnes Atriatry et Asara s’échelonnent entre avril et juin.</w:t>
      </w:r>
      <w:r>
        <w:t xml:space="preserve"> </w:t>
      </w:r>
      <w:r>
        <w:t xml:space="preserve">Le pic majeur observé en septembre correspond précisément au déclenchement de la récolte de la campagne Jeby, la plus importante de la zone, qui s’étend de mi-septembre à novembre. Cette répartition témoigne d’une stratégie de commercialisation mieux répartie sur l’année, permise par l’accès à plusieurs récoltes successives qui alimentent le marché de façon continue.</w:t>
      </w:r>
    </w:p>
    <w:tbl>
      <w:tblPr>
        <w:tblStyle w:val="Table"/>
        <w:tblW w:type="pct" w:w="5000"/>
        <w:tblLayout w:type="fixed"/>
        <w:tblLook w:firstRow="0" w:lastRow="0" w:firstColumn="0" w:lastColumn="0" w:noHBand="0" w:noVBand="0" w:val="0000"/>
      </w:tblPr>
      <w:tblGrid>
        <w:gridCol w:w="7920"/>
      </w:tblGrid>
      <w:tr>
        <w:tc>
          <w:tcPr/>
          <w:bookmarkStart w:id="573" w:name="fig-ventes-riz-mois"/>
          <w:p>
            <w:pPr>
              <w:jc w:val="center"/>
            </w:pPr>
            <w:pPr>
              <w:jc w:val="left"/>
              <w:spacing w:before="200"/>
              <w:pStyle w:val="ImageCaption"/>
            </w:pPr>
            <w:r>
              <w:t xml:space="preserve">Figure 5.10: Répartition mensuelle des ventes de riz</w:t>
            </w:r>
          </w:p>
          <w:p>
            <w:pPr>
              <w:pStyle w:val="Compact"/>
              <w:jc w:val="center"/>
            </w:pPr>
            <w:r>
              <w:drawing>
                <wp:inline>
                  <wp:extent cx="5969000" cy="2238375"/>
                  <wp:effectExtent b="0" l="0" r="0" t="0"/>
                  <wp:docPr descr="" title="" id="571" name="Picture"/>
                  <a:graphic>
                    <a:graphicData uri="http://schemas.openxmlformats.org/drawingml/2006/picture">
                      <pic:pic>
                        <pic:nvPicPr>
                          <pic:cNvPr descr="05_agriculture_files/figure-docx/fig-ventes-riz-mois-1.png" id="572" name="Picture"/>
                          <pic:cNvPicPr>
                            <a:picLocks noChangeArrowheads="1" noChangeAspect="1"/>
                          </pic:cNvPicPr>
                        </pic:nvPicPr>
                        <pic:blipFill>
                          <a:blip r:embed="rId570"/>
                          <a:stretch>
                            <a:fillRect/>
                          </a:stretch>
                        </pic:blipFill>
                        <pic:spPr bwMode="auto">
                          <a:xfrm>
                            <a:off x="0" y="0"/>
                            <a:ext cx="5969000" cy="2238375"/>
                          </a:xfrm>
                          <a:prstGeom prst="rect">
                            <a:avLst/>
                          </a:prstGeom>
                          <a:noFill/>
                          <a:ln w="9525">
                            <a:noFill/>
                            <a:headEnd/>
                            <a:tailEnd/>
                          </a:ln>
                        </pic:spPr>
                      </pic:pic>
                    </a:graphicData>
                  </a:graphic>
                </wp:inline>
              </w:drawing>
            </w:r>
          </w:p>
          <w:bookmarkEnd w:id="573"/>
        </w:tc>
      </w:tr>
    </w:tbl>
    <w:p>
      <w:pPr>
        <w:pStyle w:val="Corpsdetexte"/>
      </w:pPr>
      <w:r>
        <w:t xml:space="preserve">À Alaotra, la distribution des prix de vente du paddy montre une forte concentration des transactions autour de 1300 à 1700 Ar/kg. Le pic principal se situe approximativement autour de 1400 à 1500 Ar/kg, avec un nombre élevé de transactions enregistrées dans cette tranche. Les prix très faibles, inférieurs à 1000 Ar/kg, restent peu fréquents, tout comme les prix élevés dépassant 2000 Ar/kg. La distribution présente ainsi une concentration importante autour des valeurs moyennes, ce qui traduit une relative stabilité des prix observés sur ce marché. Quelques transactions isolées apparaissent néanmoins à des niveaux de prix plus élevés, indiquant l’existence de situations ponctuelles de vente à des tarifs supérieurs.</w:t>
      </w:r>
    </w:p>
    <w:p>
      <w:pPr>
        <w:pStyle w:val="Corpsdetexte"/>
      </w:pPr>
      <w:r>
        <w:t xml:space="preserve">À Marovoay, les transactions sont principalement regroupées entre 1200 et 1800 Ar/kg. Les fréquences les plus importantes se situent autour de 1400 à 1600 Ar/kg, où l’on observe les barres les plus élevées de l’histogramme. Les transactions à des prix très bas ou très élevés sont relativement rares, ce qui montre que la majorité des ventes s’effectue dans une fourchette de prix bien définie. La distribution reste globalement concentrée autour des valeurs centrales, avec quelques observations dispersées vers les extrémités, traduisant des variations occasionnelles des prix sur le marché local.</w:t>
      </w:r>
    </w:p>
    <w:tbl>
      <w:tblPr>
        <w:tblStyle w:val="Table"/>
        <w:tblW w:type="pct" w:w="5000"/>
        <w:tblLayout w:type="fixed"/>
        <w:tblLook w:firstRow="0" w:lastRow="0" w:firstColumn="0" w:lastColumn="0" w:noHBand="0" w:noVBand="0" w:val="0000"/>
      </w:tblPr>
      <w:tblGrid>
        <w:gridCol w:w="7920"/>
      </w:tblGrid>
      <w:tr>
        <w:tc>
          <w:tcPr/>
          <w:bookmarkStart w:id="577" w:name="fig-prix-paddy"/>
          <w:p>
            <w:pPr>
              <w:jc w:val="center"/>
            </w:pPr>
            <w:pPr>
              <w:jc w:val="left"/>
              <w:spacing w:before="200"/>
              <w:pStyle w:val="ImageCaption"/>
            </w:pPr>
            <w:r>
              <w:t xml:space="preserve">Figure 5.11: Distribution du prix de vente du paddy (Ar/kg)</w:t>
            </w:r>
          </w:p>
          <w:p>
            <w:pPr>
              <w:pStyle w:val="Compact"/>
              <w:jc w:val="center"/>
            </w:pPr>
            <w:r>
              <w:drawing>
                <wp:inline>
                  <wp:extent cx="5969000" cy="1865312"/>
                  <wp:effectExtent b="0" l="0" r="0" t="0"/>
                  <wp:docPr descr="" title="" id="575" name="Picture"/>
                  <a:graphic>
                    <a:graphicData uri="http://schemas.openxmlformats.org/drawingml/2006/picture">
                      <pic:pic>
                        <pic:nvPicPr>
                          <pic:cNvPr descr="05_agriculture_files/figure-docx/fig-prix-paddy-1.png" id="576" name="Picture"/>
                          <pic:cNvPicPr>
                            <a:picLocks noChangeArrowheads="1" noChangeAspect="1"/>
                          </pic:cNvPicPr>
                        </pic:nvPicPr>
                        <pic:blipFill>
                          <a:blip r:embed="rId574"/>
                          <a:stretch>
                            <a:fillRect/>
                          </a:stretch>
                        </pic:blipFill>
                        <pic:spPr bwMode="auto">
                          <a:xfrm>
                            <a:off x="0" y="0"/>
                            <a:ext cx="5969000" cy="1865312"/>
                          </a:xfrm>
                          <a:prstGeom prst="rect">
                            <a:avLst/>
                          </a:prstGeom>
                          <a:noFill/>
                          <a:ln w="9525">
                            <a:noFill/>
                            <a:headEnd/>
                            <a:tailEnd/>
                          </a:ln>
                        </pic:spPr>
                      </pic:pic>
                    </a:graphicData>
                  </a:graphic>
                </wp:inline>
              </w:drawing>
            </w:r>
          </w:p>
          <w:bookmarkEnd w:id="577"/>
        </w:tc>
      </w:tr>
    </w:tbl>
    <w:bookmarkEnd w:id="578"/>
    <w:bookmarkStart w:id="582"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p>
      <w:pPr>
        <w:pStyle w:val="Corpsdetexte"/>
      </w:pPr>
      <w:r>
        <w:t xml:space="preserve">L’ensemble met en évidence une organisation des flux de paddy orientée à la fois vers les besoins alimentaires du ménage et la gestion des réserves après commercialisation.</w:t>
      </w:r>
    </w:p>
    <w:p>
      <w:pPr>
        <w:pStyle w:val="Corpsdetexte"/>
      </w:pPr>
      <w:r>
        <w:t xml:space="preserve">À Alaotra, le bilan rizicole moyen par ménage montre que la production totale de paddy atteint environ 2100 kg. Une grande partie de cette production est destinée à la vente, avec près de 1218 kg commercialisés. Les ménages conservent également une part importante pour l’autoconsommation, estimée à 444 kg pour l’alimentation du ménage. Le stock restant en fin de campagne s’élève à 513 kg, ce qui traduit une capacité de conservation relativement importante. Les échanges en nature occupent aussi une place notable, avec 200 kg versés et 206 kg perçus sous forme de rente. Les autres utilisations, comme les dons, les semences ou les paiements en nature, représentent des quantités plus faibles dans l’ensemble.</w:t>
      </w:r>
    </w:p>
    <w:p>
      <w:pPr>
        <w:pStyle w:val="Corpsdetexte"/>
      </w:pPr>
      <w:r>
        <w:t xml:space="preserve">À Marovoay, la production totale moyenne par ménage est d’environ 1977 kg de paddy. Sur cette quantité, 759 kg sont vendus, tandis que 490 kg sont destinés à l’alimentation du ménage. Le stock conservé en fin de campagne atteint 626 kg, ce qui montre l’importance de la réserve constituée après récolte. Les rentes versées en nature représentent 152 kg, alors que les rentes perçues restent limitées à 17 kg. Les autres postes, notamment les dons, les achats de paddy, les semences ou les paiements en main-d’œuvre en nature, concernent des volumes relativement réduits.</w:t>
      </w:r>
    </w:p>
    <w:p>
      <w:pPr>
        <w:pStyle w:val="CaptionedFigure"/>
      </w:pPr>
      <w:r>
        <w:drawing>
          <wp:inline>
            <wp:extent cx="4620126" cy="3696101"/>
            <wp:effectExtent b="0" l="0" r="0" t="0"/>
            <wp:docPr descr="Bilan rizicole moyen par ménage (kg de paddy)" title="" id="580" name="Picture"/>
            <a:graphic>
              <a:graphicData uri="http://schemas.openxmlformats.org/drawingml/2006/picture">
                <pic:pic>
                  <pic:nvPicPr>
                    <pic:cNvPr descr="05_agriculture_files/figure-docx/fig_bilan_riz-1.png" id="581" name="Picture"/>
                    <pic:cNvPicPr>
                      <a:picLocks noChangeArrowheads="1" noChangeAspect="1"/>
                    </pic:cNvPicPr>
                  </pic:nvPicPr>
                  <pic:blipFill>
                    <a:blip r:embed="rId57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Bilan rizicole moyen par ménage (kg de paddy)</w:t>
      </w:r>
    </w:p>
    <w:bookmarkEnd w:id="582"/>
    <w:bookmarkEnd w:id="583"/>
    <w:bookmarkStart w:id="608"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Elles sont plus fréquentes à Alaotra qu’à Marovoay.</w:t>
      </w:r>
    </w:p>
    <w:p>
      <w:pPr>
        <w:pStyle w:val="Corpsdetexte"/>
      </w:pPr>
      <w:r>
        <w:t xml:space="preserve">Dans l’Alaotra, au-delà du riz, 52 % des ménages pratiquent au moins une culture non rizicole avec une prédominance des haricots..</w:t>
      </w:r>
    </w:p>
    <w:p>
      <w:pPr>
        <w:pStyle w:val="Corpsdetexte"/>
      </w:pPr>
      <w:r>
        <w:t xml:space="preserve">A Marovoay, au-delà du riz, 28.8 % des ménages pratiquent au moins une culture non rizicole avec une prédominance des maïs.</w:t>
      </w:r>
    </w:p>
    <w:tbl>
      <w:tblPr>
        <w:tblStyle w:val="Table"/>
        <w:tblW w:type="pct" w:w="5000"/>
        <w:tblLayout w:type="fixed"/>
        <w:tblLook w:firstRow="0" w:lastRow="0" w:firstColumn="0" w:lastColumn="0" w:noHBand="0" w:noVBand="0" w:val="0000"/>
      </w:tblPr>
      <w:tblGrid>
        <w:gridCol w:w="7920"/>
      </w:tblGrid>
      <w:tr>
        <w:tc>
          <w:tcPr/>
          <w:bookmarkStart w:id="584" w:name="tbl-pratique-autres"/>
          <w:p>
            <w:pPr>
              <w:jc w:val="center"/>
            </w:pPr>
            <w:pPr>
              <w:jc w:val="left"/>
              <w:spacing w:before="200"/>
              <w:pStyle w:val="ImageCaption"/>
            </w:pPr>
            <w:r>
              <w:t xml:space="preserve">Table 5.2: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584"/>
          <w:p/>
        </w:tc>
      </w:tr>
    </w:tbl>
    <w:bookmarkStart w:id="593"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À Alaotra, la majorité des ménages pratiquent un nombre limité de cultures non rizicoles. Environ 56.2 % des ménages cultivent deux cultures non rizicoles, tandis que 26.2 % en cultivent trois. Les ménages ayant quatre cultures représentent 11.6 % de l’ensemble. Au-delà de ce niveau, les proportions deviennent très faibles, avec seulement quelques ménages pratiquant cinq, six ou davantage de cultures. Cette distribution montre que les systèmes de production restent principalement concentrés sur un petit nombre de cultures complémentaires au riz, traduisant une diversification agricole modérée au sein des exploitations.</w:t>
      </w:r>
    </w:p>
    <w:p>
      <w:pPr>
        <w:pStyle w:val="Corpsdetexte"/>
      </w:pPr>
      <w:r>
        <w:t xml:space="preserve">À Marovoay, la distribution indique également une concentration des ménages autour d’un faible nombre de cultures non rizicoles. La majorité des ménages, soit environ 67.8 %, pratiquent deux cultures non rizicoles, tandis que 30.3 % en cultivent trois. Les ménages ayant un nombre plus élevé de cultures demeurent très rares, avec seulement quelques cas observés pour quatre ou six cultures. Cette structure traduit une diversification agricole relativement limitée, où les exploitations privilégient un nombre restreint de spéculations non rizicoles dans leur système de production.</w:t>
      </w:r>
    </w:p>
    <w:tbl>
      <w:tblPr>
        <w:tblStyle w:val="Table"/>
        <w:tblW w:type="pct" w:w="5000"/>
        <w:tblLayout w:type="fixed"/>
        <w:tblLook w:firstRow="0" w:lastRow="0" w:firstColumn="0" w:lastColumn="0" w:noHBand="0" w:noVBand="0" w:val="0000"/>
      </w:tblPr>
      <w:tblGrid>
        <w:gridCol w:w="7920"/>
      </w:tblGrid>
      <w:tr>
        <w:tc>
          <w:tcPr/>
          <w:bookmarkStart w:id="588" w:name="fig-diversification"/>
          <w:p>
            <w:pPr>
              <w:jc w:val="center"/>
            </w:pPr>
            <w:pPr>
              <w:jc w:val="left"/>
              <w:spacing w:before="200"/>
              <w:pStyle w:val="ImageCaption"/>
            </w:pPr>
            <w:r>
              <w:t xml:space="preserve">Figure 5.12: Nombre de cultures non rizicoles par ménage</w:t>
            </w:r>
          </w:p>
          <w:p>
            <w:pPr>
              <w:pStyle w:val="Compact"/>
              <w:jc w:val="center"/>
            </w:pPr>
            <w:r>
              <w:drawing>
                <wp:inline>
                  <wp:extent cx="5969000" cy="1865312"/>
                  <wp:effectExtent b="0" l="0" r="0" t="0"/>
                  <wp:docPr descr="" title="" id="586" name="Picture"/>
                  <a:graphic>
                    <a:graphicData uri="http://schemas.openxmlformats.org/drawingml/2006/picture">
                      <pic:pic>
                        <pic:nvPicPr>
                          <pic:cNvPr descr="05_agriculture_files/figure-docx/fig-diversification-1.png" id="587" name="Picture"/>
                          <pic:cNvPicPr>
                            <a:picLocks noChangeArrowheads="1" noChangeAspect="1"/>
                          </pic:cNvPicPr>
                        </pic:nvPicPr>
                        <pic:blipFill>
                          <a:blip r:embed="rId585"/>
                          <a:stretch>
                            <a:fillRect/>
                          </a:stretch>
                        </pic:blipFill>
                        <pic:spPr bwMode="auto">
                          <a:xfrm>
                            <a:off x="0" y="0"/>
                            <a:ext cx="5969000" cy="1865312"/>
                          </a:xfrm>
                          <a:prstGeom prst="rect">
                            <a:avLst/>
                          </a:prstGeom>
                          <a:noFill/>
                          <a:ln w="9525">
                            <a:noFill/>
                            <a:headEnd/>
                            <a:tailEnd/>
                          </a:ln>
                        </pic:spPr>
                      </pic:pic>
                    </a:graphicData>
                  </a:graphic>
                </wp:inline>
              </w:drawing>
            </w:r>
          </w:p>
          <w:bookmarkEnd w:id="588"/>
        </w:tc>
      </w:tr>
    </w:tbl>
    <w:p>
      <w:pPr>
        <w:pStyle w:val="Corpsdetexte"/>
      </w:pPr>
      <w:r>
        <w:t xml:space="preserve">A Alaotra, les cultures non rizicoles les plus pratiquées par les ménages sont principalement le haricot et l’arachide. Le haricot domine largement avec 49.4 % des ménages pratiquants, suivi de l’arachide qui concerne 30.7 % des ménages. Le voanjobory occupe également une place importante avec 7 %, tandis que le maïs représente 4 %. Les autres cultures apparaissent de manière beaucoup plus marginale, notamment le pois du Cap, le soja, la tomate, le voanemba ou encore le manioc, dont les proportions restent généralement inférieures à 2 %. Plusieurs cultures comme le concombre, le piment, la laitue ou la patate douce sont pratiquées par une très faible part des ménages, traduisant une diversification agricole limitée à certaines exploitations.</w:t>
      </w:r>
    </w:p>
    <w:p>
      <w:pPr>
        <w:pStyle w:val="Corpsdetexte"/>
      </w:pPr>
      <w:r>
        <w:t xml:space="preserve">A Marovoay, les cultures non rizicoles les plus fréquentes sont dominées par l’arachide, pratiquée par 61 % des ménages. Le haricot occupe la deuxième position avec 20.6 %, tandis que le voanjobory représente 6.6 % des ménages pratiquants. Le maïs et le pois du Cap enregistrent respectivement 3 % et 3.7 %. D’autres cultures comme le manioc, le voatabia, le melon ou encore l’oignon restent faiblement représentées avec des proportions proches ou inférieures à 2 %. Certaines cultures maraîchères et cultures de diversification ne concernent qu’une minorité très réduite de ménages, ce qui montre une présence plus ponctuelle de ces spéculations dans les systèmes de production locaux.</w:t>
      </w:r>
    </w:p>
    <w:tbl>
      <w:tblPr>
        <w:tblStyle w:val="Table"/>
        <w:tblW w:type="pct" w:w="5000"/>
        <w:tblLayout w:type="fixed"/>
        <w:tblLook w:firstRow="0" w:lastRow="0" w:firstColumn="0" w:lastColumn="0" w:noHBand="0" w:noVBand="0" w:val="0000"/>
      </w:tblPr>
      <w:tblGrid>
        <w:gridCol w:w="7920"/>
      </w:tblGrid>
      <w:tr>
        <w:tc>
          <w:tcPr/>
          <w:bookmarkStart w:id="592" w:name="fig-top-cultures"/>
          <w:p>
            <w:pPr>
              <w:jc w:val="center"/>
            </w:pPr>
            <w:pPr>
              <w:jc w:val="left"/>
              <w:spacing w:before="200"/>
              <w:pStyle w:val="ImageCaption"/>
            </w:pPr>
            <w:r>
              <w:t xml:space="preserve">Figure 5.13: Cultures non rizicoles les plus fréquentes (nb de ménages pratiquant)</w:t>
            </w:r>
          </w:p>
          <w:p>
            <w:pPr>
              <w:pStyle w:val="Compact"/>
              <w:jc w:val="center"/>
            </w:pPr>
            <w:r>
              <w:drawing>
                <wp:inline>
                  <wp:extent cx="5969000" cy="4103687"/>
                  <wp:effectExtent b="0" l="0" r="0" t="0"/>
                  <wp:docPr descr="" title="" id="590" name="Picture"/>
                  <a:graphic>
                    <a:graphicData uri="http://schemas.openxmlformats.org/drawingml/2006/picture">
                      <pic:pic>
                        <pic:nvPicPr>
                          <pic:cNvPr descr="05_agriculture_files/figure-docx/fig-top-cultures-1.png" id="591" name="Picture"/>
                          <pic:cNvPicPr>
                            <a:picLocks noChangeArrowheads="1" noChangeAspect="1"/>
                          </pic:cNvPicPr>
                        </pic:nvPicPr>
                        <pic:blipFill>
                          <a:blip r:embed="rId589"/>
                          <a:stretch>
                            <a:fillRect/>
                          </a:stretch>
                        </pic:blipFill>
                        <pic:spPr bwMode="auto">
                          <a:xfrm>
                            <a:off x="0" y="0"/>
                            <a:ext cx="5969000" cy="4103687"/>
                          </a:xfrm>
                          <a:prstGeom prst="rect">
                            <a:avLst/>
                          </a:prstGeom>
                          <a:noFill/>
                          <a:ln w="9525">
                            <a:noFill/>
                            <a:headEnd/>
                            <a:tailEnd/>
                          </a:ln>
                        </pic:spPr>
                      </pic:pic>
                    </a:graphicData>
                  </a:graphic>
                </wp:inline>
              </w:drawing>
            </w:r>
          </w:p>
          <w:bookmarkEnd w:id="592"/>
        </w:tc>
      </w:tr>
    </w:tbl>
    <w:bookmarkEnd w:id="593"/>
    <w:bookmarkStart w:id="598"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w:t>
      </w:r>
    </w:p>
    <w:p>
      <w:pPr>
        <w:pStyle w:val="Corpsdetexte"/>
      </w:pPr>
      <w:r>
        <w:t xml:space="preserve">Les pratiques de fertilisation diffèrent sensiblement entre les deux observatoires en raison de l’accessibilité et du coût des intrants.</w:t>
      </w:r>
    </w:p>
    <w:p>
      <w:pPr>
        <w:pStyle w:val="Corpsdetexte"/>
      </w:pPr>
      <w:r>
        <w:t xml:space="preserve">A Alaotra, l’utilisation d’engrais dans les parcelles de cultures non rizicoles reste relativement limitée. Plus de la moitié des parcelles, soit 54.6 %, ne reçoivent aucun apport d’engrais. Parmi les parcelles fertilisées, le fumier-compost constitue le principal type d’engrais utilisé avec 26.3 %. Les engrais chimiques sont employés dans 12.7 % des parcelles, tandis que l’association d’engrais chimique et de fumier représente 6.8 %. L’utilisation de l’aire enfouie demeure très marginale avec seulement 0.2 %. Ces résultats montrent une prédominance des pratiques sans fertilisation ou reposant sur des apports organiques dans les systèmes de production non rizicoles.</w:t>
      </w:r>
    </w:p>
    <w:p>
      <w:pPr>
        <w:pStyle w:val="Corpsdetexte"/>
      </w:pPr>
      <w:r>
        <w:t xml:space="preserve">A Marovoay, la très grande majorité des parcelles de cultures non rizicoles ne bénéficie d’aucun apport d’engrais. En effet, 91.4 % des parcelles sont exploitées sans fertilisation. Le fumier-compost est utilisé dans 7.1 % des parcelles, alors que les engrais chimiques seuls ne concernent qu’environ 1 % des parcelles. Les autres formes de fertilisation sont quasiment absentes dans cet observatoire. Cette situation traduit une faible intensité d’utilisation des intrants fertilisants dans les cultures non rizicoles pratiquées par les ménages.</w:t>
      </w:r>
    </w:p>
    <w:tbl>
      <w:tblPr>
        <w:tblStyle w:val="Table"/>
        <w:tblW w:type="pct" w:w="5000"/>
        <w:tblLayout w:type="fixed"/>
        <w:tblLook w:firstRow="0" w:lastRow="0" w:firstColumn="0" w:lastColumn="0" w:noHBand="0" w:noVBand="0" w:val="0000"/>
      </w:tblPr>
      <w:tblGrid>
        <w:gridCol w:w="7920"/>
      </w:tblGrid>
      <w:tr>
        <w:tc>
          <w:tcPr/>
          <w:bookmarkStart w:id="597" w:name="fig-engrais-autres"/>
          <w:p>
            <w:pPr>
              <w:jc w:val="center"/>
            </w:pPr>
            <w:pPr>
              <w:jc w:val="left"/>
              <w:spacing w:before="200"/>
              <w:pStyle w:val="ImageCaption"/>
            </w:pPr>
            <w:r>
              <w:t xml:space="preserve">Figure 5.14: Utilisation d’engrais sur les parcelles de cultures non rizicoles</w:t>
            </w:r>
          </w:p>
          <w:p>
            <w:pPr>
              <w:pStyle w:val="Compact"/>
              <w:jc w:val="center"/>
            </w:pPr>
            <w:r>
              <w:drawing>
                <wp:inline>
                  <wp:extent cx="5969000" cy="1865312"/>
                  <wp:effectExtent b="0" l="0" r="0" t="0"/>
                  <wp:docPr descr="" title="" id="595" name="Picture"/>
                  <a:graphic>
                    <a:graphicData uri="http://schemas.openxmlformats.org/drawingml/2006/picture">
                      <pic:pic>
                        <pic:nvPicPr>
                          <pic:cNvPr descr="05_agriculture_files/figure-docx/fig-engrais-autres-1.png" id="596" name="Picture"/>
                          <pic:cNvPicPr>
                            <a:picLocks noChangeArrowheads="1" noChangeAspect="1"/>
                          </pic:cNvPicPr>
                        </pic:nvPicPr>
                        <pic:blipFill>
                          <a:blip r:embed="rId594"/>
                          <a:stretch>
                            <a:fillRect/>
                          </a:stretch>
                        </pic:blipFill>
                        <pic:spPr bwMode="auto">
                          <a:xfrm>
                            <a:off x="0" y="0"/>
                            <a:ext cx="5969000" cy="1865312"/>
                          </a:xfrm>
                          <a:prstGeom prst="rect">
                            <a:avLst/>
                          </a:prstGeom>
                          <a:noFill/>
                          <a:ln w="9525">
                            <a:noFill/>
                            <a:headEnd/>
                            <a:tailEnd/>
                          </a:ln>
                        </pic:spPr>
                      </pic:pic>
                    </a:graphicData>
                  </a:graphic>
                </wp:inline>
              </w:drawing>
            </w:r>
          </w:p>
          <w:bookmarkEnd w:id="597"/>
        </w:tc>
      </w:tr>
    </w:tbl>
    <w:p>
      <w:pPr>
        <w:pStyle w:val="Corpsdetexte"/>
      </w:pPr>
      <w:r>
        <w:t xml:space="preserve">À Alaotra, la production et les ventes des principales cultures non rizicoles montrent une forte diversité selon les spéculations. Le haricot</w:t>
      </w:r>
      <w:r>
        <w:t xml:space="preserve"> </w:t>
      </w:r>
      <w:r>
        <w:rPr>
          <w:b/>
          <w:bCs/>
        </w:rPr>
        <w:t xml:space="preserve">«Tsaramaso»</w:t>
      </w:r>
      <w:r>
        <w:t xml:space="preserve"> </w:t>
      </w:r>
      <w:r>
        <w:t xml:space="preserve">constitue la culture la plus représentée avec 145 parcelles, une production de 105 t et un taux de vente de 62.3 %, générant une valeur de vente de 234.486 Ar. Le manioc</w:t>
      </w:r>
      <w:r>
        <w:t xml:space="preserve"> </w:t>
      </w:r>
      <w:r>
        <w:rPr>
          <w:b/>
          <w:bCs/>
        </w:rPr>
        <w:t xml:space="preserve">«Mangahazo, Bala»</w:t>
      </w:r>
      <w:r>
        <w:t xml:space="preserve"> </w:t>
      </w:r>
      <w:r>
        <w:t xml:space="preserve">affiche également une place importante avec 94 parcelles et une production de 253 t, mais seulement 27.0 % de la production est commercialisée. L’ arachide</w:t>
      </w:r>
      <w:r>
        <w:t xml:space="preserve"> </w:t>
      </w:r>
      <w:r>
        <w:rPr>
          <w:b/>
          <w:bCs/>
        </w:rPr>
        <w:t xml:space="preserve">«voanjo, kapika»</w:t>
      </w:r>
      <w:r>
        <w:t xml:space="preserve"> </w:t>
      </w:r>
      <w:r>
        <w:t xml:space="preserve">atteint un taux de vente relativement élevé de 47.8 % pour une production de 167 t, tandis que le</w:t>
      </w:r>
      <w:r>
        <w:t xml:space="preserve"> </w:t>
      </w:r>
      <w:r>
        <w:rPr>
          <w:b/>
          <w:bCs/>
        </w:rPr>
        <w:t xml:space="preserve">(vomanga, tsoman)</w:t>
      </w:r>
      <w:r>
        <w:t xml:space="preserve"> </w:t>
      </w:r>
      <w:r>
        <w:t xml:space="preserve">présente une production plus limitée de 160 t avec seulement 27.1 % vendu. Les cultures de</w:t>
      </w:r>
      <w:r>
        <w:t xml:space="preserve"> </w:t>
      </w:r>
      <w:r>
        <w:rPr>
          <w:b/>
          <w:bCs/>
        </w:rPr>
        <w:t xml:space="preserve">soja</w:t>
      </w:r>
      <w:r>
        <w:t xml:space="preserve"> </w:t>
      </w:r>
      <w:r>
        <w:t xml:space="preserve">et de</w:t>
      </w:r>
      <w:r>
        <w:t xml:space="preserve"> </w:t>
      </w:r>
      <w:r>
        <w:rPr>
          <w:b/>
          <w:bCs/>
        </w:rPr>
        <w:t xml:space="preserve">voanjobory</w:t>
      </w:r>
      <w:r>
        <w:t xml:space="preserve"> </w:t>
      </w:r>
      <w:r>
        <w:t xml:space="preserve">se distinguent par des taux de commercialisation élevés, respectivement 86.5 % et 60.8 %, ce qui traduit une forte orientation marchande de ces productions.</w:t>
      </w:r>
      <w:r>
        <w:t xml:space="preserve"> </w:t>
      </w:r>
      <w:r>
        <w:t xml:space="preserve">Certaines cultures présentent des performances commerciales particulièrement marquées. La canne à sucre</w:t>
      </w:r>
      <w:r>
        <w:t xml:space="preserve"> </w:t>
      </w:r>
      <w:r>
        <w:rPr>
          <w:b/>
          <w:bCs/>
        </w:rPr>
        <w:t xml:space="preserve">«fary»</w:t>
      </w:r>
      <w:r>
        <w:t xml:space="preserve"> </w:t>
      </w:r>
      <w:r>
        <w:t xml:space="preserve">enregistre le taux de vente le plus élevé avec 87.9 % de la production écoulée et une valeur de vente de 354.286 Ar. Le</w:t>
      </w:r>
      <w:r>
        <w:t xml:space="preserve"> </w:t>
      </w:r>
      <w:r>
        <w:rPr>
          <w:b/>
          <w:bCs/>
        </w:rPr>
        <w:t xml:space="preserve">«voanemba»</w:t>
      </w:r>
      <w:r>
        <w:t xml:space="preserve"> </w:t>
      </w:r>
      <w:r>
        <w:t xml:space="preserve">atteint également un bon niveau de commercialisation avec 69.9 % vendu, tandis que la mangue</w:t>
      </w:r>
      <w:r>
        <w:t xml:space="preserve"> </w:t>
      </w:r>
      <w:r>
        <w:rPr>
          <w:b/>
          <w:bCs/>
        </w:rPr>
        <w:t xml:space="preserve">«manga»</w:t>
      </w:r>
      <w:r>
        <w:t xml:space="preserve"> </w:t>
      </w:r>
      <w:r>
        <w:t xml:space="preserve">ne commercialise que 15.8 % de sa production malgré un volume de 410 t. Le tabac</w:t>
      </w:r>
      <w:r>
        <w:t xml:space="preserve"> </w:t>
      </w:r>
      <w:r>
        <w:rPr>
          <w:b/>
          <w:bCs/>
        </w:rPr>
        <w:t xml:space="preserve">«paraky»</w:t>
      </w:r>
      <w:r>
        <w:t xml:space="preserve"> </w:t>
      </w:r>
      <w:r>
        <w:t xml:space="preserve">affiche un taux de vente de 66.0 %, traduisant une bonne insertion sur le marché. Enfin, le maïs</w:t>
      </w:r>
      <w:r>
        <w:t xml:space="preserve"> </w:t>
      </w:r>
      <w:r>
        <w:rPr>
          <w:b/>
          <w:bCs/>
        </w:rPr>
        <w:t xml:space="preserve">«katsaka»</w:t>
      </w:r>
      <w:r>
        <w:t xml:space="preserve"> </w:t>
      </w:r>
      <w:r>
        <w:t xml:space="preserve">produit 351 t mais seulement 29.2 % de cette quantité est vendue, ce qui montre une part importante destinée à l’autoconsommation ou au stockage.</w:t>
      </w:r>
    </w:p>
    <w:p>
      <w:pPr>
        <w:pStyle w:val="Corpsdetexte"/>
      </w:pPr>
      <w:r>
        <w:t xml:space="preserve">À Marovoay, les cultures non rizicoles occupent également une place importante dans les activités agricoles. Le manioc</w:t>
      </w:r>
      <w:r>
        <w:t xml:space="preserve"> </w:t>
      </w:r>
      <w:r>
        <w:rPr>
          <w:b/>
          <w:bCs/>
        </w:rPr>
        <w:t xml:space="preserve">«bala»</w:t>
      </w:r>
      <w:r>
        <w:t xml:space="preserve"> </w:t>
      </w:r>
      <w:r>
        <w:t xml:space="preserve">représente une culture majeure avec 38 parcelles et une production de 272 t, dont 39.0 % est commercialisé. L’ arachide</w:t>
      </w:r>
      <w:r>
        <w:t xml:space="preserve"> </w:t>
      </w:r>
      <w:r>
        <w:rPr>
          <w:b/>
          <w:bCs/>
        </w:rPr>
        <w:t xml:space="preserve">«voanjo kapika»</w:t>
      </w:r>
      <w:r>
        <w:t xml:space="preserve"> </w:t>
      </w:r>
      <w:r>
        <w:t xml:space="preserve">affiche une production de 366 t et un taux de vente de 56.7 %, révélant une orientation commerciale assez soutenue. La canne à sucre</w:t>
      </w:r>
      <w:r>
        <w:t xml:space="preserve"> </w:t>
      </w:r>
      <w:r>
        <w:rPr>
          <w:b/>
          <w:bCs/>
        </w:rPr>
        <w:t xml:space="preserve">«fary»</w:t>
      </w:r>
      <w:r>
        <w:t xml:space="preserve"> </w:t>
      </w:r>
      <w:r>
        <w:t xml:space="preserve">se démarque particulièrement avec un taux de vente très élevé de 90.8 %, ce qui traduit une forte demande ou une bonne valorisation sur le marché local. Le</w:t>
      </w:r>
      <w:r>
        <w:t xml:space="preserve"> </w:t>
      </w:r>
      <w:r>
        <w:rPr>
          <w:b/>
          <w:bCs/>
        </w:rPr>
        <w:t xml:space="preserve">lojy</w:t>
      </w:r>
      <w:r>
        <w:t xml:space="preserve"> </w:t>
      </w:r>
      <w:r>
        <w:t xml:space="preserve">présente aussi un niveau de commercialisation important avec 55.7 % des productions vendues.</w:t>
      </w:r>
      <w:r>
        <w:t xml:space="preserve"> </w:t>
      </w:r>
      <w:r>
        <w:t xml:space="preserve">La culture de la patate dans l’observatoire de Marovoay se distingue par la production la plus élevée du tableau avec 7.146 t. Malgré cette quantité importante, seulement 36.7 % de la récolte est écoulé sur le marché. Cette culture génère néanmoins la valeur de vente la plus élevée, estimée à 5.260.000 Ar, ce qui montre son poids économique dans la zone. Dans l’ensemble, les données mettent en évidence des niveaux de commercialisation variables selon les cultures, certaines étant davantage destinées au marché alors que d’autres semblent principalement réservées à la consommation des ménages agricoles.</w:t>
      </w:r>
    </w:p>
    <w:bookmarkEnd w:id="598"/>
    <w:bookmarkStart w:id="607"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p>
      <w:pPr>
        <w:pStyle w:val="Corpsdetexte"/>
      </w:pPr>
      <w:r>
        <w:t xml:space="preserve">À Alaotra, la perception des rendements des cultures non rizicoles au cours de la campagne est globalement mitigée. Une part importante des producteurs considère que les rendements ont été mauvais, avec 46.7 % des pratiquants partageant cet avis. À l’inverse, 35.1 % estiment que les rendements ont été bons, tandis que seulement 2.7 % les jugent très bons. Les perceptions négatives restent néanmoins marquées, puisque 15.4 % des producteurs qualifient les rendements de très mauvais. Ces résultats traduisent des difficultés de production ressenties par une grande partie des exploitants agricoles au cours de la campagne. Par rapport à l’année précédente, les producteurs de ce grenier à riz perçoivent majoritairement une baisse des rendements. En effet, 54.3 % déclarent que les rendements ont diminué, contre 24.4 % qui observent une augmentation. Une proportion de 21.3 % considère que les rendements sont restés inchangés. Cette tendance met en évidence un sentiment général de recul des performances agricoles des cultures non rizicoles dans la zone, malgré l’existence d’une minorité de producteurs ayant constaté une amélioration.</w:t>
      </w:r>
    </w:p>
    <w:p>
      <w:pPr>
        <w:pStyle w:val="Corpsdetexte"/>
      </w:pPr>
      <w:r>
        <w:t xml:space="preserve">À Marovoay, les perceptions des producteurs concernant les rendements de la campagne sont également dominées par des appréciations négatives. La majorité des pratiquants, soit 53.0 %, juge les rendements mauvais, tandis que 26.2 % les considèrent très mauvais. Les avis positifs restent plus limités, avec 20.1 % des producteurs estimant les rendements bons et seulement 0.7 % les qualifiant de très bons. Ces données montrent que les exploitants agricoles ont majoritairement ressenti des difficultés importantes dans la production des cultures non rizicoles durant cette campagne. Concernant l’évolution des rendements par rapport à l’année précédente, les perceptions y restent principalement orientées vers une baisse. Près de la moitié des producteurs, soit 49.7 %, déclarent une diminution des rendements. Toutefois, une part importante de 41.5 % estime que les rendements sont restés inchangés, tandis que seulement 8.2 % observent une amélioration. Ces résultats traduisent une situation perçue comme relativement stable pour une partie des producteurs, mais marquée dans l’ensemble par une tendance défavorable des performances agricoles.</w:t>
      </w:r>
    </w:p>
    <w:tbl>
      <w:tblPr>
        <w:tblStyle w:val="Table"/>
        <w:tblW w:type="pct" w:w="5000"/>
        <w:tblLayout w:type="fixed"/>
        <w:tblLook w:firstRow="0" w:lastRow="0" w:firstColumn="0" w:lastColumn="0" w:noHBand="0" w:noVBand="0" w:val="0000"/>
      </w:tblPr>
      <w:tblGrid>
        <w:gridCol w:w="7920"/>
      </w:tblGrid>
      <w:tr>
        <w:tc>
          <w:tcPr/>
          <w:bookmarkStart w:id="602" w:name="fig-rendement-perception-autres"/>
          <w:p>
            <w:pPr>
              <w:jc w:val="center"/>
            </w:pPr>
            <w:pPr>
              <w:jc w:val="left"/>
              <w:spacing w:before="200"/>
              <w:pStyle w:val="ImageCaption"/>
            </w:pPr>
            <w:r>
              <w:t xml:space="preserve">Figure 5.15: Perception des rendements des cultures non rizicoles</w:t>
            </w:r>
          </w:p>
          <w:p>
            <w:pPr>
              <w:pStyle w:val="Compact"/>
              <w:jc w:val="center"/>
            </w:pPr>
            <w:r>
              <w:drawing>
                <wp:inline>
                  <wp:extent cx="5969000" cy="4263571"/>
                  <wp:effectExtent b="0" l="0" r="0" t="0"/>
                  <wp:docPr descr="" title="" id="600" name="Picture"/>
                  <a:graphic>
                    <a:graphicData uri="http://schemas.openxmlformats.org/drawingml/2006/picture">
                      <pic:pic>
                        <pic:nvPicPr>
                          <pic:cNvPr descr="05_agriculture_files/figure-docx/fig-rendement-perception-autres-1.png" id="601" name="Picture"/>
                          <pic:cNvPicPr>
                            <a:picLocks noChangeArrowheads="1" noChangeAspect="1"/>
                          </pic:cNvPicPr>
                        </pic:nvPicPr>
                        <pic:blipFill>
                          <a:blip r:embed="rId599"/>
                          <a:stretch>
                            <a:fillRect/>
                          </a:stretch>
                        </pic:blipFill>
                        <pic:spPr bwMode="auto">
                          <a:xfrm>
                            <a:off x="0" y="0"/>
                            <a:ext cx="5969000" cy="4263571"/>
                          </a:xfrm>
                          <a:prstGeom prst="rect">
                            <a:avLst/>
                          </a:prstGeom>
                          <a:noFill/>
                          <a:ln w="9525">
                            <a:noFill/>
                            <a:headEnd/>
                            <a:tailEnd/>
                          </a:ln>
                        </pic:spPr>
                      </pic:pic>
                    </a:graphicData>
                  </a:graphic>
                </wp:inline>
              </w:drawing>
            </w:r>
          </w:p>
          <w:bookmarkEnd w:id="602"/>
        </w:tc>
      </w:tr>
    </w:tbl>
    <w:tbl>
      <w:tblPr>
        <w:tblStyle w:val="Table"/>
        <w:tblW w:type="pct" w:w="5000"/>
        <w:tblLayout w:type="fixed"/>
        <w:tblLook w:firstRow="0" w:lastRow="0" w:firstColumn="0" w:lastColumn="0" w:noHBand="0" w:noVBand="0" w:val="0000"/>
      </w:tblPr>
      <w:tblGrid>
        <w:gridCol w:w="7920"/>
      </w:tblGrid>
      <w:tr>
        <w:tc>
          <w:tcPr/>
          <w:bookmarkStart w:id="606" w:name="fig-rendement-evolution-autres"/>
          <w:p>
            <w:pPr>
              <w:jc w:val="center"/>
            </w:pPr>
            <w:pPr>
              <w:jc w:val="left"/>
              <w:spacing w:before="200"/>
              <w:pStyle w:val="ImageCaption"/>
            </w:pPr>
            <w:r>
              <w:t xml:space="preserve">Figure 5.16: Évolution des rendements des cultures non rizicoles par rapport à l’an dernier</w:t>
            </w:r>
          </w:p>
          <w:p>
            <w:pPr>
              <w:pStyle w:val="Compact"/>
              <w:jc w:val="center"/>
            </w:pPr>
            <w:r>
              <w:drawing>
                <wp:inline>
                  <wp:extent cx="5969000" cy="4263571"/>
                  <wp:effectExtent b="0" l="0" r="0" t="0"/>
                  <wp:docPr descr="" title="" id="604" name="Picture"/>
                  <a:graphic>
                    <a:graphicData uri="http://schemas.openxmlformats.org/drawingml/2006/picture">
                      <pic:pic>
                        <pic:nvPicPr>
                          <pic:cNvPr descr="05_agriculture_files/figure-docx/fig-rendement-evolution-autres-1.png" id="605" name="Picture"/>
                          <pic:cNvPicPr>
                            <a:picLocks noChangeArrowheads="1" noChangeAspect="1"/>
                          </pic:cNvPicPr>
                        </pic:nvPicPr>
                        <pic:blipFill>
                          <a:blip r:embed="rId603"/>
                          <a:stretch>
                            <a:fillRect/>
                          </a:stretch>
                        </pic:blipFill>
                        <pic:spPr bwMode="auto">
                          <a:xfrm>
                            <a:off x="0" y="0"/>
                            <a:ext cx="5969000" cy="4263571"/>
                          </a:xfrm>
                          <a:prstGeom prst="rect">
                            <a:avLst/>
                          </a:prstGeom>
                          <a:noFill/>
                          <a:ln w="9525">
                            <a:noFill/>
                            <a:headEnd/>
                            <a:tailEnd/>
                          </a:ln>
                        </pic:spPr>
                      </pic:pic>
                    </a:graphicData>
                  </a:graphic>
                </wp:inline>
              </w:drawing>
            </w:r>
          </w:p>
          <w:bookmarkEnd w:id="606"/>
        </w:tc>
      </w:tr>
    </w:tbl>
    <w:bookmarkEnd w:id="607"/>
    <w:bookmarkEnd w:id="608"/>
    <w:bookmarkStart w:id="614"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p>
      <w:pPr>
        <w:pStyle w:val="Corpsdetexte"/>
      </w:pPr>
      <w:r>
        <w:t xml:space="preserve">À Alaotra, les activités de jardin potager et d’exploitation forestière occupent une place importante dans les pratiques des ménages. Le jardin potager est pratiqué par 70 % des ménages, ce qui montre une forte implication des populations dans les cultures destinées à l’alimentation familiale et parfois à la commercialisation de proximité. L’exploitation forestière concerne également plus de la moitié des ménages, avec un taux de pratique de 54 %. Cette importance accordée aux ressources forestières traduit le rôle qu’elles jouent dans les moyens d’existence des ménages.</w:t>
      </w:r>
    </w:p>
    <w:p>
      <w:pPr>
        <w:pStyle w:val="Corpsdetexte"/>
      </w:pPr>
      <w:r>
        <w:t xml:space="preserve">À Marovoay, les pratiques de jardin potager et d’exploitation forestière restent présentes mais concernent une proportion plus limitée de ménages. Le jardin potager est pratiqué par 46 % des ménages, indiquant que cette activité contribue néanmoins à l’alimentation et aux ressources domestiques d’une partie importante de la population. L’exploitation forestière touche quant à elle 36 % des ménages.</w:t>
      </w:r>
    </w:p>
    <w:tbl>
      <w:tblPr>
        <w:tblStyle w:val="Table"/>
        <w:tblW w:type="pct" w:w="5000"/>
        <w:tblLayout w:type="fixed"/>
        <w:tblLook w:firstRow="0" w:lastRow="0" w:firstColumn="0" w:lastColumn="0" w:noHBand="0" w:noVBand="0" w:val="0000"/>
      </w:tblPr>
      <w:tblGrid>
        <w:gridCol w:w="7920"/>
      </w:tblGrid>
      <w:tr>
        <w:tc>
          <w:tcPr/>
          <w:bookmarkStart w:id="609" w:name="tbl-jardin-pratique"/>
          <w:p>
            <w:pPr>
              <w:jc w:val="center"/>
            </w:pPr>
            <w:pPr>
              <w:jc w:val="left"/>
              <w:spacing w:before="200"/>
              <w:pStyle w:val="ImageCaption"/>
            </w:pPr>
            <w:r>
              <w:t xml:space="preserve">Table 5.3: Pratique du jardin potager et de la cueillette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70</w:t>
                  </w:r>
                </w:p>
              </w:tc>
              <w:tc>
                <w:tcPr/>
                <w:p>
                  <w:pPr>
                    <w:pStyle w:val="Compact"/>
                    <w:jc w:val="right"/>
                    <w:jc w:val="center"/>
                  </w:pPr>
                  <w:r>
                    <w:t xml:space="preserve">46</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54</w:t>
                  </w:r>
                </w:p>
              </w:tc>
              <w:tc>
                <w:tcPr/>
                <w:p>
                  <w:pPr>
                    <w:pStyle w:val="Compact"/>
                    <w:jc w:val="right"/>
                    <w:jc w:val="center"/>
                  </w:pPr>
                  <w:r>
                    <w:t xml:space="preserve">36</w:t>
                  </w:r>
                </w:p>
              </w:tc>
              <w:tc>
                <w:tcPr/>
                <w:p>
                  <w:pPr>
                    <w:pStyle w:val="Compact"/>
                    <w:jc w:val="right"/>
                    <w:jc w:val="center"/>
                  </w:pPr>
                  <w:r>
                    <w:t xml:space="preserve">45</w:t>
                  </w:r>
                </w:p>
              </w:tc>
            </w:tr>
          </w:tbl>
          <w:bookmarkEnd w:id="609"/>
          <w:p/>
        </w:tc>
      </w:tr>
    </w:tbl>
    <w:p>
      <w:pPr>
        <w:pStyle w:val="Corpsdetexte"/>
      </w:pPr>
      <w:r>
        <w:t xml:space="preserve">A Alaotra, les produits de jardin les plus fréquemment cueillis sont nettement dominés par le</w:t>
      </w:r>
      <w:r>
        <w:t xml:space="preserve"> </w:t>
      </w:r>
      <w:r>
        <w:rPr>
          <w:b/>
          <w:bCs/>
        </w:rPr>
        <w:t xml:space="preserve">manga</w:t>
      </w:r>
      <w:r>
        <w:t xml:space="preserve">, cité par 58.9 % des ménages. Le</w:t>
      </w:r>
      <w:r>
        <w:t xml:space="preserve"> </w:t>
      </w:r>
      <w:r>
        <w:rPr>
          <w:b/>
          <w:bCs/>
        </w:rPr>
        <w:t xml:space="preserve">voanazo hazo</w:t>
      </w:r>
      <w:r>
        <w:t xml:space="preserve"> </w:t>
      </w:r>
      <w:r>
        <w:t xml:space="preserve">occupe également une place importante avec 41.7 %, suivi par l’</w:t>
      </w:r>
      <w:r>
        <w:rPr>
          <w:b/>
          <w:bCs/>
        </w:rPr>
        <w:t xml:space="preserve">anana</w:t>
      </w:r>
      <w:r>
        <w:t xml:space="preserve"> </w:t>
      </w:r>
      <w:r>
        <w:t xml:space="preserve">à 30.4 % et le</w:t>
      </w:r>
      <w:r>
        <w:t xml:space="preserve"> </w:t>
      </w:r>
      <w:r>
        <w:rPr>
          <w:b/>
          <w:bCs/>
        </w:rPr>
        <w:t xml:space="preserve">legioma laha</w:t>
      </w:r>
      <w:r>
        <w:t xml:space="preserve"> </w:t>
      </w:r>
      <w:r>
        <w:t xml:space="preserve">à 21.7 %. Les autres produits sont mentionnés par des proportions plus modestes de ménages, notamment le</w:t>
      </w:r>
      <w:r>
        <w:t xml:space="preserve"> </w:t>
      </w:r>
      <w:r>
        <w:rPr>
          <w:b/>
          <w:bCs/>
        </w:rPr>
        <w:t xml:space="preserve">goavy</w:t>
      </w:r>
      <w:r>
        <w:t xml:space="preserve"> </w:t>
      </w:r>
      <w:r>
        <w:t xml:space="preserve">(16.6 %), le haricot vert (16.1 %) et le concombre (10.7 %). Plusieurs produits restent faiblement représentés, comme l’</w:t>
      </w:r>
      <w:r>
        <w:rPr>
          <w:b/>
          <w:bCs/>
        </w:rPr>
        <w:t xml:space="preserve">akondro fontsy</w:t>
      </w:r>
      <w:r>
        <w:t xml:space="preserve"> </w:t>
      </w:r>
      <w:r>
        <w:t xml:space="preserve">et le</w:t>
      </w:r>
      <w:r>
        <w:t xml:space="preserve"> </w:t>
      </w:r>
      <w:r>
        <w:rPr>
          <w:b/>
          <w:bCs/>
        </w:rPr>
        <w:t xml:space="preserve">paiso</w:t>
      </w:r>
      <w:r>
        <w:t xml:space="preserve">, chacun autour de 4.2 à 4.8 %, tandis que le</w:t>
      </w:r>
      <w:r>
        <w:t xml:space="preserve"> </w:t>
      </w:r>
      <w:r>
        <w:rPr>
          <w:b/>
          <w:bCs/>
        </w:rPr>
        <w:t xml:space="preserve">kozety</w:t>
      </w:r>
      <w:r>
        <w:t xml:space="preserve">, le</w:t>
      </w:r>
      <w:r>
        <w:t xml:space="preserve"> </w:t>
      </w:r>
      <w:r>
        <w:rPr>
          <w:b/>
          <w:bCs/>
        </w:rPr>
        <w:t xml:space="preserve">fary</w:t>
      </w:r>
      <w:r>
        <w:t xml:space="preserve"> </w:t>
      </w:r>
      <w:r>
        <w:t xml:space="preserve">ou encore l’</w:t>
      </w:r>
      <w:r>
        <w:rPr>
          <w:b/>
          <w:bCs/>
        </w:rPr>
        <w:t xml:space="preserve">ampalibe</w:t>
      </w:r>
      <w:r>
        <w:t xml:space="preserve"> </w:t>
      </w:r>
      <w:r>
        <w:t xml:space="preserve">sont cités par moins de 3 % des ménages.</w:t>
      </w:r>
    </w:p>
    <w:p>
      <w:pPr>
        <w:pStyle w:val="Corpsdetexte"/>
      </w:pPr>
      <w:r>
        <w:t xml:space="preserve">A Marovoay, le</w:t>
      </w:r>
      <w:r>
        <w:t xml:space="preserve"> </w:t>
      </w:r>
      <w:r>
        <w:rPr>
          <w:b/>
          <w:bCs/>
        </w:rPr>
        <w:t xml:space="preserve">manga</w:t>
      </w:r>
      <w:r>
        <w:t xml:space="preserve"> </w:t>
      </w:r>
      <w:r>
        <w:t xml:space="preserve">apparaît également comme le produit le plus fréquemment cueilli, avec 71.4 % des ménages concernés. Le deuxième produit le plus cité est l’</w:t>
      </w:r>
      <w:r>
        <w:rPr>
          <w:b/>
          <w:bCs/>
        </w:rPr>
        <w:t xml:space="preserve">anana</w:t>
      </w:r>
      <w:r>
        <w:t xml:space="preserve"> </w:t>
      </w:r>
      <w:r>
        <w:t xml:space="preserve">avec 20.2 %, tandis que le</w:t>
      </w:r>
      <w:r>
        <w:t xml:space="preserve"> </w:t>
      </w:r>
      <w:r>
        <w:rPr>
          <w:b/>
          <w:bCs/>
        </w:rPr>
        <w:t xml:space="preserve">voatavo</w:t>
      </w:r>
      <w:r>
        <w:t xml:space="preserve"> </w:t>
      </w:r>
      <w:r>
        <w:t xml:space="preserve">atteint 14.3 % et le concombre 10.9 %. Certains produits restent marginaux dans les pratiques de cueillette, notamment le</w:t>
      </w:r>
      <w:r>
        <w:t xml:space="preserve"> </w:t>
      </w:r>
      <w:r>
        <w:rPr>
          <w:b/>
          <w:bCs/>
        </w:rPr>
        <w:t xml:space="preserve">voankazo hazo</w:t>
      </w:r>
      <w:r>
        <w:t xml:space="preserve"> </w:t>
      </w:r>
      <w:r>
        <w:t xml:space="preserve">et le</w:t>
      </w:r>
      <w:r>
        <w:t xml:space="preserve"> </w:t>
      </w:r>
      <w:r>
        <w:rPr>
          <w:b/>
          <w:bCs/>
        </w:rPr>
        <w:t xml:space="preserve">legioma laha</w:t>
      </w:r>
      <w:r>
        <w:t xml:space="preserve">, qui ne dépassent pas 1.3 %. D’autres produits comme l’</w:t>
      </w:r>
      <w:r>
        <w:rPr>
          <w:b/>
          <w:bCs/>
        </w:rPr>
        <w:t xml:space="preserve">akondro fontsy</w:t>
      </w:r>
      <w:r>
        <w:t xml:space="preserve"> </w:t>
      </w:r>
      <w:r>
        <w:t xml:space="preserve">représentent 10.1 % des ménages, alors que le</w:t>
      </w:r>
      <w:r>
        <w:t xml:space="preserve"> </w:t>
      </w:r>
      <w:r>
        <w:rPr>
          <w:b/>
          <w:bCs/>
        </w:rPr>
        <w:t xml:space="preserve">kozety</w:t>
      </w:r>
      <w:r>
        <w:t xml:space="preserve">, le</w:t>
      </w:r>
      <w:r>
        <w:t xml:space="preserve"> </w:t>
      </w:r>
      <w:r>
        <w:rPr>
          <w:b/>
          <w:bCs/>
        </w:rPr>
        <w:t xml:space="preserve">fary</w:t>
      </w:r>
      <w:r>
        <w:t xml:space="preserve">, l’</w:t>
      </w:r>
      <w:r>
        <w:rPr>
          <w:b/>
          <w:bCs/>
        </w:rPr>
        <w:t xml:space="preserve">ampalibe</w:t>
      </w:r>
      <w:r>
        <w:t xml:space="preserve"> </w:t>
      </w:r>
      <w:r>
        <w:t xml:space="preserve">et le</w:t>
      </w:r>
      <w:r>
        <w:t xml:space="preserve"> </w:t>
      </w:r>
      <w:r>
        <w:rPr>
          <w:b/>
          <w:bCs/>
        </w:rPr>
        <w:t xml:space="preserve">pinakena</w:t>
      </w:r>
      <w:r>
        <w:t xml:space="preserve"> </w:t>
      </w:r>
      <w:r>
        <w:t xml:space="preserve">sont mentionnés par moins de 3 % des ménages.</w:t>
      </w:r>
    </w:p>
    <w:tbl>
      <w:tblPr>
        <w:tblStyle w:val="Table"/>
        <w:tblW w:type="pct" w:w="5000"/>
        <w:tblLayout w:type="fixed"/>
        <w:tblLook w:firstRow="0" w:lastRow="0" w:firstColumn="0" w:lastColumn="0" w:noHBand="0" w:noVBand="0" w:val="0000"/>
      </w:tblPr>
      <w:tblGrid>
        <w:gridCol w:w="7920"/>
      </w:tblGrid>
      <w:tr>
        <w:tc>
          <w:tcPr/>
          <w:bookmarkStart w:id="613" w:name="fig-top-jardin"/>
          <w:p>
            <w:pPr>
              <w:jc w:val="center"/>
            </w:pPr>
            <w:pPr>
              <w:jc w:val="left"/>
              <w:spacing w:before="200"/>
              <w:pStyle w:val="ImageCaption"/>
            </w:pPr>
            <w:r>
              <w:t xml:space="preserve">Figure 5.17: Produits de jardin / cueillette les plus fréquents</w:t>
            </w:r>
          </w:p>
          <w:p>
            <w:pPr>
              <w:pStyle w:val="Compact"/>
              <w:jc w:val="center"/>
            </w:pPr>
            <w:r>
              <w:drawing>
                <wp:inline>
                  <wp:extent cx="5969000" cy="2984500"/>
                  <wp:effectExtent b="0" l="0" r="0" t="0"/>
                  <wp:docPr descr="" title="" id="611" name="Picture"/>
                  <a:graphic>
                    <a:graphicData uri="http://schemas.openxmlformats.org/drawingml/2006/picture">
                      <pic:pic>
                        <pic:nvPicPr>
                          <pic:cNvPr descr="05_agriculture_files/figure-docx/fig-top-jardin-1.png" id="612" name="Picture"/>
                          <pic:cNvPicPr>
                            <a:picLocks noChangeArrowheads="1" noChangeAspect="1"/>
                          </pic:cNvPicPr>
                        </pic:nvPicPr>
                        <pic:blipFill>
                          <a:blip r:embed="rId610"/>
                          <a:stretch>
                            <a:fillRect/>
                          </a:stretch>
                        </pic:blipFill>
                        <pic:spPr bwMode="auto">
                          <a:xfrm>
                            <a:off x="0" y="0"/>
                            <a:ext cx="5969000" cy="2984500"/>
                          </a:xfrm>
                          <a:prstGeom prst="rect">
                            <a:avLst/>
                          </a:prstGeom>
                          <a:noFill/>
                          <a:ln w="9525">
                            <a:noFill/>
                            <a:headEnd/>
                            <a:tailEnd/>
                          </a:ln>
                        </pic:spPr>
                      </pic:pic>
                    </a:graphicData>
                  </a:graphic>
                </wp:inline>
              </w:drawing>
            </w:r>
          </w:p>
          <w:bookmarkEnd w:id="613"/>
        </w:tc>
      </w:tr>
    </w:tbl>
    <w:bookmarkEnd w:id="614"/>
    <w:bookmarkStart w:id="623"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618" w:name="fig-pratique-foret"/>
          <w:p>
            <w:pPr>
              <w:jc w:val="center"/>
            </w:pPr>
            <w:pPr>
              <w:jc w:val="left"/>
              <w:spacing w:before="200"/>
              <w:pStyle w:val="ImageCaption"/>
            </w:pPr>
            <w:r>
              <w:t xml:space="preserve">Figure 5.18: Part des ménages pratiquant l’exploitation forestière</w:t>
            </w:r>
          </w:p>
          <w:p>
            <w:pPr>
              <w:pStyle w:val="Compact"/>
              <w:jc w:val="center"/>
            </w:pPr>
            <w:r>
              <w:drawing>
                <wp:inline>
                  <wp:extent cx="5969000" cy="4263571"/>
                  <wp:effectExtent b="0" l="0" r="0" t="0"/>
                  <wp:docPr descr="" title="" id="616" name="Picture"/>
                  <a:graphic>
                    <a:graphicData uri="http://schemas.openxmlformats.org/drawingml/2006/picture">
                      <pic:pic>
                        <pic:nvPicPr>
                          <pic:cNvPr descr="05_agriculture_files/figure-docx/fig-pratique-foret-1.png" id="617" name="Picture"/>
                          <pic:cNvPicPr>
                            <a:picLocks noChangeArrowheads="1" noChangeAspect="1"/>
                          </pic:cNvPicPr>
                        </pic:nvPicPr>
                        <pic:blipFill>
                          <a:blip r:embed="rId615"/>
                          <a:stretch>
                            <a:fillRect/>
                          </a:stretch>
                        </pic:blipFill>
                        <pic:spPr bwMode="auto">
                          <a:xfrm>
                            <a:off x="0" y="0"/>
                            <a:ext cx="5969000" cy="4263571"/>
                          </a:xfrm>
                          <a:prstGeom prst="rect">
                            <a:avLst/>
                          </a:prstGeom>
                          <a:noFill/>
                          <a:ln w="9525">
                            <a:noFill/>
                            <a:headEnd/>
                            <a:tailEnd/>
                          </a:ln>
                        </pic:spPr>
                      </pic:pic>
                    </a:graphicData>
                  </a:graphic>
                </wp:inline>
              </w:drawing>
            </w:r>
          </w:p>
          <w:bookmarkEnd w:id="618"/>
        </w:tc>
      </w:tr>
    </w:tbl>
    <w:p>
      <w:pPr>
        <w:pStyle w:val="Corpsdetexte"/>
      </w:pPr>
      <w:r>
        <w:t xml:space="preserve">A Alaotra, parmi les ménages pratiquant l’exploitation forestière, les principaux produits sont très largement dominés par le</w:t>
      </w:r>
      <w:r>
        <w:t xml:space="preserve"> </w:t>
      </w:r>
      <w:r>
        <w:rPr>
          <w:b/>
          <w:bCs/>
        </w:rPr>
        <w:t xml:space="preserve">kitay</w:t>
      </w:r>
      <w:r>
        <w:t xml:space="preserve">, cité par 99.6 % d’entre eux. Le</w:t>
      </w:r>
      <w:r>
        <w:t xml:space="preserve"> </w:t>
      </w:r>
      <w:r>
        <w:rPr>
          <w:b/>
          <w:bCs/>
        </w:rPr>
        <w:t xml:space="preserve">saribao</w:t>
      </w:r>
      <w:r>
        <w:t xml:space="preserve"> </w:t>
      </w:r>
      <w:r>
        <w:t xml:space="preserve">est également presque systématiquement exploité, avec une proportion de 98.9 %, tandis que le</w:t>
      </w:r>
      <w:r>
        <w:t xml:space="preserve"> </w:t>
      </w:r>
      <w:r>
        <w:rPr>
          <w:b/>
          <w:bCs/>
        </w:rPr>
        <w:t xml:space="preserve">hazo afok’ampy</w:t>
      </w:r>
      <w:r>
        <w:t xml:space="preserve"> </w:t>
      </w:r>
      <w:r>
        <w:t xml:space="preserve">concerne 94.6 % de ces ménages. En revanche, le</w:t>
      </w:r>
      <w:r>
        <w:t xml:space="preserve"> </w:t>
      </w:r>
      <w:r>
        <w:rPr>
          <w:b/>
          <w:bCs/>
        </w:rPr>
        <w:t xml:space="preserve">hazo ampiasaina</w:t>
      </w:r>
      <w:r>
        <w:t xml:space="preserve"> </w:t>
      </w:r>
      <w:r>
        <w:t xml:space="preserve">reste très peu mentionné, avec seulement 2.9 % des ménages concernés. Ces résultats montrent que l’exploitation forestière dans cet observatoire repose essentiellement sur quelques produits largement répandus parmi les ménages exploitants.</w:t>
      </w:r>
    </w:p>
    <w:p>
      <w:pPr>
        <w:pStyle w:val="Corpsdetexte"/>
      </w:pPr>
      <w:r>
        <w:t xml:space="preserve">A Marovoay, parmi les ménages pratiquant l’exploitation forestière, le</w:t>
      </w:r>
      <w:r>
        <w:t xml:space="preserve"> </w:t>
      </w:r>
      <w:r>
        <w:rPr>
          <w:b/>
          <w:bCs/>
        </w:rPr>
        <w:t xml:space="preserve">kitay</w:t>
      </w:r>
      <w:r>
        <w:t xml:space="preserve"> </w:t>
      </w:r>
      <w:r>
        <w:t xml:space="preserve">constitue aussi le principal produit, utilisé par 99.5 % d’entre eux. Le</w:t>
      </w:r>
      <w:r>
        <w:t xml:space="preserve"> </w:t>
      </w:r>
      <w:r>
        <w:rPr>
          <w:b/>
          <w:bCs/>
        </w:rPr>
        <w:t xml:space="preserve">saribao</w:t>
      </w:r>
      <w:r>
        <w:t xml:space="preserve"> </w:t>
      </w:r>
      <w:r>
        <w:t xml:space="preserve">occupe une place tout aussi importante avec 98.9 %, alors que le</w:t>
      </w:r>
      <w:r>
        <w:t xml:space="preserve"> </w:t>
      </w:r>
      <w:r>
        <w:rPr>
          <w:b/>
          <w:bCs/>
        </w:rPr>
        <w:t xml:space="preserve">hazo afok’ampy</w:t>
      </w:r>
      <w:r>
        <w:t xml:space="preserve"> </w:t>
      </w:r>
      <w:r>
        <w:t xml:space="preserve">est mentionné par 89.9 % de ces ménages. Le</w:t>
      </w:r>
      <w:r>
        <w:t xml:space="preserve"> </w:t>
      </w:r>
      <w:r>
        <w:rPr>
          <w:b/>
          <w:bCs/>
        </w:rPr>
        <w:t xml:space="preserve">hazo ampiasaina</w:t>
      </w:r>
      <w:r>
        <w:t xml:space="preserve"> </w:t>
      </w:r>
      <w:r>
        <w:t xml:space="preserve">demeure marginal, avec une fréquence de seulement 6.4 %. L’exploitation forestière dans cet observatoire se caractérise ainsi par une forte concentration autour des produits énergétiques et du bois de chauffage.</w:t>
      </w:r>
    </w:p>
    <w:tbl>
      <w:tblPr>
        <w:tblStyle w:val="Table"/>
        <w:tblW w:type="pct" w:w="5000"/>
        <w:tblLayout w:type="fixed"/>
        <w:tblLook w:firstRow="0" w:lastRow="0" w:firstColumn="0" w:lastColumn="0" w:noHBand="0" w:noVBand="0" w:val="0000"/>
      </w:tblPr>
      <w:tblGrid>
        <w:gridCol w:w="7920"/>
      </w:tblGrid>
      <w:tr>
        <w:tc>
          <w:tcPr/>
          <w:bookmarkStart w:id="622" w:name="fig-produits-foret"/>
          <w:p>
            <w:pPr>
              <w:jc w:val="center"/>
            </w:pPr>
            <w:pPr>
              <w:jc w:val="left"/>
              <w:spacing w:before="200"/>
              <w:pStyle w:val="ImageCaption"/>
            </w:pPr>
            <w:r>
              <w:t xml:space="preserve">Figure 5.19: Principaux produits de l’exploitation forestière (% des ménages pratiquant l’exploitation forestière)</w:t>
            </w:r>
          </w:p>
          <w:p>
            <w:pPr>
              <w:pStyle w:val="Compact"/>
              <w:jc w:val="center"/>
            </w:pPr>
            <w:r>
              <w:drawing>
                <wp:inline>
                  <wp:extent cx="5969000" cy="1492250"/>
                  <wp:effectExtent b="0" l="0" r="0" t="0"/>
                  <wp:docPr descr="" title="" id="620" name="Picture"/>
                  <a:graphic>
                    <a:graphicData uri="http://schemas.openxmlformats.org/drawingml/2006/picture">
                      <pic:pic>
                        <pic:nvPicPr>
                          <pic:cNvPr descr="05_agriculture_files/figure-docx/fig-produits-foret-1.png" id="621" name="Picture"/>
                          <pic:cNvPicPr>
                            <a:picLocks noChangeArrowheads="1" noChangeAspect="1"/>
                          </pic:cNvPicPr>
                        </pic:nvPicPr>
                        <pic:blipFill>
                          <a:blip r:embed="rId619"/>
                          <a:stretch>
                            <a:fillRect/>
                          </a:stretch>
                        </pic:blipFill>
                        <pic:spPr bwMode="auto">
                          <a:xfrm>
                            <a:off x="0" y="0"/>
                            <a:ext cx="5969000" cy="1492250"/>
                          </a:xfrm>
                          <a:prstGeom prst="rect">
                            <a:avLst/>
                          </a:prstGeom>
                          <a:noFill/>
                          <a:ln w="9525">
                            <a:noFill/>
                            <a:headEnd/>
                            <a:tailEnd/>
                          </a:ln>
                        </pic:spPr>
                      </pic:pic>
                    </a:graphicData>
                  </a:graphic>
                </wp:inline>
              </w:drawing>
            </w:r>
          </w:p>
          <w:bookmarkEnd w:id="622"/>
        </w:tc>
      </w:tr>
    </w:tbl>
    <w:bookmarkEnd w:id="623"/>
    <w:bookmarkEnd w:id="624"/>
    <w:bookmarkStart w:id="647" w:name="sec-elevage"/>
    <w:p>
      <w:pPr>
        <w:pStyle w:val="Titre2"/>
      </w:pPr>
      <w:r>
        <w:t xml:space="preserve">5.2 Élevage</w:t>
      </w:r>
    </w:p>
    <w:bookmarkStart w:id="626"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Dans l’Alaotra, L’élevage est pratiqué par 65.4 % des ménages.</w:t>
      </w:r>
    </w:p>
    <w:p>
      <w:pPr>
        <w:pStyle w:val="Corpsdetexte"/>
      </w:pPr>
      <w:r>
        <w:t xml:space="preserve">A Marovoay, L’élevage est pratiqué par 72.3 % des ménages.</w:t>
      </w:r>
    </w:p>
    <w:tbl>
      <w:tblPr>
        <w:tblStyle w:val="Table"/>
        <w:tblW w:type="pct" w:w="5000"/>
        <w:tblLayout w:type="fixed"/>
        <w:tblLook w:firstRow="0" w:lastRow="0" w:firstColumn="0" w:lastColumn="0" w:noHBand="0" w:noVBand="0" w:val="0000"/>
      </w:tblPr>
      <w:tblGrid>
        <w:gridCol w:w="7920"/>
      </w:tblGrid>
      <w:tr>
        <w:tc>
          <w:tcPr/>
          <w:bookmarkStart w:id="625" w:name="tbl-elevage-pratique"/>
          <w:p>
            <w:pPr>
              <w:jc w:val="center"/>
            </w:pPr>
            <w:pPr>
              <w:jc w:val="left"/>
              <w:spacing w:before="200"/>
              <w:pStyle w:val="ImageCaption"/>
            </w:pPr>
            <w:r>
              <w:t xml:space="preserve">Table 5.4: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625"/>
          <w:p/>
        </w:tc>
      </w:tr>
    </w:tbl>
    <w:bookmarkEnd w:id="626"/>
    <w:bookmarkStart w:id="631"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A Alaotra, l’espèce la plus fréquemment élevée parmi les ménages pratiquant l’élevage est l’</w:t>
      </w:r>
      <w:r>
        <w:rPr>
          <w:b/>
          <w:bCs/>
        </w:rPr>
        <w:t xml:space="preserve">akoho</w:t>
      </w:r>
      <w:r>
        <w:t xml:space="preserve">, présente chez 69.2 % d’entre eux. Les</w:t>
      </w:r>
      <w:r>
        <w:t xml:space="preserve"> </w:t>
      </w:r>
      <w:r>
        <w:rPr>
          <w:b/>
          <w:bCs/>
        </w:rPr>
        <w:t xml:space="preserve">kisoa</w:t>
      </w:r>
      <w:r>
        <w:t xml:space="preserve"> </w:t>
      </w:r>
      <w:r>
        <w:t xml:space="preserve">arrivent ensuite avec 29.6 %, suivis des</w:t>
      </w:r>
      <w:r>
        <w:t xml:space="preserve"> </w:t>
      </w:r>
      <w:r>
        <w:rPr>
          <w:b/>
          <w:bCs/>
        </w:rPr>
        <w:t xml:space="preserve">gisa</w:t>
      </w:r>
      <w:r>
        <w:t xml:space="preserve"> </w:t>
      </w:r>
      <w:r>
        <w:t xml:space="preserve">(22.4 %) et des</w:t>
      </w:r>
      <w:r>
        <w:t xml:space="preserve"> </w:t>
      </w:r>
      <w:r>
        <w:rPr>
          <w:b/>
          <w:bCs/>
        </w:rPr>
        <w:t xml:space="preserve">gana</w:t>
      </w:r>
      <w:r>
        <w:t xml:space="preserve"> </w:t>
      </w:r>
      <w:r>
        <w:t xml:space="preserve">(16.9 %). Les bovins restent moins répandus, avec 14.8 % pour les</w:t>
      </w:r>
      <w:r>
        <w:t xml:space="preserve"> </w:t>
      </w:r>
      <w:r>
        <w:rPr>
          <w:b/>
          <w:bCs/>
        </w:rPr>
        <w:t xml:space="preserve">omby miasa</w:t>
      </w:r>
      <w:r>
        <w:t xml:space="preserve">, 11.8 % pour les</w:t>
      </w:r>
      <w:r>
        <w:t xml:space="preserve"> </w:t>
      </w:r>
      <w:r>
        <w:rPr>
          <w:b/>
          <w:bCs/>
        </w:rPr>
        <w:t xml:space="preserve">omby vavy</w:t>
      </w:r>
      <w:r>
        <w:t xml:space="preserve"> </w:t>
      </w:r>
      <w:r>
        <w:t xml:space="preserve">et 7.3 % pour les</w:t>
      </w:r>
      <w:r>
        <w:t xml:space="preserve"> </w:t>
      </w:r>
      <w:r>
        <w:rPr>
          <w:b/>
          <w:bCs/>
        </w:rPr>
        <w:t xml:space="preserve">omby hafa</w:t>
      </w:r>
      <w:r>
        <w:t xml:space="preserve">. Les</w:t>
      </w:r>
      <w:r>
        <w:t xml:space="preserve"> </w:t>
      </w:r>
      <w:r>
        <w:rPr>
          <w:b/>
          <w:bCs/>
        </w:rPr>
        <w:t xml:space="preserve">ondry</w:t>
      </w:r>
      <w:r>
        <w:t xml:space="preserve"> </w:t>
      </w:r>
      <w:r>
        <w:t xml:space="preserve">concernent 4.8 % des ménages pratiquants, tandis que le</w:t>
      </w:r>
      <w:r>
        <w:t xml:space="preserve"> </w:t>
      </w:r>
      <w:r>
        <w:rPr>
          <w:b/>
          <w:bCs/>
        </w:rPr>
        <w:t xml:space="preserve">voron-tsiloza</w:t>
      </w:r>
      <w:r>
        <w:t xml:space="preserve"> </w:t>
      </w:r>
      <w:r>
        <w:t xml:space="preserve">demeure marginal avec 1.2 %. Les</w:t>
      </w:r>
      <w:r>
        <w:t xml:space="preserve"> </w:t>
      </w:r>
      <w:r>
        <w:rPr>
          <w:b/>
          <w:bCs/>
        </w:rPr>
        <w:t xml:space="preserve">osy</w:t>
      </w:r>
      <w:r>
        <w:t xml:space="preserve"> </w:t>
      </w:r>
      <w:r>
        <w:t xml:space="preserve">et le</w:t>
      </w:r>
      <w:r>
        <w:t xml:space="preserve"> </w:t>
      </w:r>
      <w:r>
        <w:rPr>
          <w:b/>
          <w:bCs/>
        </w:rPr>
        <w:t xml:space="preserve">trondro</w:t>
      </w:r>
      <w:r>
        <w:t xml:space="preserve"> </w:t>
      </w:r>
      <w:r>
        <w:t xml:space="preserve">sont absents des déclarations dans cet observatoire.</w:t>
      </w:r>
    </w:p>
    <w:p>
      <w:pPr>
        <w:pStyle w:val="Corpsdetexte"/>
      </w:pPr>
      <w:r>
        <w:t xml:space="preserve">A Marovoay, l’</w:t>
      </w:r>
      <w:r>
        <w:rPr>
          <w:b/>
          <w:bCs/>
        </w:rPr>
        <w:t xml:space="preserve">akoho</w:t>
      </w:r>
      <w:r>
        <w:t xml:space="preserve"> </w:t>
      </w:r>
      <w:r>
        <w:t xml:space="preserve">est également l’espèce la plus fréquemment élevée parmi les ménages pratiquants, avec 53.5 %. Les</w:t>
      </w:r>
      <w:r>
        <w:t xml:space="preserve"> </w:t>
      </w:r>
      <w:r>
        <w:rPr>
          <w:b/>
          <w:bCs/>
        </w:rPr>
        <w:t xml:space="preserve">gana</w:t>
      </w:r>
      <w:r>
        <w:t xml:space="preserve"> </w:t>
      </w:r>
      <w:r>
        <w:t xml:space="preserve">occupent la deuxième position avec 44.7 %, suivis des</w:t>
      </w:r>
      <w:r>
        <w:t xml:space="preserve"> </w:t>
      </w:r>
      <w:r>
        <w:rPr>
          <w:b/>
          <w:bCs/>
        </w:rPr>
        <w:t xml:space="preserve">omby miasa</w:t>
      </w:r>
      <w:r>
        <w:t xml:space="preserve"> </w:t>
      </w:r>
      <w:r>
        <w:t xml:space="preserve">(36.1 %) et des</w:t>
      </w:r>
      <w:r>
        <w:t xml:space="preserve"> </w:t>
      </w:r>
      <w:r>
        <w:rPr>
          <w:b/>
          <w:bCs/>
        </w:rPr>
        <w:t xml:space="preserve">kisoa</w:t>
      </w:r>
      <w:r>
        <w:t xml:space="preserve"> </w:t>
      </w:r>
      <w:r>
        <w:t xml:space="preserve">(27.3 %). Les</w:t>
      </w:r>
      <w:r>
        <w:t xml:space="preserve"> </w:t>
      </w:r>
      <w:r>
        <w:rPr>
          <w:b/>
          <w:bCs/>
        </w:rPr>
        <w:t xml:space="preserve">omby vavy</w:t>
      </w:r>
      <w:r>
        <w:t xml:space="preserve"> </w:t>
      </w:r>
      <w:r>
        <w:t xml:space="preserve">concernent 19.0 % des ménages pratiquants, tandis que les</w:t>
      </w:r>
      <w:r>
        <w:t xml:space="preserve"> </w:t>
      </w:r>
      <w:r>
        <w:rPr>
          <w:b/>
          <w:bCs/>
        </w:rPr>
        <w:t xml:space="preserve">omby hafa</w:t>
      </w:r>
      <w:r>
        <w:t xml:space="preserve"> </w:t>
      </w:r>
      <w:r>
        <w:t xml:space="preserve">représentent 12.8 % et les</w:t>
      </w:r>
      <w:r>
        <w:t xml:space="preserve"> </w:t>
      </w:r>
      <w:r>
        <w:rPr>
          <w:b/>
          <w:bCs/>
        </w:rPr>
        <w:t xml:space="preserve">ondry</w:t>
      </w:r>
      <w:r>
        <w:t xml:space="preserve"> </w:t>
      </w:r>
      <w:r>
        <w:t xml:space="preserve">7.5 %. Les autres espèces restent marginales, notamment les</w:t>
      </w:r>
      <w:r>
        <w:t xml:space="preserve"> </w:t>
      </w:r>
      <w:r>
        <w:rPr>
          <w:b/>
          <w:bCs/>
        </w:rPr>
        <w:t xml:space="preserve">gisa</w:t>
      </w:r>
      <w:r>
        <w:t xml:space="preserve"> </w:t>
      </w:r>
      <w:r>
        <w:t xml:space="preserve">(2.4 %), les</w:t>
      </w:r>
      <w:r>
        <w:t xml:space="preserve"> </w:t>
      </w:r>
      <w:r>
        <w:rPr>
          <w:b/>
          <w:bCs/>
        </w:rPr>
        <w:t xml:space="preserve">voron-tsiloza</w:t>
      </w:r>
      <w:r>
        <w:t xml:space="preserve"> </w:t>
      </w:r>
      <w:r>
        <w:t xml:space="preserve">(2.1 %) et les</w:t>
      </w:r>
      <w:r>
        <w:t xml:space="preserve"> </w:t>
      </w:r>
      <w:r>
        <w:rPr>
          <w:b/>
          <w:bCs/>
        </w:rPr>
        <w:t xml:space="preserve">osy</w:t>
      </w:r>
      <w:r>
        <w:t xml:space="preserve"> </w:t>
      </w:r>
      <w:r>
        <w:t xml:space="preserve">(1.3 %). Le</w:t>
      </w:r>
      <w:r>
        <w:t xml:space="preserve"> </w:t>
      </w:r>
      <w:r>
        <w:rPr>
          <w:b/>
          <w:bCs/>
        </w:rPr>
        <w:t xml:space="preserve">trondro</w:t>
      </w:r>
      <w:r>
        <w:t xml:space="preserve"> </w:t>
      </w:r>
      <w:r>
        <w:t xml:space="preserve">n’est pas déclaré dans cet observatoire.</w:t>
      </w:r>
    </w:p>
    <w:tbl>
      <w:tblPr>
        <w:tblStyle w:val="Table"/>
        <w:tblW w:type="pct" w:w="5000"/>
        <w:tblLayout w:type="fixed"/>
        <w:tblLook w:firstRow="0" w:lastRow="0" w:firstColumn="0" w:lastColumn="0" w:noHBand="0" w:noVBand="0" w:val="0000"/>
      </w:tblPr>
      <w:tblGrid>
        <w:gridCol w:w="7920"/>
      </w:tblGrid>
      <w:tr>
        <w:tc>
          <w:tcPr/>
          <w:bookmarkStart w:id="630" w:name="fig-especes-elevage"/>
          <w:p>
            <w:pPr>
              <w:jc w:val="center"/>
            </w:pPr>
            <w:pPr>
              <w:jc w:val="left"/>
              <w:spacing w:before="200"/>
              <w:pStyle w:val="ImageCaption"/>
            </w:pPr>
            <w:r>
              <w:t xml:space="preserve">Figure 5.20: Espèces élevées (% des ménages pratiquant)</w:t>
            </w:r>
          </w:p>
          <w:p>
            <w:pPr>
              <w:pStyle w:val="Compact"/>
              <w:jc w:val="center"/>
            </w:pPr>
            <w:r>
              <w:drawing>
                <wp:inline>
                  <wp:extent cx="5969000" cy="1865312"/>
                  <wp:effectExtent b="0" l="0" r="0" t="0"/>
                  <wp:docPr descr="" title="" id="628" name="Picture"/>
                  <a:graphic>
                    <a:graphicData uri="http://schemas.openxmlformats.org/drawingml/2006/picture">
                      <pic:pic>
                        <pic:nvPicPr>
                          <pic:cNvPr descr="05_agriculture_files/figure-docx/fig-especes-elevage-1.png" id="629" name="Picture"/>
                          <pic:cNvPicPr>
                            <a:picLocks noChangeArrowheads="1" noChangeAspect="1"/>
                          </pic:cNvPicPr>
                        </pic:nvPicPr>
                        <pic:blipFill>
                          <a:blip r:embed="rId627"/>
                          <a:stretch>
                            <a:fillRect/>
                          </a:stretch>
                        </pic:blipFill>
                        <pic:spPr bwMode="auto">
                          <a:xfrm>
                            <a:off x="0" y="0"/>
                            <a:ext cx="5969000" cy="1865312"/>
                          </a:xfrm>
                          <a:prstGeom prst="rect">
                            <a:avLst/>
                          </a:prstGeom>
                          <a:noFill/>
                          <a:ln w="9525">
                            <a:noFill/>
                            <a:headEnd/>
                            <a:tailEnd/>
                          </a:ln>
                        </pic:spPr>
                      </pic:pic>
                    </a:graphicData>
                  </a:graphic>
                </wp:inline>
              </w:drawing>
            </w:r>
          </w:p>
          <w:bookmarkEnd w:id="630"/>
        </w:tc>
      </w:tr>
    </w:tbl>
    <w:bookmarkEnd w:id="631"/>
    <w:bookmarkStart w:id="636"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p>
      <w:pPr>
        <w:pStyle w:val="Corpsdetexte"/>
      </w:pPr>
      <w:r>
        <w:t xml:space="preserve">L’épargne/assurance est le motif principal pour les bovidés, tandis que la vente domine pour les porcs et la consommation pour la volaille.</w:t>
      </w:r>
    </w:p>
    <w:p>
      <w:pPr>
        <w:pStyle w:val="Corpsdetexte"/>
      </w:pPr>
      <w:r>
        <w:t xml:space="preserve">L’épargne/assurance est la modalité qui présente globalement les proportions les plus élevées dans la majorité des observatoires. Elle dépasse souvent 50.0 % des ménages éleveurs et atteint même plus de 80.0 % à Omby Hafa (83.4 %), Omby Miasa (81.0 %) et Omby Vavy (79.8 %). Cela montre que cette fonction constitue l’objectif prioritaire de l’élevage pour la plupart des ménages.</w:t>
      </w:r>
    </w:p>
    <w:p>
      <w:pPr>
        <w:pStyle w:val="Corpsdetexte"/>
      </w:pPr>
      <w:r>
        <w:t xml:space="preserve">La vente occupe généralement la deuxième position. Les proportions varient entre 13.9 % et 41.0 %, avec les valeurs les plus fortes observées à Kisoa (41.0 %), Gisa (39.8 %) et Osy (38.7 %). Cette modalité reste donc importante, mais elle demeure inférieure à l’épargne/assurance dans la plupart des cas.</w:t>
      </w:r>
    </w:p>
    <w:p>
      <w:pPr>
        <w:pStyle w:val="Corpsdetexte"/>
      </w:pPr>
      <w:r>
        <w:t xml:space="preserve">L’autoconsommation représente enfin la modalité la moins importante dans presque tous les observatoires. Les proportions sont souvent inférieures à 10.0 %, notamment à Kisoa et Omby Hafa (2.7 %). Les niveaux les plus élevés sont enregistrés à Gisa (25.1 %) et Akobo (25.0 %), mais cette modalité reste globalement secondaire par rapport aux deux autres objectifs.</w:t>
      </w:r>
    </w:p>
    <w:tbl>
      <w:tblPr>
        <w:tblStyle w:val="Table"/>
        <w:tblW w:type="pct" w:w="5000"/>
        <w:tblLayout w:type="fixed"/>
        <w:tblLook w:firstRow="0" w:lastRow="0" w:firstColumn="0" w:lastColumn="0" w:noHBand="0" w:noVBand="0" w:val="0000"/>
      </w:tblPr>
      <w:tblGrid>
        <w:gridCol w:w="7920"/>
      </w:tblGrid>
      <w:tr>
        <w:tc>
          <w:tcPr/>
          <w:bookmarkStart w:id="635" w:name="fig-objectifs-elevage"/>
          <w:p>
            <w:pPr>
              <w:jc w:val="center"/>
            </w:pPr>
            <w:pPr>
              <w:jc w:val="left"/>
              <w:spacing w:before="200"/>
              <w:pStyle w:val="ImageCaption"/>
            </w:pPr>
            <w:r>
              <w:t xml:space="preserve">Figure 5.21: Objectifs de l’élevage par espèce (% des ménages éleveurs)</w:t>
            </w:r>
          </w:p>
          <w:p>
            <w:pPr>
              <w:pStyle w:val="Compact"/>
              <w:jc w:val="center"/>
            </w:pPr>
            <w:r>
              <w:drawing>
                <wp:inline>
                  <wp:extent cx="5969000" cy="1865312"/>
                  <wp:effectExtent b="0" l="0" r="0" t="0"/>
                  <wp:docPr descr="" title="" id="633" name="Picture"/>
                  <a:graphic>
                    <a:graphicData uri="http://schemas.openxmlformats.org/drawingml/2006/picture">
                      <pic:pic>
                        <pic:nvPicPr>
                          <pic:cNvPr descr="05_agriculture_files/figure-docx/fig-objectifs-elevage-1.png" id="634" name="Picture"/>
                          <pic:cNvPicPr>
                            <a:picLocks noChangeArrowheads="1" noChangeAspect="1"/>
                          </pic:cNvPicPr>
                        </pic:nvPicPr>
                        <pic:blipFill>
                          <a:blip r:embed="rId632"/>
                          <a:stretch>
                            <a:fillRect/>
                          </a:stretch>
                        </pic:blipFill>
                        <pic:spPr bwMode="auto">
                          <a:xfrm>
                            <a:off x="0" y="0"/>
                            <a:ext cx="5969000" cy="1865312"/>
                          </a:xfrm>
                          <a:prstGeom prst="rect">
                            <a:avLst/>
                          </a:prstGeom>
                          <a:noFill/>
                          <a:ln w="9525">
                            <a:noFill/>
                            <a:headEnd/>
                            <a:tailEnd/>
                          </a:ln>
                        </pic:spPr>
                      </pic:pic>
                    </a:graphicData>
                  </a:graphic>
                </wp:inline>
              </w:drawing>
            </w:r>
          </w:p>
          <w:bookmarkEnd w:id="635"/>
        </w:tc>
      </w:tr>
    </w:tbl>
    <w:bookmarkEnd w:id="636"/>
    <w:bookmarkStart w:id="642"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p>
      <w:pPr>
        <w:pStyle w:val="Corpsdetexte"/>
      </w:pPr>
      <w:r>
        <w:t xml:space="preserve">La volaille (Akoho) subit les pertes les plus massives dans les deux observatoires.</w:t>
      </w:r>
    </w:p>
    <w:p>
      <w:pPr>
        <w:pStyle w:val="Corpsdetexte"/>
      </w:pPr>
      <w:r>
        <w:t xml:space="preserve">A Alaotra, les ventes concernent principalement les</w:t>
      </w:r>
      <w:r>
        <w:t xml:space="preserve"> </w:t>
      </w:r>
      <w:r>
        <w:rPr>
          <w:b/>
          <w:bCs/>
        </w:rPr>
        <w:t xml:space="preserve">Gisa</w:t>
      </w:r>
      <w:r>
        <w:t xml:space="preserve">, avec 269 animaux vendus pour une valeur totale d’environ 89,771 Ar. Les</w:t>
      </w:r>
      <w:r>
        <w:t xml:space="preserve"> </w:t>
      </w:r>
      <w:r>
        <w:rPr>
          <w:b/>
          <w:bCs/>
        </w:rPr>
        <w:t xml:space="preserve">Akoho</w:t>
      </w:r>
      <w:r>
        <w:t xml:space="preserve"> </w:t>
      </w:r>
      <w:r>
        <w:t xml:space="preserve">occupent la deuxième position avec 948 animaux vendus et une valeur de 22,055 Ar, suivis des</w:t>
      </w:r>
      <w:r>
        <w:t xml:space="preserve"> </w:t>
      </w:r>
      <w:r>
        <w:rPr>
          <w:b/>
          <w:bCs/>
        </w:rPr>
        <w:t xml:space="preserve">Kisoa</w:t>
      </w:r>
      <w:r>
        <w:t xml:space="preserve"> </w:t>
      </w:r>
      <w:r>
        <w:t xml:space="preserve">avec 80 animaux et 25,625 Ar. Les</w:t>
      </w:r>
      <w:r>
        <w:t xml:space="preserve"> </w:t>
      </w:r>
      <w:r>
        <w:rPr>
          <w:b/>
          <w:bCs/>
        </w:rPr>
        <w:t xml:space="preserve">Gana</w:t>
      </w:r>
      <w:r>
        <w:t xml:space="preserve"> </w:t>
      </w:r>
      <w:r>
        <w:t xml:space="preserve">représentent 341 animaux vendus pour une valeur de 6,763 Ar. Les autres espèces enregistrent des niveaux plus faibles, notamment les</w:t>
      </w:r>
      <w:r>
        <w:t xml:space="preserve"> </w:t>
      </w:r>
      <w:r>
        <w:rPr>
          <w:b/>
          <w:bCs/>
        </w:rPr>
        <w:t xml:space="preserve">Ondry</w:t>
      </w:r>
      <w:r>
        <w:t xml:space="preserve"> </w:t>
      </w:r>
      <w:r>
        <w:t xml:space="preserve">avec 33 animaux et 3,936 Ar, les</w:t>
      </w:r>
      <w:r>
        <w:t xml:space="preserve"> </w:t>
      </w:r>
      <w:r>
        <w:rPr>
          <w:b/>
          <w:bCs/>
        </w:rPr>
        <w:t xml:space="preserve">Omby Miasa</w:t>
      </w:r>
      <w:r>
        <w:t xml:space="preserve"> </w:t>
      </w:r>
      <w:r>
        <w:t xml:space="preserve">avec 7 animaux et 9,930 Ar, les</w:t>
      </w:r>
      <w:r>
        <w:t xml:space="preserve"> </w:t>
      </w:r>
      <w:r>
        <w:rPr>
          <w:b/>
          <w:bCs/>
        </w:rPr>
        <w:t xml:space="preserve">Omby Vavy</w:t>
      </w:r>
      <w:r>
        <w:t xml:space="preserve"> </w:t>
      </w:r>
      <w:r>
        <w:t xml:space="preserve">avec 3 animaux et 2,580 Ar, les</w:t>
      </w:r>
      <w:r>
        <w:t xml:space="preserve"> </w:t>
      </w:r>
      <w:r>
        <w:rPr>
          <w:b/>
          <w:bCs/>
        </w:rPr>
        <w:t xml:space="preserve">Omby Hafa</w:t>
      </w:r>
      <w:r>
        <w:t xml:space="preserve"> </w:t>
      </w:r>
      <w:r>
        <w:t xml:space="preserve">avec 2 animaux et 1,550 Ar, ainsi que les</w:t>
      </w:r>
      <w:r>
        <w:t xml:space="preserve"> </w:t>
      </w:r>
      <w:r>
        <w:rPr>
          <w:b/>
          <w:bCs/>
        </w:rPr>
        <w:t xml:space="preserve">Voron-Tsilozà</w:t>
      </w:r>
      <w:r>
        <w:t xml:space="preserve"> </w:t>
      </w:r>
      <w:r>
        <w:t xml:space="preserve">avec 25 animaux et 1,875 Ar. Les transactions sont particulièrement nombreuses pour les</w:t>
      </w:r>
      <w:r>
        <w:t xml:space="preserve"> </w:t>
      </w:r>
      <w:r>
        <w:rPr>
          <w:b/>
          <w:bCs/>
        </w:rPr>
        <w:t xml:space="preserve">Akoho</w:t>
      </w:r>
      <w:r>
        <w:t xml:space="preserve"> </w:t>
      </w:r>
      <w:r>
        <w:t xml:space="preserve">avec 112 transactions, suivis des</w:t>
      </w:r>
      <w:r>
        <w:t xml:space="preserve"> </w:t>
      </w:r>
      <w:r>
        <w:rPr>
          <w:b/>
          <w:bCs/>
        </w:rPr>
        <w:t xml:space="preserve">Kisoa</w:t>
      </w:r>
      <w:r>
        <w:t xml:space="preserve"> </w:t>
      </w:r>
      <w:r>
        <w:t xml:space="preserve">avec 50 transactions et des</w:t>
      </w:r>
      <w:r>
        <w:t xml:space="preserve"> </w:t>
      </w:r>
      <w:r>
        <w:rPr>
          <w:b/>
          <w:bCs/>
        </w:rPr>
        <w:t xml:space="preserve">Gisa</w:t>
      </w:r>
      <w:r>
        <w:t xml:space="preserve"> </w:t>
      </w:r>
      <w:r>
        <w:t xml:space="preserve">avec 29 transactions.</w:t>
      </w:r>
    </w:p>
    <w:p>
      <w:pPr>
        <w:pStyle w:val="Corpsdetexte"/>
      </w:pPr>
      <w:r>
        <w:t xml:space="preserve">A Marovoay, les ventes sont dominées par les</w:t>
      </w:r>
      <w:r>
        <w:t xml:space="preserve"> </w:t>
      </w:r>
      <w:r>
        <w:rPr>
          <w:b/>
          <w:bCs/>
        </w:rPr>
        <w:t xml:space="preserve">Gana</w:t>
      </w:r>
      <w:r>
        <w:t xml:space="preserve"> </w:t>
      </w:r>
      <w:r>
        <w:t xml:space="preserve">avec 1,319 animaux vendus pour une valeur totale de 19,398 Ar. Les</w:t>
      </w:r>
      <w:r>
        <w:t xml:space="preserve"> </w:t>
      </w:r>
      <w:r>
        <w:rPr>
          <w:b/>
          <w:bCs/>
        </w:rPr>
        <w:t xml:space="preserve">Akoho</w:t>
      </w:r>
      <w:r>
        <w:t xml:space="preserve"> </w:t>
      </w:r>
      <w:r>
        <w:t xml:space="preserve">arrivent ensuite avec 778 animaux et 60,200 Ar, tandis que les</w:t>
      </w:r>
      <w:r>
        <w:t xml:space="preserve"> </w:t>
      </w:r>
      <w:r>
        <w:rPr>
          <w:b/>
          <w:bCs/>
        </w:rPr>
        <w:t xml:space="preserve">Kisoa</w:t>
      </w:r>
      <w:r>
        <w:t xml:space="preserve"> </w:t>
      </w:r>
      <w:r>
        <w:t xml:space="preserve">enregistrent 102 animaux vendus pour une valeur de 36,995 Ar. Les</w:t>
      </w:r>
      <w:r>
        <w:t xml:space="preserve"> </w:t>
      </w:r>
      <w:r>
        <w:rPr>
          <w:b/>
          <w:bCs/>
        </w:rPr>
        <w:t xml:space="preserve">Omby Miasa</w:t>
      </w:r>
      <w:r>
        <w:t xml:space="preserve"> </w:t>
      </w:r>
      <w:r>
        <w:t xml:space="preserve">représentent 37 animaux vendus pour 45,650 Ar. Les autres espèces affichent des niveaux plus réduits, notamment les</w:t>
      </w:r>
      <w:r>
        <w:t xml:space="preserve"> </w:t>
      </w:r>
      <w:r>
        <w:rPr>
          <w:b/>
          <w:bCs/>
        </w:rPr>
        <w:t xml:space="preserve">Ondry</w:t>
      </w:r>
      <w:r>
        <w:t xml:space="preserve"> </w:t>
      </w:r>
      <w:r>
        <w:t xml:space="preserve">avec 30 animaux et 3,080 Ar, les</w:t>
      </w:r>
      <w:r>
        <w:t xml:space="preserve"> </w:t>
      </w:r>
      <w:r>
        <w:rPr>
          <w:b/>
          <w:bCs/>
        </w:rPr>
        <w:t xml:space="preserve">Voron-Tsilozà</w:t>
      </w:r>
      <w:r>
        <w:t xml:space="preserve"> </w:t>
      </w:r>
      <w:r>
        <w:t xml:space="preserve">avec 34 animaux et 1,260 Ar, les</w:t>
      </w:r>
      <w:r>
        <w:t xml:space="preserve"> </w:t>
      </w:r>
      <w:r>
        <w:rPr>
          <w:b/>
          <w:bCs/>
        </w:rPr>
        <w:t xml:space="preserve">Omby Vavy</w:t>
      </w:r>
      <w:r>
        <w:t xml:space="preserve"> </w:t>
      </w:r>
      <w:r>
        <w:t xml:space="preserve">avec 11 animaux et 9,400 Ar, les</w:t>
      </w:r>
      <w:r>
        <w:t xml:space="preserve"> </w:t>
      </w:r>
      <w:r>
        <w:rPr>
          <w:b/>
          <w:bCs/>
        </w:rPr>
        <w:t xml:space="preserve">Osy</w:t>
      </w:r>
      <w:r>
        <w:t xml:space="preserve"> </w:t>
      </w:r>
      <w:r>
        <w:t xml:space="preserve">avec 10 animaux et 1,000 Ar, les</w:t>
      </w:r>
      <w:r>
        <w:t xml:space="preserve"> </w:t>
      </w:r>
      <w:r>
        <w:rPr>
          <w:b/>
          <w:bCs/>
        </w:rPr>
        <w:t xml:space="preserve">Omby Hafa</w:t>
      </w:r>
      <w:r>
        <w:t xml:space="preserve"> </w:t>
      </w:r>
      <w:r>
        <w:t xml:space="preserve">avec 5 animaux et 3,859 Ar, ainsi que les</w:t>
      </w:r>
      <w:r>
        <w:t xml:space="preserve"> </w:t>
      </w:r>
      <w:r>
        <w:rPr>
          <w:b/>
          <w:bCs/>
        </w:rPr>
        <w:t xml:space="preserve">Gisa</w:t>
      </w:r>
      <w:r>
        <w:t xml:space="preserve"> </w:t>
      </w:r>
      <w:r>
        <w:t xml:space="preserve">avec 10 animaux et seulement 290 Ar. En termes de transactions, les</w:t>
      </w:r>
      <w:r>
        <w:t xml:space="preserve"> </w:t>
      </w:r>
      <w:r>
        <w:rPr>
          <w:b/>
          <w:bCs/>
        </w:rPr>
        <w:t xml:space="preserve">Akoho</w:t>
      </w:r>
      <w:r>
        <w:t xml:space="preserve"> </w:t>
      </w:r>
      <w:r>
        <w:t xml:space="preserve">et les</w:t>
      </w:r>
      <w:r>
        <w:t xml:space="preserve"> </w:t>
      </w:r>
      <w:r>
        <w:rPr>
          <w:b/>
          <w:bCs/>
        </w:rPr>
        <w:t xml:space="preserve">Gana</w:t>
      </w:r>
      <w:r>
        <w:t xml:space="preserve"> </w:t>
      </w:r>
      <w:r>
        <w:t xml:space="preserve">se distinguent également avec respectivement 112 et 90 transactions, traduisant une activité commerciale particulièrement soutenue pour ces espèces.</w:t>
      </w:r>
    </w:p>
    <w:tbl>
      <w:tblPr>
        <w:tblStyle w:val="Table"/>
        <w:tblW w:type="pct" w:w="5000"/>
        <w:tblLayout w:type="fixed"/>
        <w:tblLook w:firstRow="0" w:lastRow="0" w:firstColumn="0" w:lastColumn="0" w:noHBand="0" w:noVBand="0" w:val="0000"/>
      </w:tblPr>
      <w:tblGrid>
        <w:gridCol w:w="7920"/>
      </w:tblGrid>
      <w:tr>
        <w:tc>
          <w:tcPr/>
          <w:bookmarkStart w:id="637" w:name="tbl-ventes-elevage"/>
          <w:p>
            <w:pPr>
              <w:jc w:val="center"/>
            </w:pPr>
            <w:pPr>
              <w:jc w:val="left"/>
              <w:spacing w:before="200"/>
              <w:pStyle w:val="ImageCaption"/>
            </w:pPr>
            <w:r>
              <w:t xml:space="preserve">Table 5.5: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Alaotra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Alaotra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Alaotra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Alaotra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Alaotra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Alaotra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Alaotra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Alaotra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Alaotra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r>
              <w:tc>
                <w:tcPr/>
                <w:p>
                  <w:pPr>
                    <w:pStyle w:val="Compact"/>
                    <w:jc w:val="left"/>
                    <w:jc w:val="center"/>
                  </w:pPr>
                  <w:r>
                    <w:t xml:space="preserve">Marovoay</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Marovoay</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Marovoay</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Marovoay</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Marovoay</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Marovoay</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Marovoay</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Marovoay</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Marovoay</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Marovoay</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bl>
          <w:bookmarkEnd w:id="637"/>
          <w:p/>
        </w:tc>
      </w:tr>
    </w:tbl>
    <w:p>
      <w:pPr>
        <w:pStyle w:val="Corpsdetexte"/>
      </w:pPr>
      <w:r>
        <w:t xml:space="preserve">A Alaotra, les pertes de bétail concernent principalement les</w:t>
      </w:r>
      <w:r>
        <w:t xml:space="preserve"> </w:t>
      </w:r>
      <w:r>
        <w:rPr>
          <w:b/>
          <w:bCs/>
        </w:rPr>
        <w:t xml:space="preserve">Akoho</w:t>
      </w:r>
      <w:r>
        <w:t xml:space="preserve">, avec environ 160 ménages ayant subi des pertes. Les</w:t>
      </w:r>
      <w:r>
        <w:t xml:space="preserve"> </w:t>
      </w:r>
      <w:r>
        <w:rPr>
          <w:b/>
          <w:bCs/>
        </w:rPr>
        <w:t xml:space="preserve">Gisa</w:t>
      </w:r>
      <w:r>
        <w:t xml:space="preserve"> </w:t>
      </w:r>
      <w:r>
        <w:t xml:space="preserve">arrivent ensuite avec près de 25 ménages touchés, suivis des</w:t>
      </w:r>
      <w:r>
        <w:t xml:space="preserve"> </w:t>
      </w:r>
      <w:r>
        <w:rPr>
          <w:b/>
          <w:bCs/>
        </w:rPr>
        <w:t xml:space="preserve">Gana</w:t>
      </w:r>
      <w:r>
        <w:t xml:space="preserve"> </w:t>
      </w:r>
      <w:r>
        <w:t xml:space="preserve">et des</w:t>
      </w:r>
      <w:r>
        <w:t xml:space="preserve"> </w:t>
      </w:r>
      <w:r>
        <w:rPr>
          <w:b/>
          <w:bCs/>
        </w:rPr>
        <w:t xml:space="preserve">Kisoa</w:t>
      </w:r>
      <w:r>
        <w:t xml:space="preserve"> </w:t>
      </w:r>
      <w:r>
        <w:t xml:space="preserve">avec environ 15 ménages chacun. Les</w:t>
      </w:r>
      <w:r>
        <w:t xml:space="preserve"> </w:t>
      </w:r>
      <w:r>
        <w:rPr>
          <w:b/>
          <w:bCs/>
        </w:rPr>
        <w:t xml:space="preserve">Ondry</w:t>
      </w:r>
      <w:r>
        <w:t xml:space="preserve"> </w:t>
      </w:r>
      <w:r>
        <w:t xml:space="preserve">enregistrent des pertes plus limitées, autour de 5 ménages. Les autres espèces, notamment les</w:t>
      </w:r>
      <w:r>
        <w:t xml:space="preserve"> </w:t>
      </w:r>
      <w:r>
        <w:rPr>
          <w:b/>
          <w:bCs/>
        </w:rPr>
        <w:t xml:space="preserve">Omby Miasa</w:t>
      </w:r>
      <w:r>
        <w:t xml:space="preserve">,</w:t>
      </w:r>
      <w:r>
        <w:t xml:space="preserve"> </w:t>
      </w:r>
      <w:r>
        <w:rPr>
          <w:b/>
          <w:bCs/>
        </w:rPr>
        <w:t xml:space="preserve">Omby Vavy</w:t>
      </w:r>
      <w:r>
        <w:t xml:space="preserve">,</w:t>
      </w:r>
      <w:r>
        <w:t xml:space="preserve"> </w:t>
      </w:r>
      <w:r>
        <w:rPr>
          <w:b/>
          <w:bCs/>
        </w:rPr>
        <w:t xml:space="preserve">Voron-tsilozà</w:t>
      </w:r>
      <w:r>
        <w:t xml:space="preserve"> </w:t>
      </w:r>
      <w:r>
        <w:t xml:space="preserve">et</w:t>
      </w:r>
      <w:r>
        <w:t xml:space="preserve"> </w:t>
      </w:r>
      <w:r>
        <w:rPr>
          <w:b/>
          <w:bCs/>
        </w:rPr>
        <w:t xml:space="preserve">Omby Hafa</w:t>
      </w:r>
      <w:r>
        <w:t xml:space="preserve">, présentent des effectifs très faibles, proches de 1 à 3 ménages concernés.</w:t>
      </w:r>
    </w:p>
    <w:p>
      <w:pPr>
        <w:pStyle w:val="Corpsdetexte"/>
      </w:pPr>
      <w:r>
        <w:t xml:space="preserve">A Marovoay, les</w:t>
      </w:r>
      <w:r>
        <w:t xml:space="preserve"> </w:t>
      </w:r>
      <w:r>
        <w:rPr>
          <w:b/>
          <w:bCs/>
        </w:rPr>
        <w:t xml:space="preserve">Akoho</w:t>
      </w:r>
      <w:r>
        <w:t xml:space="preserve"> </w:t>
      </w:r>
      <w:r>
        <w:t xml:space="preserve">demeurent également l’espèce la plus touchée, avec environ 120 ménages ayant subi des pertes. Les</w:t>
      </w:r>
      <w:r>
        <w:t xml:space="preserve"> </w:t>
      </w:r>
      <w:r>
        <w:rPr>
          <w:b/>
          <w:bCs/>
        </w:rPr>
        <w:t xml:space="preserve">Gana</w:t>
      </w:r>
      <w:r>
        <w:t xml:space="preserve"> </w:t>
      </w:r>
      <w:r>
        <w:t xml:space="preserve">occupent la deuxième position avec près de 70 ménages concernés. Les</w:t>
      </w:r>
      <w:r>
        <w:t xml:space="preserve"> </w:t>
      </w:r>
      <w:r>
        <w:rPr>
          <w:b/>
          <w:bCs/>
        </w:rPr>
        <w:t xml:space="preserve">Kisoa</w:t>
      </w:r>
      <w:r>
        <w:t xml:space="preserve"> </w:t>
      </w:r>
      <w:r>
        <w:t xml:space="preserve">enregistrent environ 15 ménages touchés, tandis que les autres espèces présentent des niveaux très faibles. Les</w:t>
      </w:r>
      <w:r>
        <w:t xml:space="preserve"> </w:t>
      </w:r>
      <w:r>
        <w:rPr>
          <w:b/>
          <w:bCs/>
        </w:rPr>
        <w:t xml:space="preserve">Osy, Ondry, Omby Miasa, Omby Vavy et Voron-Tsilozà</w:t>
      </w:r>
      <w:r>
        <w:t xml:space="preserve"> </w:t>
      </w:r>
      <w:r>
        <w:t xml:space="preserve">concernent seulement quelques ménages, traduisant une fréquence plus réduite des pertes pour ces espèces dans cet observatoire.</w:t>
      </w:r>
    </w:p>
    <w:tbl>
      <w:tblPr>
        <w:tblStyle w:val="Table"/>
        <w:tblW w:type="pct" w:w="5000"/>
        <w:tblLayout w:type="fixed"/>
        <w:tblLook w:firstRow="0" w:lastRow="0" w:firstColumn="0" w:lastColumn="0" w:noHBand="0" w:noVBand="0" w:val="0000"/>
      </w:tblPr>
      <w:tblGrid>
        <w:gridCol w:w="7920"/>
      </w:tblGrid>
      <w:tr>
        <w:tc>
          <w:tcPr/>
          <w:bookmarkStart w:id="641" w:name="fig-pertes-elevage"/>
          <w:p>
            <w:pPr>
              <w:jc w:val="center"/>
            </w:pPr>
            <w:pPr>
              <w:jc w:val="left"/>
              <w:spacing w:before="200"/>
              <w:pStyle w:val="ImageCaption"/>
            </w:pPr>
            <w:r>
              <w:t xml:space="preserve">Figure 5.22: Ménages ayant subi des pertes de bétail</w:t>
            </w:r>
          </w:p>
          <w:p>
            <w:pPr>
              <w:pStyle w:val="Compact"/>
              <w:jc w:val="center"/>
            </w:pPr>
            <w:r>
              <w:drawing>
                <wp:inline>
                  <wp:extent cx="5969000" cy="1865312"/>
                  <wp:effectExtent b="0" l="0" r="0" t="0"/>
                  <wp:docPr descr="" title="" id="639" name="Picture"/>
                  <a:graphic>
                    <a:graphicData uri="http://schemas.openxmlformats.org/drawingml/2006/picture">
                      <pic:pic>
                        <pic:nvPicPr>
                          <pic:cNvPr descr="05_agriculture_files/figure-docx/fig-pertes-elevage-1.png" id="640" name="Picture"/>
                          <pic:cNvPicPr>
                            <a:picLocks noChangeArrowheads="1" noChangeAspect="1"/>
                          </pic:cNvPicPr>
                        </pic:nvPicPr>
                        <pic:blipFill>
                          <a:blip r:embed="rId638"/>
                          <a:stretch>
                            <a:fillRect/>
                          </a:stretch>
                        </pic:blipFill>
                        <pic:spPr bwMode="auto">
                          <a:xfrm>
                            <a:off x="0" y="0"/>
                            <a:ext cx="5969000" cy="1865312"/>
                          </a:xfrm>
                          <a:prstGeom prst="rect">
                            <a:avLst/>
                          </a:prstGeom>
                          <a:noFill/>
                          <a:ln w="9525">
                            <a:noFill/>
                            <a:headEnd/>
                            <a:tailEnd/>
                          </a:ln>
                        </pic:spPr>
                      </pic:pic>
                    </a:graphicData>
                  </a:graphic>
                </wp:inline>
              </w:drawing>
            </w:r>
          </w:p>
          <w:bookmarkEnd w:id="641"/>
        </w:tc>
      </w:tr>
    </w:tbl>
    <w:bookmarkEnd w:id="642"/>
    <w:bookmarkStart w:id="646"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p>
      <w:pPr>
        <w:pStyle w:val="Corpsdetexte"/>
      </w:pPr>
      <w:r>
        <w:t xml:space="preserve">A Alaotra, les produits de l’élevage les plus fréquemment déclarés par les ménages sont le</w:t>
      </w:r>
      <w:r>
        <w:t xml:space="preserve"> </w:t>
      </w:r>
      <w:r>
        <w:rPr>
          <w:b/>
          <w:bCs/>
        </w:rPr>
        <w:t xml:space="preserve">ronono</w:t>
      </w:r>
      <w:r>
        <w:t xml:space="preserve"> </w:t>
      </w:r>
      <w:r>
        <w:t xml:space="preserve">avec 99 %, suivi de l’</w:t>
      </w:r>
      <w:r>
        <w:rPr>
          <w:b/>
          <w:bCs/>
        </w:rPr>
        <w:t xml:space="preserve">atody</w:t>
      </w:r>
      <w:r>
        <w:t xml:space="preserve"> </w:t>
      </w:r>
      <w:r>
        <w:t xml:space="preserve">à 91.3 %. Le</w:t>
      </w:r>
      <w:r>
        <w:t xml:space="preserve"> </w:t>
      </w:r>
      <w:r>
        <w:rPr>
          <w:b/>
          <w:bCs/>
        </w:rPr>
        <w:t xml:space="preserve">yaourt/habobo</w:t>
      </w:r>
      <w:r>
        <w:t xml:space="preserve"> </w:t>
      </w:r>
      <w:r>
        <w:t xml:space="preserve">représente également une part importante avec 85.6 %, tandis que le</w:t>
      </w:r>
      <w:r>
        <w:t xml:space="preserve"> </w:t>
      </w:r>
      <w:r>
        <w:rPr>
          <w:b/>
          <w:bCs/>
        </w:rPr>
        <w:t xml:space="preserve">hena</w:t>
      </w:r>
      <w:r>
        <w:t xml:space="preserve"> </w:t>
      </w:r>
      <w:r>
        <w:t xml:space="preserve">atteint 83.7 %. En revanche, les autres produits restent très peu déclarés par les ménages. Le</w:t>
      </w:r>
      <w:r>
        <w:t xml:space="preserve"> </w:t>
      </w:r>
      <w:r>
        <w:rPr>
          <w:b/>
          <w:bCs/>
        </w:rPr>
        <w:t xml:space="preserve">henan’ondry</w:t>
      </w:r>
      <w:r>
        <w:t xml:space="preserve"> </w:t>
      </w:r>
      <w:r>
        <w:t xml:space="preserve">ne concerne que 1.9 % des déclarations, alors que le</w:t>
      </w:r>
      <w:r>
        <w:t xml:space="preserve"> </w:t>
      </w:r>
      <w:r>
        <w:rPr>
          <w:b/>
          <w:bCs/>
        </w:rPr>
        <w:t xml:space="preserve">vorona</w:t>
      </w:r>
      <w:r>
        <w:t xml:space="preserve"> </w:t>
      </w:r>
      <w:r>
        <w:t xml:space="preserve">et le</w:t>
      </w:r>
      <w:r>
        <w:t xml:space="preserve"> </w:t>
      </w:r>
      <w:r>
        <w:rPr>
          <w:b/>
          <w:bCs/>
        </w:rPr>
        <w:t xml:space="preserve">henan-kisoa</w:t>
      </w:r>
      <w:r>
        <w:t xml:space="preserve"> </w:t>
      </w:r>
      <w:r>
        <w:t xml:space="preserve">représentent chacun 1 %.</w:t>
      </w:r>
    </w:p>
    <w:p>
      <w:pPr>
        <w:pStyle w:val="Corpsdetexte"/>
      </w:pPr>
      <w:r>
        <w:t xml:space="preserve">A Marovoay, le</w:t>
      </w:r>
      <w:r>
        <w:t xml:space="preserve"> </w:t>
      </w:r>
      <w:r>
        <w:rPr>
          <w:b/>
          <w:bCs/>
        </w:rPr>
        <w:t xml:space="preserve">ronono</w:t>
      </w:r>
      <w:r>
        <w:t xml:space="preserve"> </w:t>
      </w:r>
      <w:r>
        <w:t xml:space="preserve">et l’</w:t>
      </w:r>
      <w:r>
        <w:rPr>
          <w:b/>
          <w:bCs/>
        </w:rPr>
        <w:t xml:space="preserve">atody</w:t>
      </w:r>
      <w:r>
        <w:t xml:space="preserve"> </w:t>
      </w:r>
      <w:r>
        <w:t xml:space="preserve">sont déclarés par 99 % des ménages. Le</w:t>
      </w:r>
      <w:r>
        <w:t xml:space="preserve"> </w:t>
      </w:r>
      <w:r>
        <w:rPr>
          <w:b/>
          <w:bCs/>
        </w:rPr>
        <w:t xml:space="preserve">yaourt/habobo</w:t>
      </w:r>
      <w:r>
        <w:t xml:space="preserve"> </w:t>
      </w:r>
      <w:r>
        <w:t xml:space="preserve">atteint 93.9 %, ce qui montre également une forte présence de ce produit dans les habitudes des ménages. Le</w:t>
      </w:r>
      <w:r>
        <w:t xml:space="preserve"> </w:t>
      </w:r>
      <w:r>
        <w:rPr>
          <w:b/>
          <w:bCs/>
        </w:rPr>
        <w:t xml:space="preserve">hena</w:t>
      </w:r>
      <w:r>
        <w:t xml:space="preserve"> </w:t>
      </w:r>
      <w:r>
        <w:t xml:space="preserve">est déclaré par 88.9 % des ménages. Les autres produits restent marginaux, avec 7.1 % pour le</w:t>
      </w:r>
      <w:r>
        <w:t xml:space="preserve"> </w:t>
      </w:r>
      <w:r>
        <w:rPr>
          <w:b/>
          <w:bCs/>
        </w:rPr>
        <w:t xml:space="preserve">henan’ondry</w:t>
      </w:r>
      <w:r>
        <w:t xml:space="preserve">, et seulement 1 % pour le</w:t>
      </w:r>
      <w:r>
        <w:t xml:space="preserve"> </w:t>
      </w:r>
      <w:r>
        <w:rPr>
          <w:b/>
          <w:bCs/>
        </w:rPr>
        <w:t xml:space="preserve">vorona</w:t>
      </w:r>
      <w:r>
        <w:t xml:space="preserve"> </w:t>
      </w:r>
      <w:r>
        <w:t xml:space="preserve">ainsi que le</w:t>
      </w:r>
      <w:r>
        <w:t xml:space="preserve"> </w:t>
      </w:r>
      <w:r>
        <w:rPr>
          <w:b/>
          <w:bCs/>
        </w:rPr>
        <w:t xml:space="preserve">trondro nompiana</w:t>
      </w:r>
      <w:r>
        <w:t xml:space="preserve">.</w:t>
      </w:r>
    </w:p>
    <w:p>
      <w:pPr>
        <w:pStyle w:val="CaptionedFigure"/>
      </w:pPr>
      <w:r>
        <w:drawing>
          <wp:inline>
            <wp:extent cx="4620126" cy="2310063"/>
            <wp:effectExtent b="0" l="0" r="0" t="0"/>
            <wp:docPr descr="Produits de l’élevage déclarés par les ménages" title="" id="644" name="Picture"/>
            <a:graphic>
              <a:graphicData uri="http://schemas.openxmlformats.org/drawingml/2006/picture">
                <pic:pic>
                  <pic:nvPicPr>
                    <pic:cNvPr descr="05_agriculture_files/figure-docx/fig_produits_elevage-1.png" id="645" name="Picture"/>
                    <pic:cNvPicPr>
                      <a:picLocks noChangeArrowheads="1" noChangeAspect="1"/>
                    </pic:cNvPicPr>
                  </pic:nvPicPr>
                  <pic:blipFill>
                    <a:blip r:embed="rId643"/>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r>
        <w:t xml:space="preserve">Produits de l’élevage déclarés par les ménages</w:t>
      </w:r>
    </w:p>
    <w:bookmarkEnd w:id="646"/>
    <w:bookmarkEnd w:id="647"/>
    <w:bookmarkStart w:id="666"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 La principale raison de ces activités est pour l’autoconsommation.</w:t>
      </w:r>
    </w:p>
    <w:p>
      <w:pPr>
        <w:pStyle w:val="Corpsdetexte"/>
      </w:pPr>
      <w:r>
        <w:t xml:space="preserve">A Alaotra, la pratique de la chasse et de la pêche concerne 18.3 % des ménages.</w:t>
      </w:r>
    </w:p>
    <w:p>
      <w:pPr>
        <w:pStyle w:val="Corpsdetexte"/>
      </w:pPr>
      <w:r>
        <w:t xml:space="preserve">A Marovoay, 34.5 % des ménages déclarent pratiquer la chasse et la pêche. .</w:t>
      </w:r>
    </w:p>
    <w:tbl>
      <w:tblPr>
        <w:tblStyle w:val="Table"/>
        <w:tblW w:type="pct" w:w="5000"/>
        <w:tblLayout w:type="fixed"/>
        <w:tblLook w:firstRow="0" w:lastRow="0" w:firstColumn="0" w:lastColumn="0" w:noHBand="0" w:noVBand="0" w:val="0000"/>
      </w:tblPr>
      <w:tblGrid>
        <w:gridCol w:w="7920"/>
      </w:tblGrid>
      <w:tr>
        <w:tc>
          <w:tcPr/>
          <w:bookmarkStart w:id="648" w:name="tbl-chasse-peche-pratique"/>
          <w:p>
            <w:pPr>
              <w:jc w:val="center"/>
            </w:pPr>
            <w:pPr>
              <w:jc w:val="left"/>
              <w:spacing w:before="200"/>
              <w:pStyle w:val="ImageCaption"/>
            </w:pPr>
            <w:r>
              <w:t xml:space="preserve">Table 5.6: Taux de pratique de la chasse et de la pêche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18</w:t>
                  </w:r>
                </w:p>
              </w:tc>
              <w:tc>
                <w:tcPr/>
                <w:p>
                  <w:pPr>
                    <w:pStyle w:val="Compact"/>
                    <w:jc w:val="right"/>
                    <w:jc w:val="center"/>
                  </w:pPr>
                  <w:r>
                    <w:t xml:space="preserve">34</w:t>
                  </w:r>
                </w:p>
              </w:tc>
              <w:tc>
                <w:tcPr/>
                <w:p>
                  <w:pPr>
                    <w:pStyle w:val="Compact"/>
                    <w:jc w:val="right"/>
                    <w:jc w:val="center"/>
                  </w:pPr>
                  <w:r>
                    <w:t xml:space="preserve">27</w:t>
                  </w:r>
                </w:p>
              </w:tc>
            </w:tr>
          </w:tbl>
          <w:bookmarkEnd w:id="648"/>
          <w:p/>
        </w:tc>
      </w:tr>
    </w:tbl>
    <w:p>
      <w:pPr>
        <w:pStyle w:val="Corpsdetexte"/>
      </w:pPr>
      <w:r>
        <w:t xml:space="preserve">À Alaotra, les</w:t>
      </w:r>
      <w:r>
        <w:t xml:space="preserve"> </w:t>
      </w:r>
      <w:r>
        <w:rPr>
          <w:b/>
          <w:bCs/>
        </w:rPr>
        <w:t xml:space="preserve">trondro</w:t>
      </w:r>
      <w:r>
        <w:t xml:space="preserve"> </w:t>
      </w:r>
      <w:r>
        <w:t xml:space="preserve">dominent très largement les débarquements avec environ 75 mentions enregistrées, ce qui montre leur place centrale dans l’activité de pêche observée. Les</w:t>
      </w:r>
      <w:r>
        <w:t xml:space="preserve"> </w:t>
      </w:r>
      <w:r>
        <w:rPr>
          <w:b/>
          <w:bCs/>
        </w:rPr>
        <w:t xml:space="preserve">Tilapia</w:t>
      </w:r>
      <w:r>
        <w:t xml:space="preserve"> </w:t>
      </w:r>
      <w:r>
        <w:t xml:space="preserve">arrivent loin derrière avec près de 8 mentions, suivis des</w:t>
      </w:r>
      <w:r>
        <w:t xml:space="preserve"> </w:t>
      </w:r>
      <w:r>
        <w:rPr>
          <w:b/>
          <w:bCs/>
        </w:rPr>
        <w:t xml:space="preserve">Lapia</w:t>
      </w:r>
      <w:r>
        <w:t xml:space="preserve"> </w:t>
      </w:r>
      <w:r>
        <w:t xml:space="preserve">et des</w:t>
      </w:r>
      <w:r>
        <w:t xml:space="preserve"> </w:t>
      </w:r>
      <w:r>
        <w:rPr>
          <w:b/>
          <w:bCs/>
        </w:rPr>
        <w:t xml:space="preserve">fibata</w:t>
      </w:r>
      <w:r>
        <w:t xml:space="preserve"> </w:t>
      </w:r>
      <w:r>
        <w:t xml:space="preserve">et</w:t>
      </w:r>
      <w:r>
        <w:t xml:space="preserve"> </w:t>
      </w:r>
      <w:r>
        <w:rPr>
          <w:b/>
          <w:bCs/>
        </w:rPr>
        <w:t xml:space="preserve">pirina</w:t>
      </w:r>
      <w:r>
        <w:t xml:space="preserve"> </w:t>
      </w:r>
      <w:r>
        <w:t xml:space="preserve">qui représentent chacun environ 3 à 4 mentions.</w:t>
      </w:r>
    </w:p>
    <w:p>
      <w:pPr>
        <w:pStyle w:val="Corpsdetexte"/>
      </w:pPr>
      <w:r>
        <w:t xml:space="preserve">À Marovoay, les</w:t>
      </w:r>
      <w:r>
        <w:t xml:space="preserve"> </w:t>
      </w:r>
      <w:r>
        <w:rPr>
          <w:b/>
          <w:bCs/>
        </w:rPr>
        <w:t xml:space="preserve">trondro</w:t>
      </w:r>
      <w:r>
        <w:t xml:space="preserve"> </w:t>
      </w:r>
      <w:r>
        <w:t xml:space="preserve">occupent également une place prépondérante avec près de 95 mentions, ce qui en fait l’espèce la plus représentée dans les captures enregistrées. Les</w:t>
      </w:r>
      <w:r>
        <w:t xml:space="preserve"> </w:t>
      </w:r>
      <w:r>
        <w:rPr>
          <w:b/>
          <w:bCs/>
        </w:rPr>
        <w:t xml:space="preserve">kalapia</w:t>
      </w:r>
      <w:r>
        <w:t xml:space="preserve"> </w:t>
      </w:r>
      <w:r>
        <w:t xml:space="preserve">et les</w:t>
      </w:r>
      <w:r>
        <w:t xml:space="preserve"> </w:t>
      </w:r>
      <w:r>
        <w:rPr>
          <w:b/>
          <w:bCs/>
        </w:rPr>
        <w:t xml:space="preserve">filao</w:t>
      </w:r>
      <w:r>
        <w:t xml:space="preserve"> </w:t>
      </w:r>
      <w:r>
        <w:t xml:space="preserve">suivent avec environ 5 à 7 mentions chacun, alors que certaines espèces démersales, comme les</w:t>
      </w:r>
      <w:r>
        <w:t xml:space="preserve"> </w:t>
      </w:r>
      <w:r>
        <w:rPr>
          <w:b/>
          <w:bCs/>
        </w:rPr>
        <w:t xml:space="preserve">pirina</w:t>
      </w:r>
      <w:r>
        <w:t xml:space="preserve"> </w:t>
      </w:r>
      <w:r>
        <w:t xml:space="preserve">et</w:t>
      </w:r>
      <w:r>
        <w:t xml:space="preserve"> </w:t>
      </w:r>
      <w:r>
        <w:rPr>
          <w:b/>
          <w:bCs/>
        </w:rPr>
        <w:t xml:space="preserve">drakabato</w:t>
      </w:r>
      <w:r>
        <w:t xml:space="preserve">, restent faiblement représentées avec moins de 5 mentions.</w:t>
      </w:r>
    </w:p>
    <w:tbl>
      <w:tblPr>
        <w:tblStyle w:val="Table"/>
        <w:tblW w:type="pct" w:w="5000"/>
        <w:tblLayout w:type="fixed"/>
        <w:tblLook w:firstRow="0" w:lastRow="0" w:firstColumn="0" w:lastColumn="0" w:noHBand="0" w:noVBand="0" w:val="0000"/>
      </w:tblPr>
      <w:tblGrid>
        <w:gridCol w:w="7920"/>
      </w:tblGrid>
      <w:tr>
        <w:tc>
          <w:tcPr/>
          <w:bookmarkStart w:id="652" w:name="fig-chasse-especes"/>
          <w:p>
            <w:pPr>
              <w:jc w:val="center"/>
            </w:pPr>
            <w:pPr>
              <w:jc w:val="left"/>
              <w:spacing w:before="200"/>
              <w:pStyle w:val="ImageCaption"/>
            </w:pPr>
            <w:r>
              <w:t xml:space="preserve">Figure 5.23: Principales espèces chassées/pêchées</w:t>
            </w:r>
          </w:p>
          <w:p>
            <w:pPr>
              <w:pStyle w:val="Compact"/>
              <w:jc w:val="center"/>
            </w:pPr>
            <w:r>
              <w:drawing>
                <wp:inline>
                  <wp:extent cx="5969000" cy="3730624"/>
                  <wp:effectExtent b="0" l="0" r="0" t="0"/>
                  <wp:docPr descr="" title="" id="650" name="Picture"/>
                  <a:graphic>
                    <a:graphicData uri="http://schemas.openxmlformats.org/drawingml/2006/picture">
                      <pic:pic>
                        <pic:nvPicPr>
                          <pic:cNvPr descr="05_agriculture_files/figure-docx/fig-chasse-especes-1.png" id="651" name="Picture"/>
                          <pic:cNvPicPr>
                            <a:picLocks noChangeArrowheads="1" noChangeAspect="1"/>
                          </pic:cNvPicPr>
                        </pic:nvPicPr>
                        <pic:blipFill>
                          <a:blip r:embed="rId649"/>
                          <a:stretch>
                            <a:fillRect/>
                          </a:stretch>
                        </pic:blipFill>
                        <pic:spPr bwMode="auto">
                          <a:xfrm>
                            <a:off x="0" y="0"/>
                            <a:ext cx="5969000" cy="3730624"/>
                          </a:xfrm>
                          <a:prstGeom prst="rect">
                            <a:avLst/>
                          </a:prstGeom>
                          <a:noFill/>
                          <a:ln w="9525">
                            <a:noFill/>
                            <a:headEnd/>
                            <a:tailEnd/>
                          </a:ln>
                        </pic:spPr>
                      </pic:pic>
                    </a:graphicData>
                  </a:graphic>
                </wp:inline>
              </w:drawing>
            </w:r>
          </w:p>
          <w:bookmarkEnd w:id="652"/>
        </w:tc>
      </w:tr>
    </w:tbl>
    <w:p>
      <w:pPr>
        <w:pStyle w:val="Corpsdetexte"/>
      </w:pPr>
      <w:r>
        <w:t xml:space="preserve">À Alaotra, la principale raison évoquée pour la chasse ou la pêche est la vente, qui représente 52.5 % des mentions enregistrées. L’alimentation constitue également une motivation importante avec 44.6 % des réponses, montrant que les activités de prélèvement servent aussi à satisfaire les besoins alimentaires des ménages. Les autres motivations restent très marginales, notamment l’élimination des destructeurs de récolte qui ne représente que 2 % des mentions, tandis que les usages rituels sont presque inexistants avec seulement 1 %. Les résultats traduisent ainsi une forte orientation économique des activités de chasse et de pêche dans cet observatoire.</w:t>
      </w:r>
    </w:p>
    <w:p>
      <w:pPr>
        <w:pStyle w:val="Corpsdetexte"/>
      </w:pPr>
      <w:r>
        <w:t xml:space="preserve">À Marovoay, l’alimentation et la vente apparaissent comme les deux motivations dominantes des activités de chasse et de pêche. L’alimentation représente environ 40 % des mentions, tandis que la vente atteint 39.5 %, ce qui montre l’importance simultanée des besoins de subsistance et des revenus tirés de ces activités. Une autre part importante des réponses, estimée à 20.5 %, correspond</w:t>
      </w:r>
      <w:r>
        <w:t xml:space="preserve"> </w:t>
      </w:r>
      <w:r>
        <w:rPr>
          <w:b/>
          <w:bCs/>
        </w:rPr>
        <w:t xml:space="preserve">7</w:t>
      </w:r>
      <w:r>
        <w:t xml:space="preserve">. Cette répartition met en évidence une utilisation des ressources animales à la fois pour la consommation des ménages et pour les activités économiques locales.</w:t>
      </w:r>
    </w:p>
    <w:tbl>
      <w:tblPr>
        <w:tblStyle w:val="Table"/>
        <w:tblW w:type="pct" w:w="5000"/>
        <w:tblLayout w:type="fixed"/>
        <w:tblLook w:firstRow="0" w:lastRow="0" w:firstColumn="0" w:lastColumn="0" w:noHBand="0" w:noVBand="0" w:val="0000"/>
      </w:tblPr>
      <w:tblGrid>
        <w:gridCol w:w="7920"/>
      </w:tblGrid>
      <w:tr>
        <w:tc>
          <w:tcPr/>
          <w:bookmarkStart w:id="656" w:name="fig-chasse-raison"/>
          <w:p>
            <w:pPr>
              <w:jc w:val="center"/>
            </w:pPr>
            <w:pPr>
              <w:jc w:val="left"/>
              <w:spacing w:before="200"/>
              <w:pStyle w:val="ImageCaption"/>
            </w:pPr>
            <w:r>
              <w:t xml:space="preserve">Figure 5.24: Raisons de la chasse/pêche par observatoire</w:t>
            </w:r>
          </w:p>
          <w:p>
            <w:pPr>
              <w:pStyle w:val="Compact"/>
              <w:jc w:val="center"/>
            </w:pPr>
            <w:r>
              <w:drawing>
                <wp:inline>
                  <wp:extent cx="5969000" cy="3730624"/>
                  <wp:effectExtent b="0" l="0" r="0" t="0"/>
                  <wp:docPr descr="" title="" id="654" name="Picture"/>
                  <a:graphic>
                    <a:graphicData uri="http://schemas.openxmlformats.org/drawingml/2006/picture">
                      <pic:pic>
                        <pic:nvPicPr>
                          <pic:cNvPr descr="05_agriculture_files/figure-docx/fig-chasse-raison-1.png" id="655" name="Picture"/>
                          <pic:cNvPicPr>
                            <a:picLocks noChangeArrowheads="1" noChangeAspect="1"/>
                          </pic:cNvPicPr>
                        </pic:nvPicPr>
                        <pic:blipFill>
                          <a:blip r:embed="rId653"/>
                          <a:stretch>
                            <a:fillRect/>
                          </a:stretch>
                        </pic:blipFill>
                        <pic:spPr bwMode="auto">
                          <a:xfrm>
                            <a:off x="0" y="0"/>
                            <a:ext cx="5969000" cy="3730624"/>
                          </a:xfrm>
                          <a:prstGeom prst="rect">
                            <a:avLst/>
                          </a:prstGeom>
                          <a:noFill/>
                          <a:ln w="9525">
                            <a:noFill/>
                            <a:headEnd/>
                            <a:tailEnd/>
                          </a:ln>
                        </pic:spPr>
                      </pic:pic>
                    </a:graphicData>
                  </a:graphic>
                </wp:inline>
              </w:drawing>
            </w:r>
          </w:p>
          <w:bookmarkEnd w:id="656"/>
        </w:tc>
      </w:tr>
    </w:tbl>
    <w:bookmarkStart w:id="665" w:name="fréquence-et-saisonnalité"/>
    <w:p>
      <w:pPr>
        <w:pStyle w:val="Titre3"/>
      </w:pPr>
      <w:r>
        <w:t xml:space="preserve">5.3.1 Fréquence et saisonnalité</w:t>
      </w:r>
    </w:p>
    <w:p>
      <w:pPr>
        <w:pStyle w:val="FirstParagraph"/>
      </w:pPr>
      <w:r>
        <w:t xml:space="preserve">La fréquence de pêche et son calendrier saisonnier dépendent du régime hydrologique local. Les périodes de hautes eaux correspondent généralement à une activité de pêche plus intense.</w:t>
      </w:r>
    </w:p>
    <w:p>
      <w:pPr>
        <w:pStyle w:val="Corpsdetexte"/>
      </w:pPr>
      <w:r>
        <w:t xml:space="preserve">À Alaotra, la fréquence de chasse-pêche la plus souvent mentionnée est la pratique journalière, citée par 31.7 % des répondants. La fréquence hebdomadaire arrive ensuite avec 28.7 % des mentions, traduisant une pratique régulière pour une part importante des enquêtés. Les activités réalisées une fois par mois représentent 13.9 %, tandis que les pratiques plus espacées restent minoritaires. Les fréquences annuelles atteignent 8.9 %, suivies des pratiques effectuées toutes les deux semaines avec 7.9 %, puis tous les six mois avec 5 %. Enfin, la fréquence bimensuelle est la moins représentée avec 4 % des mentions. Ces résultats montrent une prédominance des pratiques fréquentes au sein de cet observatoire.</w:t>
      </w:r>
    </w:p>
    <w:p>
      <w:pPr>
        <w:pStyle w:val="Corpsdetexte"/>
      </w:pPr>
      <w:r>
        <w:t xml:space="preserve">À Marovoay, la fréquence de chasse-pêche quotidienne domine largement avec 41.2 % des mentions. La pratique hebdomadaire occupe également une place importante, représentant 38.7 % des réponses. Les activités mensuelles concernent 13.9 % des enquêtés, alors que les autres fréquences apparaissent beaucoup plus marginales. La pratique toutes les deux semaines représente 4.1 % des mentions, tandis que les fréquences annuelles et bimensuelles ne totalisent chacune que 1 %. Cette distribution met en évidence une forte concentration des activités de chasse-pêche dans des rythmes réguliers et rapprochés.</w:t>
      </w:r>
    </w:p>
    <w:tbl>
      <w:tblPr>
        <w:tblStyle w:val="Table"/>
        <w:tblW w:type="pct" w:w="5000"/>
        <w:tblLayout w:type="fixed"/>
        <w:tblLook w:firstRow="0" w:lastRow="0" w:firstColumn="0" w:lastColumn="0" w:noHBand="0" w:noVBand="0" w:val="0000"/>
      </w:tblPr>
      <w:tblGrid>
        <w:gridCol w:w="7920"/>
      </w:tblGrid>
      <w:tr>
        <w:tc>
          <w:tcPr/>
          <w:bookmarkStart w:id="660" w:name="fig-frequence-peche"/>
          <w:p>
            <w:pPr>
              <w:jc w:val="center"/>
            </w:pPr>
            <w:pPr>
              <w:jc w:val="left"/>
              <w:spacing w:before="200"/>
              <w:pStyle w:val="ImageCaption"/>
            </w:pPr>
            <w:r>
              <w:t xml:space="preserve">Figure 5.25: Fréquence de la chasse/pêche</w:t>
            </w:r>
          </w:p>
          <w:p>
            <w:pPr>
              <w:pStyle w:val="Compact"/>
              <w:jc w:val="center"/>
            </w:pPr>
            <w:r>
              <w:drawing>
                <wp:inline>
                  <wp:extent cx="5969000" cy="1865312"/>
                  <wp:effectExtent b="0" l="0" r="0" t="0"/>
                  <wp:docPr descr="" title="" id="658" name="Picture"/>
                  <a:graphic>
                    <a:graphicData uri="http://schemas.openxmlformats.org/drawingml/2006/picture">
                      <pic:pic>
                        <pic:nvPicPr>
                          <pic:cNvPr descr="05_agriculture_files/figure-docx/fig-frequence-peche-1.png" id="659" name="Picture"/>
                          <pic:cNvPicPr>
                            <a:picLocks noChangeArrowheads="1" noChangeAspect="1"/>
                          </pic:cNvPicPr>
                        </pic:nvPicPr>
                        <pic:blipFill>
                          <a:blip r:embed="rId657"/>
                          <a:stretch>
                            <a:fillRect/>
                          </a:stretch>
                        </pic:blipFill>
                        <pic:spPr bwMode="auto">
                          <a:xfrm>
                            <a:off x="0" y="0"/>
                            <a:ext cx="5969000" cy="1865312"/>
                          </a:xfrm>
                          <a:prstGeom prst="rect">
                            <a:avLst/>
                          </a:prstGeom>
                          <a:noFill/>
                          <a:ln w="9525">
                            <a:noFill/>
                            <a:headEnd/>
                            <a:tailEnd/>
                          </a:ln>
                        </pic:spPr>
                      </pic:pic>
                    </a:graphicData>
                  </a:graphic>
                </wp:inline>
              </w:drawing>
            </w:r>
          </w:p>
          <w:bookmarkEnd w:id="660"/>
        </w:tc>
      </w:tr>
    </w:tbl>
    <w:p>
      <w:pPr>
        <w:pStyle w:val="Corpsdetexte"/>
      </w:pPr>
      <w:r>
        <w:t xml:space="preserve">A Alaotra, une intensification de l’activité de la chasse et de la pêche à partir du mois de janvier, pour atteindre un sommet en avril avec 55 mentions, suivi du mois de mai avec 43 mentions est observée . Ce pic d’activité se situe à la transition entre la fin de la période humide (octobre-avril) et le début de la saison sèche (mai-septembre). Les mois les moins actifs correspondent au cœur de la saison sèche et au début de la saison des pluies, notamment en juillet avec seulement 11 mentions et en novembre où elles tombent à leur niveau le plus bas avec 8 mentions. Cette recrudescence des activités de prélèvement en avril et mai coïncide précisément avec la période de récolte du riz pluvial (avril-mai) et le déclenchement de celle du riz irrigué (mai-juin) documentée dans la zone du Moyen-Est. Le recours à la chasse et à la pêche semble s’intensifier juste avant que la production de la grande saison rizicole ne soit pleinement disponible, jouant potentiellement un rôle de complément alimentaire ou de source de revenus immédiate durant cette phase charnière du calendrier agricole.</w:t>
      </w:r>
    </w:p>
    <w:p>
      <w:pPr>
        <w:pStyle w:val="Corpsdetexte"/>
      </w:pPr>
      <w:r>
        <w:t xml:space="preserve">À Marovoay, la saisonnalité est marquée par une concentration massive des activités de chasse et de pêche durant la période humide, avec un pic exceptionnel en février atteignant 138 mentions mensuelles, suivi de près par le mois de mars avec 131 mentions. L’activité chute de manière spectaculaire dès le début de la saison sèche, passant de 80 mentions en avril à seulement 49 en mai, et reste à un niveau relativement bas et stable jusqu’en octobre où elle s’établit à 40 mentions. Cette dynamique suggère que les conditions de la période humide sont particulièrement nécessaires à la pratique intensive de ces activités dans le Nord-Ouest.</w:t>
      </w:r>
      <w:r>
        <w:t xml:space="preserve"> </w:t>
      </w:r>
      <w:r>
        <w:t xml:space="preserve">Le pic observé en février et mars intervient durant une phase de soudure majeure , alors que les récoltes des campagnes de riz Asara et Atriatry ne débutent qu’en avril. L’activité de chasse et de pêche diminue fortement au moment précis où ces récoltes commencent. Elle fonctionne ici comme une stratégie de survie ou de diversification essentielle pendant les mois les plus difficiles de la saison des pluies, s’effaçant dès que les campagne de récolte mobilisent la main-d’œuvre des ménages.</w:t>
      </w:r>
    </w:p>
    <w:tbl>
      <w:tblPr>
        <w:tblStyle w:val="Table"/>
        <w:tblW w:type="pct" w:w="5000"/>
        <w:tblLayout w:type="fixed"/>
        <w:tblLook w:firstRow="0" w:lastRow="0" w:firstColumn="0" w:lastColumn="0" w:noHBand="0" w:noVBand="0" w:val="0000"/>
      </w:tblPr>
      <w:tblGrid>
        <w:gridCol w:w="7920"/>
      </w:tblGrid>
      <w:tr>
        <w:tc>
          <w:tcPr/>
          <w:bookmarkStart w:id="664" w:name="fig-saisonnalite-peche"/>
          <w:p>
            <w:pPr>
              <w:jc w:val="center"/>
            </w:pPr>
            <w:pPr>
              <w:jc w:val="left"/>
              <w:spacing w:before="200"/>
              <w:pStyle w:val="ImageCaption"/>
            </w:pPr>
            <w:r>
              <w:t xml:space="preserve">Figure 5.26: Saisonnalité de la chasse/pêche (% de mentions par mois)</w:t>
            </w:r>
          </w:p>
          <w:p>
            <w:pPr>
              <w:pStyle w:val="Compact"/>
              <w:jc w:val="center"/>
            </w:pPr>
            <w:r>
              <w:drawing>
                <wp:inline>
                  <wp:extent cx="5969000" cy="2238375"/>
                  <wp:effectExtent b="0" l="0" r="0" t="0"/>
                  <wp:docPr descr="" title="" id="662" name="Picture"/>
                  <a:graphic>
                    <a:graphicData uri="http://schemas.openxmlformats.org/drawingml/2006/picture">
                      <pic:pic>
                        <pic:nvPicPr>
                          <pic:cNvPr descr="05_agriculture_files/figure-docx/fig-saisonnalite-peche-1.png" id="663" name="Picture"/>
                          <pic:cNvPicPr>
                            <a:picLocks noChangeArrowheads="1" noChangeAspect="1"/>
                          </pic:cNvPicPr>
                        </pic:nvPicPr>
                        <pic:blipFill>
                          <a:blip r:embed="rId661"/>
                          <a:stretch>
                            <a:fillRect/>
                          </a:stretch>
                        </pic:blipFill>
                        <pic:spPr bwMode="auto">
                          <a:xfrm>
                            <a:off x="0" y="0"/>
                            <a:ext cx="5969000" cy="2238375"/>
                          </a:xfrm>
                          <a:prstGeom prst="rect">
                            <a:avLst/>
                          </a:prstGeom>
                          <a:noFill/>
                          <a:ln w="9525">
                            <a:noFill/>
                            <a:headEnd/>
                            <a:tailEnd/>
                          </a:ln>
                        </pic:spPr>
                      </pic:pic>
                    </a:graphicData>
                  </a:graphic>
                </wp:inline>
              </w:drawing>
            </w:r>
          </w:p>
          <w:bookmarkEnd w:id="664"/>
        </w:tc>
      </w:tr>
    </w:tbl>
    <w:bookmarkEnd w:id="665"/>
    <w:bookmarkEnd w:id="666"/>
    <w:bookmarkStart w:id="673" w:name="sec-main-oeuvre"/>
    <w:p>
      <w:pPr>
        <w:pStyle w:val="Titre2"/>
      </w:pPr>
      <w:r>
        <w:t xml:space="preserve">5.4 Main d’oeuvre agricole</w:t>
      </w:r>
    </w:p>
    <w:p>
      <w:pPr>
        <w:pStyle w:val="FirstParagraph"/>
      </w:pPr>
      <w:r>
        <w:t xml:space="preserve">L’analyse de la main-d’œuvre agricole permet de caractériser le recours des ménages aux travailleurs extérieurs en examinant les types d’emploi, saisonniers ou permanents, ainsi que les opérations culturales clés mobilisant le salariat ou l’entraide.Le recours à la main-d’œuvre salariée ou à l’entraide est très élevé.</w:t>
      </w:r>
    </w:p>
    <w:bookmarkStart w:id="668"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À Alaotra, le recours à la main-d’œuvre agricole concerne principalement la main-d’œuvre non permanente, mentionnée par 46.8 % des ménages. La main-d’œuvre permanente reste beaucoup moins utilisée, avec seulement 7 % des ménages concernés. Ces résultats traduisent une préférence pour une main-d’œuvre occasionnelle, mobilisée selon les besoins saisonniers des activités agricoles.</w:t>
      </w:r>
    </w:p>
    <w:p>
      <w:pPr>
        <w:pStyle w:val="Corpsdetexte"/>
      </w:pPr>
      <w:r>
        <w:t xml:space="preserve">A Marovoay, Le recours à la main d’œuvre extérieure (salariée ou par entraide) concerne 58.8 % des ménages. En revanche, la main-d’œuvre permanente demeure très faiblement mobilisée avec 4 % des mentions. Cette situation montre que les ménages agricoles s’appuient surtout sur une main-d’œuvre temporaire pour assurer les travaux liés aux activités agricoles.</w:t>
      </w:r>
    </w:p>
    <w:tbl>
      <w:tblPr>
        <w:tblStyle w:val="Table"/>
        <w:tblW w:type="pct" w:w="5000"/>
        <w:tblLayout w:type="fixed"/>
        <w:tblLook w:firstRow="0" w:lastRow="0" w:firstColumn="0" w:lastColumn="0" w:noHBand="0" w:noVBand="0" w:val="0000"/>
      </w:tblPr>
      <w:tblGrid>
        <w:gridCol w:w="7920"/>
      </w:tblGrid>
      <w:tr>
        <w:tc>
          <w:tcPr/>
          <w:bookmarkStart w:id="667" w:name="tbl-main-oeuvre-pratique"/>
          <w:p>
            <w:pPr>
              <w:jc w:val="center"/>
            </w:pPr>
            <w:pPr>
              <w:jc w:val="left"/>
              <w:spacing w:before="200"/>
              <w:pStyle w:val="ImageCaption"/>
            </w:pPr>
            <w:r>
              <w:t xml:space="preserve">Table 5.7: Recours à la main d’oeuvre agricole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47</w:t>
                  </w:r>
                </w:p>
              </w:tc>
              <w:tc>
                <w:tcPr/>
                <w:p>
                  <w:pPr>
                    <w:pStyle w:val="Compact"/>
                    <w:jc w:val="right"/>
                    <w:jc w:val="center"/>
                  </w:pPr>
                  <w:r>
                    <w:t xml:space="preserve">59</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5</w:t>
                  </w:r>
                </w:p>
              </w:tc>
            </w:tr>
          </w:tbl>
          <w:bookmarkEnd w:id="667"/>
          <w:p/>
        </w:tc>
      </w:tr>
    </w:tbl>
    <w:bookmarkEnd w:id="668"/>
    <w:bookmarkStart w:id="670"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p>
      <w:pPr>
        <w:pStyle w:val="Corpsdetexte"/>
      </w:pPr>
      <w:r>
        <w:t xml:space="preserve">À Alaotra, les opérations agricoles reposent majoritairement sur la main-d’œuvre salariée. La moisson présente une proportion de salariat de 79.5 %, tandis que l’entraide représente 14.7 %, avec un salaire moyen de 216,171 Ar. Pour le sarclage, la part de la main-d’œuvre salariée atteint 64.7 %, contre 21.6 % pour l’entraide, et le salaire moyen s’élève à 229,960 Ar. Enfin, dans le cadre du travail du sol, le salariat représente 69.2 % des pratiques observées, alors que l’entraide correspond à 15.8 %, avec un salaire moyen de 194,315 Ar. Ces résultats montrent que les travaux agricoles dans cet observatoire mobilisent largement une main-d’œuvre rémunérée, accompagnée d’un recours plus limité aux formes d’entraide.</w:t>
      </w:r>
    </w:p>
    <w:p>
      <w:pPr>
        <w:pStyle w:val="Corpsdetexte"/>
      </w:pPr>
      <w:r>
        <w:t xml:space="preserve">À Marovoay, la moisson se caractérise par une forte présence de la main-d’œuvre salariée, qui représente 91.1 % des opérations, alors que l’entraide ne concerne que 8.9 %, avec un salaire moyen de 182,954 Ar. Pour le sarclage, la proportion de salariat atteint 84.6 %, tandis que l’entraide représente 7.2 %, et le salaire moyen est de 150,626 Ar. Concernant le travail du sol, la main-d’œuvre salariée constitue 79.0 % des pratiques observées, contre 6.9 % pour l’entraide, avec un salaire moyen de 193,831 Ar. L’ensemble des données met en évidence une forte prédominance du recours au salariat dans les différentes opérations agricoles de cet observatoire.</w:t>
      </w:r>
    </w:p>
    <w:tbl>
      <w:tblPr>
        <w:tblStyle w:val="Table"/>
        <w:tblW w:type="pct" w:w="5000"/>
        <w:tblLayout w:type="fixed"/>
        <w:tblLook w:firstRow="0" w:lastRow="0" w:firstColumn="0" w:lastColumn="0" w:noHBand="0" w:noVBand="0" w:val="0000"/>
      </w:tblPr>
      <w:tblGrid>
        <w:gridCol w:w="7920"/>
      </w:tblGrid>
      <w:tr>
        <w:tc>
          <w:tcPr/>
          <w:bookmarkStart w:id="669" w:name="tbl-operations-mo"/>
          <w:p>
            <w:pPr>
              <w:jc w:val="center"/>
            </w:pPr>
            <w:pPr>
              <w:jc w:val="left"/>
              <w:spacing w:before="200"/>
              <w:pStyle w:val="ImageCaption"/>
            </w:pPr>
            <w:r>
              <w:t xml:space="preserve">Table 5.8: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Alaotra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Marovoay</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Alaotra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Marovoay</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Alaotra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r>
              <w:tc>
                <w:tcPr/>
                <w:p>
                  <w:pPr>
                    <w:pStyle w:val="Compact"/>
                    <w:jc w:val="left"/>
                    <w:jc w:val="center"/>
                  </w:pPr>
                  <w:r>
                    <w:t xml:space="preserve">Marovoay</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bl>
          <w:bookmarkEnd w:id="669"/>
          <w:p/>
        </w:tc>
      </w:tr>
    </w:tbl>
    <w:bookmarkEnd w:id="670"/>
    <w:bookmarkStart w:id="672"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p>
      <w:pPr>
        <w:pStyle w:val="Corpsdetexte"/>
      </w:pPr>
      <w:r>
        <w:t xml:space="preserve">À Alaotra, la main-d’œuvre permanente est mobilisée dans plusieurs types d’activités agricoles et para-agricoles. L’élevage emploie 27 travailleurs permanents, avec un salaire moyen en argent de 344,839 Ar et une rémunération en nature de 245,286 Ar. La riziculture compte 18 employés permanents et présente un salaire moyen en argent de 713,368 Ar, auquel s’ajoute une rémunération en nature de 557,625 Ar. Les activités d’aide ménagère mobilisent également 18 employés, avec un salaire moyen monétaire de 306,000 Ar et une rémunération en nature de 426,667 Ar. Les autres cultures regroupent 15 employés permanents, rémunérés en moyenne à hauteur de 707,111 Ar en argent et 380,000 Ar en nature. Enfin, les autres activités emploient 6 travailleurs permanents et enregistrent le salaire moyen en argent le plus élevé, soit 1,166,000 Ar, sans indication de rémunération en nature.</w:t>
      </w:r>
    </w:p>
    <w:p>
      <w:pPr>
        <w:pStyle w:val="Corpsdetexte"/>
      </w:pPr>
      <w:r>
        <w:t xml:space="preserve">À Marovoay, l’élevage mobilise 15 employés permanents, avec un salaire moyen en argent de 252,500 Ar et une rémunération en nature de 285,714 Ar. Les activités d’aide ménagère comptent 4 employés permanents et affichent un salaire moyen monétaire de 445,000 Ar, sans rémunération en nature déclarée. Les autres activités emploient également 4 travailleurs permanents, avec un salaire moyen en argent de 907,500 Ar et aucune rémunération en nature enregistrée. Enfin, les autres cultures ne regroupent qu’un seul employé permanent, dont le salaire moyen en argent est de 250,000 Ar, sans avantage en nature indiqué. Ces données montrent une diversité des activités concernées par l’emploi permanent au sein de cet observatoire, avec des niveaux de rémunération variables selon les secteurs d’activité.</w:t>
      </w:r>
    </w:p>
    <w:tbl>
      <w:tblPr>
        <w:tblStyle w:val="Table"/>
        <w:tblW w:type="pct" w:w="5000"/>
        <w:tblLayout w:type="fixed"/>
        <w:tblLook w:firstRow="0" w:lastRow="0" w:firstColumn="0" w:lastColumn="0" w:noHBand="0" w:noVBand="0" w:val="0000"/>
      </w:tblPr>
      <w:tblGrid>
        <w:gridCol w:w="7920"/>
      </w:tblGrid>
      <w:tr>
        <w:tc>
          <w:tcPr/>
          <w:bookmarkStart w:id="671" w:name="tbl-main-oeuvre-perm"/>
          <w:p>
            <w:pPr>
              <w:jc w:val="center"/>
            </w:pPr>
            <w:pPr>
              <w:jc w:val="left"/>
              <w:spacing w:before="200"/>
              <w:pStyle w:val="ImageCaption"/>
            </w:pPr>
            <w:r>
              <w:t xml:space="preserve">Table 5.9: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Alaotra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Alaotra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Alaotra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Alaotra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Alaotra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r>
              <w:tc>
                <w:tcPr/>
                <w:p>
                  <w:pPr>
                    <w:pStyle w:val="Compact"/>
                    <w:jc w:val="left"/>
                    <w:jc w:val="center"/>
                  </w:pPr>
                  <w:r>
                    <w:t xml:space="preserve">Marovoay</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Marovoay</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bl>
          <w:bookmarkEnd w:id="671"/>
          <w:p/>
        </w:tc>
      </w:tr>
    </w:tbl>
    <w:bookmarkEnd w:id="672"/>
    <w:bookmarkEnd w:id="673"/>
    <w:bookmarkStart w:id="680" w:name="sec-agro-multiyear"/>
    <w:p>
      <w:pPr>
        <w:pStyle w:val="Titre2"/>
      </w:pPr>
      <w:r>
        <w:t xml:space="preserve">5.5 Évolution des indicateurs agricoles (1995–2025)</w:t>
      </w:r>
    </w:p>
    <w:p>
      <w:pPr>
        <w:pStyle w:val="FirstParagraph"/>
      </w:pPr>
      <w:r>
        <w:t xml:space="preserve">On retrace ici l’évolution de la production rizicole moyenne par ménage, du rendement (lorsque la surface est disponible) et du taux de pratique de l’élevage.</w:t>
      </w:r>
    </w:p>
    <w:p>
      <w:pPr>
        <w:pStyle w:val="Corpsdetexte"/>
      </w:pPr>
      <w:r>
        <w:t xml:space="preserve">À Alaotra, l’évolution de la production rizicole moyenne par ménage révèle une dynamique globalement ascendante jusqu’au milieu des années 2000, suivie d’une phase de ralentissement et de relative stabilisation. Entre la fin des années 1990 et le début des années 2000, la production moyenne progresse rapidement, passant d’environ 780 kg/ménage/an en 1999 à plus de 1 600 kg/ménage/an vers 2004. Cette croissance s’intensifie encore entre 2005 et 2007, période durant laquelle la production atteint son niveau maximal avec plus de 2 000 kg/ménage/an en 2007. Cette performance traduit probablement une amélioration des conditions de production, un meilleur accès aux facteurs productifs ou encore une intensification des activités rizicoles. Toutefois, à partir de 2008, la tendance devient décroissante avec une baisse progressive de la production moyenne, qui retombe autour de 1 100 à 1 300 kg/ménage/an entre 2010 et 2014. Malgré ce recul, les niveaux observés restent globalement supérieurs à ceux du début de la période étudiée, ce qui montre que l’observatoire d’Alaotra conserve une capacité productive relativement élevée. La valeur observée en 2025, inférieure à 1 000 kg/ménage/an, semble indiquer une nouvelle contraction de la production, possiblement liée à des contraintes climatiques, économiques ou structurelles affectant les exploitations agricoles.</w:t>
      </w:r>
    </w:p>
    <w:p>
      <w:pPr>
        <w:pStyle w:val="Corpsdetexte"/>
      </w:pPr>
      <w:r>
        <w:t xml:space="preserve">À Marovoay, l’évolution de la production rizicole moyenne par ménage présente une trajectoire plus instable et globalement orientée à la baisse sur le long terme. À la fin des années 1990, les ménages enregistrent des niveaux de production relativement élevés, oscillant entre environ 1 200 et 1 500 kg/ménage/an, avec un pic proche de 1 550 kg/ménage/an au début des années 2000. Toutefois, cette dynamique demeure irrégulière, marquée par des alternances de hausses et de baisses importantes. Après une reprise autour de 2005 et 2007 où la production dépasse ponctuellement 1 500 kg/ménage/an, une tendance baissière plus nette s’installe à partir de 2008. La production moyenne chute progressivement jusqu’à atteindre environ 550 kg/ménage/an vers 2013, avant de connaître une légère remontée autour de 700 kg/ménage/an en 2014. Les données récentes montrent néanmoins une forte diminution en 2025, avec une production moyenne inférieure à 400 kg/ménage/an, traduisant une dégradation importante des performances rizicoles. Cette zone rizicole apparaît ainsi plus vulnérable aux fluctuations de production et moins capable de maintenir des niveaux élevés et stables de rendement rizicole sur la durée.</w:t>
      </w:r>
    </w:p>
    <w:p>
      <w:pPr>
        <w:pStyle w:val="CaptionedFigure"/>
      </w:pPr>
      <w:r>
        <w:drawing>
          <wp:inline>
            <wp:extent cx="5969000" cy="1865312"/>
            <wp:effectExtent b="0" l="0" r="0" t="0"/>
            <wp:docPr descr="Évolution de la production rizicole moyenne par ménage (kg/ménage/an)" title="" id="675" name="Picture"/>
            <a:graphic>
              <a:graphicData uri="http://schemas.openxmlformats.org/drawingml/2006/picture">
                <pic:pic>
                  <pic:nvPicPr>
                    <pic:cNvPr descr="05_agriculture_files/figure-docx/fig_agro_prod_riz-1.png" id="676" name="Picture"/>
                    <pic:cNvPicPr>
                      <a:picLocks noChangeArrowheads="1" noChangeAspect="1"/>
                    </pic:cNvPicPr>
                  </pic:nvPicPr>
                  <pic:blipFill>
                    <a:blip r:embed="rId674"/>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de la production rizicole moyenne par ménage (kg/ménage/an)</w:t>
      </w:r>
    </w:p>
    <w:p>
      <w:pPr>
        <w:pStyle w:val="Corpsdetexte"/>
      </w:pPr>
      <w:r>
        <w:t xml:space="preserve">A Alaotra, le taux de ménages pratiquant l’élevage évolue de manière fluctuante entre 1998 et 2015. Les valeurs se situent globalement entre 63 % et 86 %, traduisant des variations modérées au fil des années. Après une baisse observée au début des années 2000, le taux connaît une remontée autour de 2003 et 2004, avant de diminuer de nouveau vers 2008. Entre 2010 et 2015, la pratique de l’élevage se stabilise autour de 75 % à 80 %. En 2025, le taux est estimé à environ 66 %, indiquant une diminution par rapport aux dernières années observées avant cette date.</w:t>
      </w:r>
    </w:p>
    <w:p>
      <w:pPr>
        <w:pStyle w:val="Corpsdetexte"/>
      </w:pPr>
      <w:r>
        <w:t xml:space="preserve">A Marovoay, le taux de ménages pratiquant l’élevage reste relativement élevé durant toute la période étudiée. Entre 1998 et 2015, les valeurs oscillent principalement entre 64 % et 86 %, avec plusieurs phases de hausse et de baisse successives. Une progression est visible au début des années 2000, suivie d’un recul autour de 2005, puis d’une nouvelle augmentation vers 2012. Après 2013, le taux se maintient autour de 80 %. En 2025, la proportion de ménages pratiquant l’élevage atteint environ 72 %, traduisant un niveau encore important de cette activité dans l’observatoire.</w:t>
      </w:r>
    </w:p>
    <w:p>
      <w:pPr>
        <w:pStyle w:val="CaptionedFigure"/>
      </w:pPr>
      <w:r>
        <w:drawing>
          <wp:inline>
            <wp:extent cx="5969000" cy="1865312"/>
            <wp:effectExtent b="0" l="0" r="0" t="0"/>
            <wp:docPr descr="Évolution du taux de pratique de l’élevage (1998–2025)" title="" id="678" name="Picture"/>
            <a:graphic>
              <a:graphicData uri="http://schemas.openxmlformats.org/drawingml/2006/picture">
                <pic:pic>
                  <pic:nvPicPr>
                    <pic:cNvPr descr="05_agriculture_files/figure-docx/fig_agro_elevage-1.png" id="679" name="Picture"/>
                    <pic:cNvPicPr>
                      <a:picLocks noChangeArrowheads="1" noChangeAspect="1"/>
                    </pic:cNvPicPr>
                  </pic:nvPicPr>
                  <pic:blipFill>
                    <a:blip r:embed="rId677"/>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taux de pratique de l’élevage (1998–2025)</w:t>
      </w:r>
    </w:p>
    <w:p>
      <w:pPr>
        <w:pStyle w:val="Corpsdetexte"/>
      </w:pPr>
      <w:r>
        <w:t xml:space="preserve">Les séries longues mettent en évidence des tendances structurelles : évolution de la production rizicole par ménage, variation des rendements en lien avec les aléas climatiques et l’intensification des pratiques, et évolution du taux de pratique de l’élevage. La rupture de série entre 2015 et 2025 (représentée en pointillés) invite à la prudence dans l’interprétation.</w:t>
      </w:r>
    </w:p>
    <w:bookmarkEnd w:id="680"/>
    <w:bookmarkEnd w:id="681"/>
    <w:bookmarkStart w:id="741" w:name="sécurité-alimentaire"/>
    <w:p>
      <w:pPr>
        <w:pStyle w:val="Titre1"/>
      </w:pPr>
      <w:r>
        <w:t xml:space="preserve">6. Sécurité alimentaire</w:t>
      </w:r>
    </w:p>
    <w:p>
      <w:pPr>
        <w:pStyle w:val="FirstParagraph"/>
      </w:pPr>
      <w:r>
        <w:t xml:space="preserve">L’analyse de la sécurité alimentaire permet de caractériser la vulnérabilité des ménages en examinant la période de soudure, les modes de consommation de base ainsi que les diverses stratégies d’adaptation mobilisées pour faire face au stress alimentaire.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C:\PROGRA~1\Quarto\share\formats\docx\warning.png" id="683"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714"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Dans l’Alaotra, 100 % des ménages déclarent au moins un mois de soudure.</w:t>
      </w:r>
    </w:p>
    <w:p>
      <w:pPr>
        <w:pStyle w:val="Corpsdetexte"/>
      </w:pPr>
      <w:r>
        <w:t xml:space="preserve">A Marovoay, 97.3 % des ménages déclarent au moins un mois de soudure.</w:t>
      </w:r>
    </w:p>
    <w:bookmarkStart w:id="697"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Dans l’Alaotra, La soudure dure en moyenne 3.8 mois (médiane : 3).</w:t>
      </w:r>
    </w:p>
    <w:p>
      <w:pPr>
        <w:pStyle w:val="Corpsdetexte"/>
      </w:pPr>
      <w:r>
        <w:t xml:space="preserve">A Marovoay, La soudure dure en moyenne 2.2 mois (médiane : 2).</w:t>
      </w:r>
    </w:p>
    <w:bookmarkStart w:id="684" w:name="durée-de-la-soudure-par-observatoire"/>
    <w:p>
      <w:pPr>
        <w:pStyle w:val="Titre4"/>
      </w:pPr>
      <w:r>
        <w:t xml:space="preserve">6.1.1.1 Durée de la soudure par observatoire</w:t>
      </w:r>
    </w:p>
    <w:p>
      <w:pPr>
        <w:pStyle w:val="FirstParagraph"/>
      </w:pPr>
      <w:r>
        <w:t xml:space="preserve">A Alaotra, la durée moyenne de la période de soudure est de 3.8 mois. La moitié des ménages connaissent une période de soudure de 3 mois ou moins . Chaque ménage interrogé subit au moins 1 mois de précarité alimentaire tandis que la durée maximale atteint 12 mois pour certains foyers.</w:t>
      </w:r>
    </w:p>
    <w:p>
      <w:pPr>
        <w:pStyle w:val="Corpsdetexte"/>
      </w:pPr>
      <w:r>
        <w:t xml:space="preserve">A Marovoay, l’enquête réalisée auprès de 519 ménages révèle une durée moyenne de soudure de 2.2 mois. La moitié des ménages connaissent une période de soudure de 2 mois ou moins . Bien que le maximum observé soit de 11 mois, certains ménages ne déclarent aucun mois de soudure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de la période de soudure par observatoire</w:t>
            </w:r>
          </w:p>
        </w:tc>
      </w:tr>
      <w:tr>
        <w:trPr>
          <w:tblHeader w:val="on"/>
        </w:trPr>
        <w:tc>
          <w:tcPr>
            <w:gridSpan w:val="7"/>
          </w:tcPr>
          <w:p>
            <w:pPr>
              <w:pStyle w:val="Compact"/>
              <w:jc w:val="center"/>
            </w:pPr>
            <w:r>
              <w:t xml:space="preserve">Nombre de mois de soudure (sal2d)</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1</w:t>
            </w:r>
          </w:p>
        </w:tc>
        <w:tc>
          <w:tcPr/>
          <w:p>
            <w:pPr>
              <w:pStyle w:val="Compact"/>
              <w:jc w:val="right"/>
            </w:pPr>
            <w:r>
              <w:t xml:space="preserve">3</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1.8</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2</w:t>
            </w:r>
          </w:p>
        </w:tc>
        <w:tc>
          <w:tcPr/>
          <w:p>
            <w:pPr>
              <w:pStyle w:val="Compact"/>
              <w:jc w:val="right"/>
            </w:pPr>
            <w:r>
              <w:t xml:space="preserve">2.2</w:t>
            </w:r>
          </w:p>
        </w:tc>
        <w:tc>
          <w:tcPr/>
          <w:p>
            <w:pPr>
              <w:pStyle w:val="Compact"/>
              <w:jc w:val="right"/>
            </w:pPr>
            <w:r>
              <w:t xml:space="preserve">11</w:t>
            </w:r>
          </w:p>
        </w:tc>
        <w:tc>
          <w:tcPr/>
          <w:p>
            <w:pPr>
              <w:pStyle w:val="Compact"/>
              <w:jc w:val="right"/>
            </w:pPr>
            <w:r>
              <w:t xml:space="preserve">1.4</w:t>
            </w:r>
          </w:p>
        </w:tc>
      </w:tr>
    </w:tbl>
    <w:bookmarkEnd w:id="684"/>
    <w:bookmarkStart w:id="688" w:name="X7672ed32ab511b42dc575aff782f6587708610f"/>
    <w:p>
      <w:pPr>
        <w:pStyle w:val="Titre4"/>
      </w:pPr>
      <w:r>
        <w:t xml:space="preserve">6.1.1.2 Durée de la soudure par hameau et observatoire</w:t>
      </w:r>
    </w:p>
    <w:p>
      <w:pPr>
        <w:pStyle w:val="FirstParagraph"/>
      </w:pPr>
      <w:r>
        <w:t xml:space="preserve">La soudure est structurellement plus sévère dans le bassin de l’Alaotra.</w:t>
      </w:r>
    </w:p>
    <w:p>
      <w:pPr>
        <w:pStyle w:val="Corpsdetexte"/>
      </w:pPr>
      <w:r>
        <w:t xml:space="preserve">A Alaotra, les localités qui se situent au-dessus de la moyenne (3.8 mois) sont Ambohidrony avec 4.8 mois, Ambatomanga avec 4.4 mois, Ambodivoara avec 4.3 mois et Ambatoharanana avec 4.1 mois. À l’inverse, les hameaux présentant une durée de soudure inférieure à la moyenne sont Mangabe avec 3.7 mois, Analamiranga avec 3.6 mois et Feramanga Atsimo avec 3.4 mois, tandis qu’Avaradrano est le plus résiliant en enregistrant la période la plus courte avec 3.1 mois.</w:t>
      </w:r>
    </w:p>
    <w:p>
      <w:pPr>
        <w:pStyle w:val="Corpsdetexte"/>
      </w:pPr>
      <w:r>
        <w:t xml:space="preserve">A Marovoay, la durée moyenne de la soudure est plus restreinte et s’établit à 2.2 mois par an. Le hameau de Madiromiongana est le seul de la zone à se situer au-dessus de cette moyenne avec une durée de 2.8 mois. Les autres hameaux affichent des statistiques inférieures ou égales à la moyenne de l’observatoire, avec 2.2 mois pour Maroala et une durée commune de 1.9 mois pour Ampijoroa et Bepako.</w:t>
      </w:r>
    </w:p>
    <w:p>
      <w:pPr>
        <w:pStyle w:val="CaptionedFigure"/>
      </w:pPr>
      <w:r>
        <w:drawing>
          <wp:inline>
            <wp:extent cx="4620126" cy="3696101"/>
            <wp:effectExtent b="0" l="0" r="0" t="0"/>
            <wp:docPr descr="Durée moyenne de la soudure par hameau" title="" id="686" name="Picture"/>
            <a:graphic>
              <a:graphicData uri="http://schemas.openxmlformats.org/drawingml/2006/picture">
                <pic:pic>
                  <pic:nvPicPr>
                    <pic:cNvPr descr="06_securite_alimentaire_files/figure-docx/fig_soudure_hameau-1.png" id="687" name="Picture"/>
                    <pic:cNvPicPr>
                      <a:picLocks noChangeArrowheads="1" noChangeAspect="1"/>
                    </pic:cNvPicPr>
                  </pic:nvPicPr>
                  <pic:blipFill>
                    <a:blip r:embed="rId68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Durée moyenne de la soudure par hameau</w:t>
      </w:r>
    </w:p>
    <w:bookmarkEnd w:id="688"/>
    <w:bookmarkStart w:id="692" w:name="X95464c5386b49ecd39248ef20943633679142d7"/>
    <w:p>
      <w:pPr>
        <w:pStyle w:val="Titre4"/>
      </w:pPr>
      <w:r>
        <w:t xml:space="preserve">6.1.1.3 Distribution du nombre de mois de soudure</w:t>
      </w:r>
    </w:p>
    <w:p>
      <w:pPr>
        <w:pStyle w:val="FirstParagraph"/>
      </w:pPr>
      <w:r>
        <w:t xml:space="preserve">À Alaotra, la distribution est étalée : 25 % des ménages ont 2 mois de soudure, mais plus de 20 % subissent entre 5 et 7 mois de manque.</w:t>
      </w:r>
    </w:p>
    <w:p>
      <w:pPr>
        <w:pStyle w:val="Corpsdetexte"/>
      </w:pPr>
      <w:r>
        <w:t xml:space="preserve">À Marovoay, la concentration est forte sur les durées courtes : 37 % n’ont qu’un seul mois de soudure.</w:t>
      </w:r>
    </w:p>
    <w:p>
      <w:pPr>
        <w:pStyle w:val="Corpsdetexte"/>
      </w:pPr>
      <w:r>
        <w:drawing>
          <wp:inline>
            <wp:extent cx="4620126" cy="3696101"/>
            <wp:effectExtent b="0" l="0" r="0" t="0"/>
            <wp:docPr descr="" title="" id="690" name="Picture"/>
            <a:graphic>
              <a:graphicData uri="http://schemas.openxmlformats.org/drawingml/2006/picture">
                <pic:pic>
                  <pic:nvPicPr>
                    <pic:cNvPr descr="06_securite_alimentaire_files/figure-docx/g1_soudure_distrib-1.png" id="691" name="Picture"/>
                    <pic:cNvPicPr>
                      <a:picLocks noChangeArrowheads="1" noChangeAspect="1"/>
                    </pic:cNvPicPr>
                  </pic:nvPicPr>
                  <pic:blipFill>
                    <a:blip r:embed="rId689"/>
                    <a:stretch>
                      <a:fillRect/>
                    </a:stretch>
                  </pic:blipFill>
                  <pic:spPr bwMode="auto">
                    <a:xfrm>
                      <a:off x="0" y="0"/>
                      <a:ext cx="4620126" cy="3696101"/>
                    </a:xfrm>
                    <a:prstGeom prst="rect">
                      <a:avLst/>
                    </a:prstGeom>
                    <a:noFill/>
                    <a:ln w="9525">
                      <a:noFill/>
                      <a:headEnd/>
                      <a:tailEnd/>
                    </a:ln>
                  </pic:spPr>
                </pic:pic>
              </a:graphicData>
            </a:graphic>
          </wp:inline>
        </w:drawing>
      </w:r>
    </w:p>
    <w:bookmarkEnd w:id="692"/>
    <w:bookmarkStart w:id="696" w:name="calendrier-de-la-soudure"/>
    <w:p>
      <w:pPr>
        <w:pStyle w:val="Titre4"/>
      </w:pPr>
      <w:r>
        <w:t xml:space="preserve">6.1.1.4 Calendrier de la soudure</w:t>
      </w:r>
    </w:p>
    <w:p>
      <w:pPr>
        <w:pStyle w:val="FirstParagraph"/>
      </w:pPr>
      <w:r>
        <w:t xml:space="preserve">Les deux zones connaissent une période de soudure centrée sur le premier trimestre de l’année civile, correspondant à la période précédant la grande récolte.</w:t>
      </w:r>
    </w:p>
    <w:p>
      <w:pPr>
        <w:pStyle w:val="Corpsdetexte"/>
      </w:pPr>
      <w:r>
        <w:t xml:space="preserve">À l’Alaotra, la période de soudure est particulièrement intense et prolongée. La période la plus critique se situe entre février et avril pour atteindre un pic de 86.8% en mars. Par contre, bien avant le début de la période des pluies au mois d’octobre, la période de soudure touche déjà 12.8% des ménages au mois d’août et continue à augmenter les mois suivants. Les retombés du mois d’avril jusqu’au mois de juillet coincident avec la période de récolte du riz pluvial et irrigué entre avril et juin (Calendrier agricole, MINAGRI 2001)</w:t>
      </w:r>
    </w:p>
    <w:p>
      <w:pPr>
        <w:pStyle w:val="Corpsdetexte"/>
      </w:pPr>
      <w:r>
        <w:t xml:space="preserve">À Marovoay, la période la plus critique survient entre janvier et mars avec un pic de 65.3% des ménages en février. Ce pic de février est rapidement résorbé le mois suivant avec 52.4% des ménages touchés puis chute à 20.6% en avril. En effet, dès la mi-mars, débutent les récoltes du riz pluvial et de la campagne Asara (Riz irrigué de 2ème saison). De plus, la présence d’autres campagnes notamment le riz intermédiaire Atriatry récolté à partir de mai, ainsi que le riz de contre-saison Jeby en juin et juillet, permet de maintenir la sécurité alimentaire durant une grande partie de la saison sèche (Calendrier agricole, MINAGRI 2001). Cependant, la soudure débute en septembre juste avant le début de la période humide avec 24.9% des ménages concernés . Toutefois, la situation reste relativement stable autour de 22% à 25% jusqu’en décembre avant de bondir à 39.3% en janvier.</w:t>
      </w:r>
    </w:p>
    <w:p>
      <w:pPr>
        <w:pStyle w:val="Corpsdetexte"/>
      </w:pPr>
      <w:r>
        <w:drawing>
          <wp:inline>
            <wp:extent cx="4620126" cy="3696101"/>
            <wp:effectExtent b="0" l="0" r="0" t="0"/>
            <wp:docPr descr="" title="" id="694" name="Picture"/>
            <a:graphic>
              <a:graphicData uri="http://schemas.openxmlformats.org/drawingml/2006/picture">
                <pic:pic>
                  <pic:nvPicPr>
                    <pic:cNvPr descr="06_securite_alimentaire_files/figure-docx/g2_calendrier_soudure-1.png" id="695" name="Picture"/>
                    <pic:cNvPicPr>
                      <a:picLocks noChangeArrowheads="1" noChangeAspect="1"/>
                    </pic:cNvPicPr>
                  </pic:nvPicPr>
                  <pic:blipFill>
                    <a:blip r:embed="rId693"/>
                    <a:stretch>
                      <a:fillRect/>
                    </a:stretch>
                  </pic:blipFill>
                  <pic:spPr bwMode="auto">
                    <a:xfrm>
                      <a:off x="0" y="0"/>
                      <a:ext cx="4620126" cy="3696101"/>
                    </a:xfrm>
                    <a:prstGeom prst="rect">
                      <a:avLst/>
                    </a:prstGeom>
                    <a:noFill/>
                    <a:ln w="9525">
                      <a:noFill/>
                      <a:headEnd/>
                      <a:tailEnd/>
                    </a:ln>
                  </pic:spPr>
                </pic:pic>
              </a:graphicData>
            </a:graphic>
          </wp:inline>
        </w:drawing>
      </w:r>
    </w:p>
    <w:bookmarkEnd w:id="696"/>
    <w:bookmarkEnd w:id="697"/>
    <w:bookmarkStart w:id="705"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Dans l’Alaotra, La durée moyenne du stress alimentaire atteint 2.5 mois.</w:t>
      </w:r>
    </w:p>
    <w:p>
      <w:pPr>
        <w:pStyle w:val="Corpsdetexte"/>
      </w:pPr>
      <w:r>
        <w:t xml:space="preserve">A Marovoay, La durée moyenne du stress alimentaire atteint 3.3 mois.</w:t>
      </w:r>
    </w:p>
    <w:bookmarkStart w:id="698" w:name="X9a463c72b8245f9704bb79ecb2abc3d188eed1f"/>
    <w:p>
      <w:pPr>
        <w:pStyle w:val="Titre4"/>
      </w:pPr>
      <w:r>
        <w:t xml:space="preserve">6.1.2.1 Durée du stress alimentaire par observatoire</w:t>
      </w:r>
    </w:p>
    <w:p>
      <w:pPr>
        <w:pStyle w:val="FirstParagraph"/>
      </w:pPr>
      <w:r>
        <w:t xml:space="preserve">Bien que le maximum observé soit également de 12 mois, certains ménages ne déclarent aucun mois de stress alimentaire.</w:t>
      </w:r>
    </w:p>
    <w:p>
      <w:pPr>
        <w:pStyle w:val="Corpsdetexte"/>
      </w:pPr>
      <w:r>
        <w:t xml:space="preserve">A Alaotra, la durée moyenne du stress alimentaire est de 2.5 mois. La période de soudure de la moitié des ménages est inférieure ou égale à 2 mois et l’autre moitié a une période de soudure supérieure à 2 mois.</w:t>
      </w:r>
    </w:p>
    <w:p>
      <w:pPr>
        <w:pStyle w:val="Corpsdetexte"/>
      </w:pPr>
      <w:r>
        <w:t xml:space="preserve">A Marovoay, l’enquête auprès des ménages révèle une durée moyenne de stress alimentaire de 3.3 mois. La période de soudure de la moitié des ménages est de 3 mois ou moins.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du stress alimentaire par observatoire</w:t>
            </w:r>
          </w:p>
        </w:tc>
      </w:tr>
      <w:tr>
        <w:trPr>
          <w:tblHeader w:val="on"/>
        </w:trPr>
        <w:tc>
          <w:tcPr>
            <w:gridSpan w:val="7"/>
          </w:tcPr>
          <w:p>
            <w:pPr>
              <w:pStyle w:val="Compact"/>
              <w:jc w:val="center"/>
            </w:pPr>
            <w:r>
              <w:t xml:space="preserve">Nombre de mois de stress alimentaire (sal15a)</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0</w:t>
            </w:r>
          </w:p>
        </w:tc>
        <w:tc>
          <w:tcPr/>
          <w:p>
            <w:pPr>
              <w:pStyle w:val="Compact"/>
              <w:jc w:val="right"/>
            </w:pPr>
            <w:r>
              <w:t xml:space="preserve">2</w:t>
            </w:r>
          </w:p>
        </w:tc>
        <w:tc>
          <w:tcPr/>
          <w:p>
            <w:pPr>
              <w:pStyle w:val="Compact"/>
              <w:jc w:val="right"/>
            </w:pPr>
            <w:r>
              <w:t xml:space="preserve">2.5</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3</w:t>
            </w:r>
          </w:p>
        </w:tc>
        <w:tc>
          <w:tcPr/>
          <w:p>
            <w:pPr>
              <w:pStyle w:val="Compact"/>
              <w:jc w:val="right"/>
            </w:pPr>
            <w:r>
              <w:t xml:space="preserve">3.3</w:t>
            </w:r>
          </w:p>
        </w:tc>
        <w:tc>
          <w:tcPr/>
          <w:p>
            <w:pPr>
              <w:pStyle w:val="Compact"/>
              <w:jc w:val="right"/>
            </w:pPr>
            <w:r>
              <w:t xml:space="preserve">12</w:t>
            </w:r>
          </w:p>
        </w:tc>
        <w:tc>
          <w:tcPr/>
          <w:p>
            <w:pPr>
              <w:pStyle w:val="Compact"/>
              <w:jc w:val="right"/>
            </w:pPr>
            <w:r>
              <w:t xml:space="preserve">2.0</w:t>
            </w:r>
          </w:p>
        </w:tc>
      </w:tr>
    </w:tbl>
    <w:bookmarkEnd w:id="698"/>
    <w:bookmarkStart w:id="699" w:name="calendrier-du-stress-alimentaire"/>
    <w:p>
      <w:pPr>
        <w:pStyle w:val="Titre4"/>
      </w:pPr>
      <w:r>
        <w:t xml:space="preserve">6.1.2.2 Calendrier du stress alimentaire</w:t>
      </w:r>
    </w:p>
    <w:p>
      <w:pPr>
        <w:pStyle w:val="FirstParagraph"/>
      </w:pPr>
      <w:r>
        <w:rPr>
          <w:b/>
          <w:bCs/>
        </w:rPr>
        <w:t xml:space="preserve">A VOIR CODE R CAR LE CALENDRIER N’APPARRAIT PAS +&gt; FIGURE +INTERPRETATION</w:t>
      </w:r>
    </w:p>
    <w:bookmarkEnd w:id="699"/>
    <w:bookmarkStart w:id="704" w:name="Xccf58b071d79cc51e6dccc31b240904335e5845"/>
    <w:p>
      <w:pPr>
        <w:pStyle w:val="Titre4"/>
      </w:pPr>
      <w:r>
        <w:t xml:space="preserve">6.1.2.3 Comparaison soudure et stress alimentaire</w:t>
      </w:r>
    </w:p>
    <w:p>
      <w:pPr>
        <w:pStyle w:val="FirstParagraph"/>
      </w:pPr>
      <w:r>
        <w:t xml:space="preserve">À l’Alaotra, la période de soudure est particulièrement intense et prolongée. Les taux de ménages concernés est systématiquement supérieurs à ceux déclarant un stress alimentaire durant la majeure partie de l’année. La période la plus critique se situe entre février et avril atteignant un pic de 86.8 % de ménages en soudure contre 74.8 % en stress alimentaire au mois de mars. Bien avant le début de la saison humide, la période de soudure s’intensifie dès le mois d’août en touchant 12.8 % des ménages pour atteindre 37.5 % en octobre, tandis que le stress alimentaire se manifeste dès le mois de septembre avec un taux de 17 %. La baisse brutale observée à partir de mai, où le taux de ménages en soudure chute à 3.2 % et celui du stress alimentaire à 2.6 %, coïncide exactement avec le début des récoltes du riz irrigué et du riz pluvial qui s’étendent de mai à juin selon le calendrier agricole de cette zone.</w:t>
      </w:r>
    </w:p>
    <w:p>
      <w:pPr>
        <w:pStyle w:val="Corpsdetexte"/>
      </w:pPr>
      <w:r>
        <w:t xml:space="preserve">À Marovoay, les taux de stress alimentaire sont systématiquement plus élevés que ceux de la soudure tout au long de l’année. La période la plus critique survient entre janvier et mars avec un pic en février touchant 65.3 % des ménages pour la soudure et 67.6 % pour le stress alimentaire. Ce pic de février est rapidement résorbé le mois suivant avec 52.4 % de ménages en soudure en mars, puis chute drastiquement à 20.6 % en avril. Ce soulagement précoce s’explique par le début des récoltes du riz pluvial et de la campagne Asara dès la mi-mars selon le calendrier agricole. La présence d’autres cycles rizicoles comme le riz intermédiaire (Atriatry) récolté à partir de mai, et le riz de contre-saison (Jeby) en juin et juillet permet de maintenir la sécurité alimentaire durant la saison sèche bien que le stress alimentaire persiste pour environ 10 % à 17 % des ménages durant cette période. La période de soudure amorce cependant sa progression dès le mois de septembre avec 11.9 % de ménages affectés juste avant la saison humide, pour s’établir à 24.9 % en octobre. À cette même période, le stress alimentaire concerne déjà 35.1 % des foyers, bien que cette difficulté se manifeste dès le mois d’août avec un taux de 13.3 %. Enfin, entre octobre et décembre, les niveaux de soudure et de stress alimentaire demeurent relativement stables, oscillant respectivement entre 22 % et 25 % d’une part, et entre 30 % et 35 % d’autre part, avant de bondir en janvier pour atteindre 39.3 % contre 47.4 %.</w:t>
      </w:r>
    </w:p>
    <w:tbl>
      <w:tblPr>
        <w:tblStyle w:val="Table"/>
        <w:tblW w:type="pct" w:w="5000"/>
        <w:tblLayout w:type="fixed"/>
        <w:tblLook w:firstRow="0" w:lastRow="0" w:firstColumn="0" w:lastColumn="0" w:noHBand="0" w:noVBand="0" w:val="0000"/>
      </w:tblPr>
      <w:tblGrid>
        <w:gridCol w:w="7920"/>
      </w:tblGrid>
      <w:tr>
        <w:tc>
          <w:tcPr/>
          <w:bookmarkStart w:id="703" w:name="fig-soudure-vs-stress"/>
          <w:p>
            <w:pPr>
              <w:jc w:val="center"/>
            </w:pPr>
            <w:pPr>
              <w:jc w:val="left"/>
              <w:spacing w:before="200"/>
              <w:pStyle w:val="ImageCaption"/>
            </w:pPr>
            <w:r>
              <w:t xml:space="preserve">Figure 6.1: Comparaison soudure et stress alimentaire</w:t>
            </w:r>
          </w:p>
          <w:p>
            <w:pPr>
              <w:pStyle w:val="Compact"/>
              <w:jc w:val="center"/>
            </w:pPr>
            <w:r>
              <w:drawing>
                <wp:inline>
                  <wp:extent cx="4620126" cy="3696101"/>
                  <wp:effectExtent b="0" l="0" r="0" t="0"/>
                  <wp:docPr descr="" title="" id="701" name="Picture"/>
                  <a:graphic>
                    <a:graphicData uri="http://schemas.openxmlformats.org/drawingml/2006/picture">
                      <pic:pic>
                        <pic:nvPicPr>
                          <pic:cNvPr descr="06_securite_alimentaire_files/figure-docx/fig-soudure-vs-stress-1.png" id="702" name="Picture"/>
                          <pic:cNvPicPr>
                            <a:picLocks noChangeArrowheads="1" noChangeAspect="1"/>
                          </pic:cNvPicPr>
                        </pic:nvPicPr>
                        <pic:blipFill>
                          <a:blip r:embed="rId700"/>
                          <a:stretch>
                            <a:fillRect/>
                          </a:stretch>
                        </pic:blipFill>
                        <pic:spPr bwMode="auto">
                          <a:xfrm>
                            <a:off x="0" y="0"/>
                            <a:ext cx="4620126" cy="3696101"/>
                          </a:xfrm>
                          <a:prstGeom prst="rect">
                            <a:avLst/>
                          </a:prstGeom>
                          <a:noFill/>
                          <a:ln w="9525">
                            <a:noFill/>
                            <a:headEnd/>
                            <a:tailEnd/>
                          </a:ln>
                        </pic:spPr>
                      </pic:pic>
                    </a:graphicData>
                  </a:graphic>
                </wp:inline>
              </w:drawing>
            </w:r>
          </w:p>
          <w:bookmarkEnd w:id="703"/>
        </w:tc>
      </w:tr>
    </w:tbl>
    <w:bookmarkEnd w:id="704"/>
    <w:bookmarkEnd w:id="705"/>
    <w:bookmarkStart w:id="713"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mais sa place relative varie selon la saison et la localité. Les substitutions opérées pendant la soudure (manioc, patate douce, maïs) témoignent des stratégies d’adaptation alimentaire des ménages.</w:t>
      </w:r>
    </w:p>
    <w:bookmarkStart w:id="706" w:name="alimentation-hors-soudure"/>
    <w:p>
      <w:pPr>
        <w:pStyle w:val="Titre4"/>
      </w:pPr>
      <w:r>
        <w:t xml:space="preserve">6.1.3.1 Alimentation hors soudure</w:t>
      </w:r>
    </w:p>
    <w:p>
      <w:pPr>
        <w:pStyle w:val="FirstParagraph"/>
      </w:pPr>
      <w:r>
        <w:t xml:space="preserve">A Alaotra, le riz constitue le socle de l’alimentation des ménages pour les trois repas de la journée hors période de soudure avec 97.8% des ménages consomment du riz au petit-déjeuner, 93.5% au déjeuner et 99.6% au dîner.</w:t>
      </w:r>
    </w:p>
    <w:p>
      <w:pPr>
        <w:pStyle w:val="Corpsdetexte"/>
      </w:pPr>
      <w:r>
        <w:t xml:space="preserve">À Marovoay, le riz est l’aliment de base prédominant en dehors de la période de soudure. Il représente l’essentiel du petit-déjeuner à 89.9% des ménages, des déjeuners à 95.2%, des dîners pour 99.6%.</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hors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93.5</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4.0</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97.8</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95.2</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2.5</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89.9</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2.7</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2.3</w:t>
            </w:r>
          </w:p>
        </w:tc>
      </w:tr>
    </w:tbl>
    <w:bookmarkEnd w:id="706"/>
    <w:bookmarkStart w:id="707" w:name="alimentation-pendant-la-soudure"/>
    <w:p>
      <w:pPr>
        <w:pStyle w:val="Titre4"/>
      </w:pPr>
      <w:r>
        <w:t xml:space="preserve">6.1.3.2 Alimentation pendant la soudure</w:t>
      </w:r>
    </w:p>
    <w:p>
      <w:pPr>
        <w:pStyle w:val="FirstParagraph"/>
      </w:pPr>
      <w:r>
        <w:t xml:space="preserve">A Alaotra, le riz demeure l’aliment prédominant pour 92.0% des ménages au petit déjeuner. Pour le déjeuner, les habitudes se diversifient davantage car le riz ne représente plus que 52.6% des réponses tandis que le manioc et le maïs deviennent des substituts importants avec des taux respectifs de 27.4% et 16.7%. Enfin, le dîner reste la structure la plus stable de l’alimentation avec 98.0% des ménages qui continuent de consommer du riz pendant cette période de soudure.</w:t>
      </w:r>
    </w:p>
    <w:p>
      <w:pPr>
        <w:pStyle w:val="Corpsdetexte"/>
      </w:pPr>
      <w:r>
        <w:t xml:space="preserve">A Marovoay, le changement est très marqué durant la soudure au petit déjeuner. La part du riz chute à 55.7% tandis que 25.3% des ménages déclarent ne rien consommer du tout. Concernant le déjeuner, le riz ne constitue plus le repas que pour 60.8% des ménages complété par le maïs à 20.7%, le manioc à 11.5% et la patate douce à 4.6%. Pour le dîner, le riz conserve sa place centrale pour 92.5% des ménages, bien que le manioc (2.6%) et le maïs (2.4%) fassent de légères apparitions dans les statistiques de consommation.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pendant la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52.6</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27.4</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16.7</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98.0</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92.0</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3.6</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60.8</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20.7</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11.5</w:t>
            </w:r>
          </w:p>
        </w:tc>
      </w:tr>
      <w:tr>
        <w:tc>
          <w:tcPr/>
          <w:p>
            <w:pPr>
              <w:pStyle w:val="Compact"/>
              <w:jc w:val="left"/>
            </w:pPr>
            <w:r>
              <w:t xml:space="preserve">Déjeuner</w:t>
            </w:r>
          </w:p>
        </w:tc>
        <w:tc>
          <w:tcPr/>
          <w:p>
            <w:pPr>
              <w:pStyle w:val="Compact"/>
              <w:jc w:val="left"/>
            </w:pPr>
            <w:r>
              <w:t xml:space="preserve">Patate douce</w:t>
            </w:r>
          </w:p>
        </w:tc>
        <w:tc>
          <w:tcPr/>
          <w:p>
            <w:pPr>
              <w:pStyle w:val="Compact"/>
              <w:jc w:val="right"/>
            </w:pPr>
            <w:r>
              <w:t xml:space="preserve">4.6</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92.5</w:t>
            </w:r>
          </w:p>
        </w:tc>
      </w:tr>
      <w:tr>
        <w:tc>
          <w:tcPr/>
          <w:p>
            <w:pPr>
              <w:pStyle w:val="Compact"/>
              <w:jc w:val="left"/>
            </w:pPr>
            <w:r>
              <w:t xml:space="preserve">Dîner</w:t>
            </w:r>
          </w:p>
        </w:tc>
        <w:tc>
          <w:tcPr/>
          <w:p>
            <w:pPr>
              <w:pStyle w:val="Compact"/>
              <w:jc w:val="left"/>
            </w:pPr>
            <w:r>
              <w:t xml:space="preserve">Manioc</w:t>
            </w:r>
          </w:p>
        </w:tc>
        <w:tc>
          <w:tcPr/>
          <w:p>
            <w:pPr>
              <w:pStyle w:val="Compact"/>
              <w:jc w:val="right"/>
            </w:pPr>
            <w:r>
              <w:t xml:space="preserve">2.6</w:t>
            </w:r>
          </w:p>
        </w:tc>
      </w:tr>
      <w:tr>
        <w:tc>
          <w:tcPr/>
          <w:p>
            <w:pPr>
              <w:pStyle w:val="Compact"/>
              <w:jc w:val="left"/>
            </w:pPr>
            <w:r>
              <w:t xml:space="preserve">Dîner</w:t>
            </w:r>
          </w:p>
        </w:tc>
        <w:tc>
          <w:tcPr/>
          <w:p>
            <w:pPr>
              <w:pStyle w:val="Compact"/>
              <w:jc w:val="left"/>
            </w:pPr>
            <w:r>
              <w:t xml:space="preserve">Maïs</w:t>
            </w:r>
          </w:p>
        </w:tc>
        <w:tc>
          <w:tcPr/>
          <w:p>
            <w:pPr>
              <w:pStyle w:val="Compact"/>
              <w:jc w:val="right"/>
            </w:pPr>
            <w:r>
              <w:t xml:space="preserve">2.4</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55.7</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25.3</w:t>
            </w:r>
          </w:p>
        </w:tc>
      </w:tr>
      <w:tr>
        <w:tc>
          <w:tcPr/>
          <w:p>
            <w:pPr>
              <w:pStyle w:val="Compact"/>
              <w:jc w:val="left"/>
            </w:pPr>
            <w:r>
              <w:t xml:space="preserve">Petit-déjeuner</w:t>
            </w:r>
          </w:p>
        </w:tc>
        <w:tc>
          <w:tcPr/>
          <w:p>
            <w:pPr>
              <w:pStyle w:val="Compact"/>
              <w:jc w:val="left"/>
            </w:pPr>
            <w:r>
              <w:t xml:space="preserve">Manioc</w:t>
            </w:r>
          </w:p>
        </w:tc>
        <w:tc>
          <w:tcPr/>
          <w:p>
            <w:pPr>
              <w:pStyle w:val="Compact"/>
              <w:jc w:val="right"/>
            </w:pPr>
            <w:r>
              <w:t xml:space="preserve">6.1</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3.6</w:t>
            </w:r>
          </w:p>
        </w:tc>
      </w:tr>
      <w:tr>
        <w:tc>
          <w:tcPr/>
          <w:p>
            <w:pPr>
              <w:pStyle w:val="Compact"/>
              <w:jc w:val="left"/>
            </w:pPr>
            <w:r>
              <w:t xml:space="preserve">Petit-déjeuner</w:t>
            </w:r>
          </w:p>
        </w:tc>
        <w:tc>
          <w:tcPr/>
          <w:p>
            <w:pPr>
              <w:pStyle w:val="Compact"/>
              <w:jc w:val="left"/>
            </w:pPr>
            <w:r>
              <w:t xml:space="preserve">Maïs</w:t>
            </w:r>
          </w:p>
        </w:tc>
        <w:tc>
          <w:tcPr/>
          <w:p>
            <w:pPr>
              <w:pStyle w:val="Compact"/>
              <w:jc w:val="right"/>
            </w:pPr>
            <w:r>
              <w:t xml:space="preserve">3.4</w:t>
            </w:r>
          </w:p>
        </w:tc>
      </w:tr>
      <w:tr>
        <w:tc>
          <w:tcPr/>
          <w:p>
            <w:pPr>
              <w:pStyle w:val="Compact"/>
              <w:jc w:val="left"/>
            </w:pPr>
            <w:r>
              <w:t xml:space="preserve">Petit-déjeuner</w:t>
            </w:r>
          </w:p>
        </w:tc>
        <w:tc>
          <w:tcPr/>
          <w:p>
            <w:pPr>
              <w:pStyle w:val="Compact"/>
              <w:jc w:val="left"/>
            </w:pPr>
            <w:r>
              <w:t xml:space="preserve">Patate douce</w:t>
            </w:r>
          </w:p>
        </w:tc>
        <w:tc>
          <w:tcPr/>
          <w:p>
            <w:pPr>
              <w:pStyle w:val="Compact"/>
              <w:jc w:val="right"/>
            </w:pPr>
            <w:r>
              <w:t xml:space="preserve">2.8</w:t>
            </w:r>
          </w:p>
        </w:tc>
      </w:tr>
    </w:tbl>
    <w:bookmarkEnd w:id="707"/>
    <w:bookmarkStart w:id="711" w:name="X72a9965c0dbad0a4072f515989797b1356a2468"/>
    <w:p>
      <w:pPr>
        <w:pStyle w:val="Titre4"/>
      </w:pPr>
      <w:r>
        <w:t xml:space="preserve">6.1.3.3 Comparaison de l’alimentation au déjeuner : hors vs pendant soudure</w:t>
      </w:r>
    </w:p>
    <w:p>
      <w:pPr>
        <w:pStyle w:val="FirstParagraph"/>
      </w:pPr>
      <w:r>
        <w:t xml:space="preserve">A Alaotra, le riz est l’aliment de base quasi exclusif consommé par 93.5% des ménages hors soudure et va chuter à 52.6% pendant la soudure. Ce recul est compensé par une diversification vers d’autres produits vivriers. Le manioc devient l’aliment de base au déjeuner pour 27.4% des ménages tandis que le maïs concerne 16.7% des ménages.</w:t>
      </w:r>
    </w:p>
    <w:p>
      <w:pPr>
        <w:pStyle w:val="Corpsdetexte"/>
      </w:pPr>
      <w:r>
        <w:t xml:space="preserve">À Marovoay, le riz domine le déjeuner hors soudure avec un taux de 95.2%. Pendant la soudure, sa consommation diminue pour atteindre 60.8%. Le maïs devient alors le principal aliment de substitution avec 20.7% des réponses. Les ménages intègrent également d’autres aliments comme le manioc à hauteur de 11.5% et la patate douce pour 4.6% d’entre eux.</w:t>
      </w:r>
    </w:p>
    <w:p>
      <w:pPr>
        <w:pStyle w:val="Corpsdetexte"/>
      </w:pPr>
      <w:r>
        <w:drawing>
          <wp:inline>
            <wp:extent cx="4620126" cy="3696101"/>
            <wp:effectExtent b="0" l="0" r="0" t="0"/>
            <wp:docPr descr="" title="" id="709" name="Picture"/>
            <a:graphic>
              <a:graphicData uri="http://schemas.openxmlformats.org/drawingml/2006/picture">
                <pic:pic>
                  <pic:nvPicPr>
                    <pic:cNvPr descr="06_securite_alimentaire_files/figure-docx/g4_comparaison_dejeuner-1.png" id="710" name="Picture"/>
                    <pic:cNvPicPr>
                      <a:picLocks noChangeArrowheads="1" noChangeAspect="1"/>
                    </pic:cNvPicPr>
                  </pic:nvPicPr>
                  <pic:blipFill>
                    <a:blip r:embed="rId708"/>
                    <a:stretch>
                      <a:fillRect/>
                    </a:stretch>
                  </pic:blipFill>
                  <pic:spPr bwMode="auto">
                    <a:xfrm>
                      <a:off x="0" y="0"/>
                      <a:ext cx="4620126" cy="3696101"/>
                    </a:xfrm>
                    <a:prstGeom prst="rect">
                      <a:avLst/>
                    </a:prstGeom>
                    <a:noFill/>
                    <a:ln w="9525">
                      <a:noFill/>
                      <a:headEnd/>
                      <a:tailEnd/>
                    </a:ln>
                  </pic:spPr>
                </pic:pic>
              </a:graphicData>
            </a:graphic>
          </wp:inline>
        </w:drawing>
      </w:r>
    </w:p>
    <w:bookmarkEnd w:id="711"/>
    <w:bookmarkStart w:id="712" w:name="Xac9b27d1fa2958ed638b7f1d3389e7618eba676"/>
    <w:p>
      <w:pPr>
        <w:pStyle w:val="Titre4"/>
      </w:pPr>
      <w:r>
        <w:t xml:space="preserve">6.1.3.4 Changement d’aliment de base au déjeuner entre hors et pendant soudure</w:t>
      </w:r>
    </w:p>
    <w:p>
      <w:pPr>
        <w:pStyle w:val="FirstParagraph"/>
      </w:pPr>
      <w:r>
        <w:t xml:space="preserve">À l’Alaotra, un peu plus de la moitié des ménages, soit 52.2%, consomme du riz au déjeuner durant la période de soudure. Pour le reste des ménages, l’épuisement des stocks entraîne un recours accru à des aliments de substitution comme le manioc et le maïs, consommés respectivement par 23.4 % et 15.3 % des ménages. Ce recours au manioc est d’autant plus marqué qu’il ne constitue l’alimentation de base habituelle que pour 3.6 % des foyers au cours de l’année.</w:t>
      </w:r>
    </w:p>
    <w:p>
      <w:pPr>
        <w:pStyle w:val="Corpsdetexte"/>
      </w:pPr>
      <w:r>
        <w:t xml:space="preserve">À Marovoay, une proportion plus élevée de ménages, soit 60.6 %, mange du riz au déjeuner pendant la période de soudure. Pour compenser cette diminution, les ménages se tournent vers des aliments de substitution comme le maïs, le manioc et la patate douce adoptés respectivement par 18.1 %, 9.7 % et 1.2 % d’entre eux. Cette transition vers le maïs et le manioc est d’autant plus marquée que ces aliments ne constituent l’alimentation de base habituelle au déjeuner que pour 2.2 % et 1.6 % des ménages au cours de l’année. En revanche, hors période de soudure, les ménages ne consomment pas de patate douce.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Changement d'aliment de base au déjeuner</w:t>
            </w:r>
          </w:p>
        </w:tc>
      </w:tr>
      <w:tr>
        <w:trPr>
          <w:tblHeader w:val="on"/>
        </w:trPr>
        <w:tc>
          <w:tcPr>
            <w:gridSpan w:val="3"/>
          </w:tcPr>
          <w:p>
            <w:pPr>
              <w:pStyle w:val="Compact"/>
              <w:jc w:val="center"/>
            </w:pPr>
            <w:r>
              <w:t xml:space="preserve">Transitions hors soudure → pendant soudure (≥ 1%)</w:t>
            </w:r>
          </w:p>
        </w:tc>
      </w:tr>
      <w:tr>
        <w:trPr>
          <w:tblHeader w:val="on"/>
        </w:trPr>
        <w:tc>
          <w:tcPr/>
          <w:p>
            <w:pPr>
              <w:pStyle w:val="Compact"/>
              <w:jc w:val="left"/>
            </w:pPr>
            <w:r>
              <w:t xml:space="preserve">Hors soudure</w:t>
            </w:r>
          </w:p>
        </w:tc>
        <w:tc>
          <w:tcPr/>
          <w:p>
            <w:pPr>
              <w:pStyle w:val="Compact"/>
              <w:jc w:val="left"/>
            </w:pPr>
            <w:r>
              <w:t xml:space="preserve">Pendant soudure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52.2</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23.4</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15.3</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3.6</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1.2</w:t>
            </w:r>
          </w:p>
        </w:tc>
      </w:tr>
      <w:tr>
        <w:tc>
          <w:tcPr/>
          <w:p>
            <w:pPr>
              <w:pStyle w:val="Compact"/>
              <w:jc w:val="left"/>
            </w:pPr>
            <w:r>
              <w:t xml:space="preserve">Riz</w:t>
            </w:r>
          </w:p>
        </w:tc>
        <w:tc>
          <w:tcPr/>
          <w:p>
            <w:pPr>
              <w:pStyle w:val="Compact"/>
              <w:jc w:val="left"/>
            </w:pPr>
            <w:r>
              <w:t xml:space="preserve">Autres mélanges</w:t>
            </w:r>
          </w:p>
        </w:tc>
        <w:tc>
          <w:tcPr/>
          <w:p>
            <w:pPr>
              <w:pStyle w:val="Compact"/>
              <w:jc w:val="right"/>
            </w:pPr>
            <w:r>
              <w:t xml:space="preserve">1.0</w:t>
            </w:r>
          </w:p>
        </w:tc>
      </w:tr>
      <w:tr>
        <w:tc>
          <w:tcPr>
            <w:gridSpan w:val="3"/>
          </w:tcPr>
          <w:p>
            <w:pPr>
              <w:pStyle w:val="Compact"/>
              <w:jc w:val="left"/>
            </w:pPr>
            <w:r>
              <w:t xml:space="preserve">Marovoay</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60.6</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18.1</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9.7</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4.2</w:t>
            </w:r>
          </w:p>
        </w:tc>
      </w:tr>
      <w:tr>
        <w:tc>
          <w:tcPr/>
          <w:p>
            <w:pPr>
              <w:pStyle w:val="Compact"/>
              <w:jc w:val="left"/>
            </w:pPr>
            <w:r>
              <w:t xml:space="preserve">Maïs</w:t>
            </w:r>
          </w:p>
        </w:tc>
        <w:tc>
          <w:tcPr/>
          <w:p>
            <w:pPr>
              <w:pStyle w:val="Compact"/>
              <w:jc w:val="left"/>
            </w:pPr>
            <w:r>
              <w:t xml:space="preserve">Maïs</w:t>
            </w:r>
          </w:p>
        </w:tc>
        <w:tc>
          <w:tcPr/>
          <w:p>
            <w:pPr>
              <w:pStyle w:val="Compact"/>
              <w:jc w:val="right"/>
            </w:pPr>
            <w:r>
              <w:t xml:space="preserve">2.2</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1.6</w:t>
            </w:r>
          </w:p>
        </w:tc>
      </w:tr>
      <w:tr>
        <w:tc>
          <w:tcPr/>
          <w:p>
            <w:pPr>
              <w:pStyle w:val="Compact"/>
              <w:jc w:val="left"/>
            </w:pPr>
            <w:r>
              <w:t xml:space="preserve">Riz</w:t>
            </w:r>
          </w:p>
        </w:tc>
        <w:tc>
          <w:tcPr/>
          <w:p>
            <w:pPr>
              <w:pStyle w:val="Compact"/>
              <w:jc w:val="left"/>
            </w:pPr>
            <w:r>
              <w:t xml:space="preserve">Rien</w:t>
            </w:r>
          </w:p>
        </w:tc>
        <w:tc>
          <w:tcPr/>
          <w:p>
            <w:pPr>
              <w:pStyle w:val="Compact"/>
              <w:jc w:val="right"/>
            </w:pPr>
            <w:r>
              <w:t xml:space="preserve">1.0</w:t>
            </w:r>
          </w:p>
        </w:tc>
      </w:tr>
    </w:tbl>
    <w:bookmarkEnd w:id="712"/>
    <w:bookmarkEnd w:id="713"/>
    <w:bookmarkEnd w:id="714"/>
    <w:bookmarkStart w:id="729"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718" w:name="fréquence-des-stratégies-dadaptation"/>
    <w:p>
      <w:pPr>
        <w:pStyle w:val="Titre3"/>
      </w:pPr>
      <w:r>
        <w:t xml:space="preserve">6.2.1 Fréquence des stratégies d’adaptation</w:t>
      </w:r>
    </w:p>
    <w:p>
      <w:pPr>
        <w:pStyle w:val="FirstParagraph"/>
      </w:pPr>
      <w:r>
        <w:t xml:space="preserve">A Alaotra, la stratégie d’adaptation la plus fréquemment mobilisée par les ménages, en cumulant les fréquences quelquefois et souvent, est la réduction de la ration à chaque repas avec un taux de 58.2%. Elle est suivie par la réduction ou le renoncement aux ingrédients chers qui concerne 51.7% des foyers et le remplacement de l’aliment de base pour 41.1%. Plus d’un quart des ménages (26.0%) déclarent réduire le nombre de repas quotidien. Viennent ensuite la cueillette d’aliments sauvages (21.5 %), l’emprunt d’aliments (21.4 %) et l’endettement pour l’achat de nourriture (13.8 %).</w:t>
      </w:r>
    </w:p>
    <w:p>
      <w:pPr>
        <w:pStyle w:val="Corpsdetexte"/>
      </w:pPr>
      <w:r>
        <w:t xml:space="preserve">À Marovoay, la réduction de la ration à chaque repas étant pratiquée souvent ou quelquefois par 80.5% des ménages. La réduction ou le renoncement aux ingrédients chers arrive en deuxième position avec 60.2% des réponses. Le remplacement de l’aliment de base et la réduction du nombre de repas quotidien sont utilisés à parts égales par 43.8% des foyers. On observe ensuite le recours à l’endettement alimentaire (17.7%), la réduction des dépenses non essentielles (16.2%), la cueillette d’aliments sauvages (15.1%) et l’emprunt de nourriture (14.7%). L’envoi d’un membre du ménage chez un autre ménage concerne 10.8% des familles.</w:t>
      </w:r>
    </w:p>
    <w:p>
      <w:pPr>
        <w:pStyle w:val="Corpsdetexte"/>
      </w:pPr>
      <w:r>
        <w:drawing>
          <wp:inline>
            <wp:extent cx="4620126" cy="3696101"/>
            <wp:effectExtent b="0" l="0" r="0" t="0"/>
            <wp:docPr descr="" title="" id="716" name="Picture"/>
            <a:graphic>
              <a:graphicData uri="http://schemas.openxmlformats.org/drawingml/2006/picture">
                <pic:pic>
                  <pic:nvPicPr>
                    <pic:cNvPr descr="06_securite_alimentaire_files/figure-docx/g5_strategies_likert-1.png" id="717" name="Picture"/>
                    <pic:cNvPicPr>
                      <a:picLocks noChangeArrowheads="1" noChangeAspect="1"/>
                    </pic:cNvPicPr>
                  </pic:nvPicPr>
                  <pic:blipFill>
                    <a:blip r:embed="rId715"/>
                    <a:stretch>
                      <a:fillRect/>
                    </a:stretch>
                  </pic:blipFill>
                  <pic:spPr bwMode="auto">
                    <a:xfrm>
                      <a:off x="0" y="0"/>
                      <a:ext cx="4620126" cy="3696101"/>
                    </a:xfrm>
                    <a:prstGeom prst="rect">
                      <a:avLst/>
                    </a:prstGeom>
                    <a:noFill/>
                    <a:ln w="9525">
                      <a:noFill/>
                      <a:headEnd/>
                      <a:tailEnd/>
                    </a:ln>
                  </pic:spPr>
                </pic:pic>
              </a:graphicData>
            </a:graphic>
          </wp:inline>
        </w:drawing>
      </w:r>
    </w:p>
    <w:bookmarkEnd w:id="718"/>
    <w:bookmarkStart w:id="728" w:name="X9cf7e1014deb83f27c62d34c9fba8f88243955e"/>
    <w:p>
      <w:pPr>
        <w:pStyle w:val="Titre3"/>
      </w:pPr>
      <w:r>
        <w:t xml:space="preserve">6.2.2 Sources d’endettement et d’emprunt alimentaire</w:t>
      </w:r>
    </w:p>
    <w:p>
      <w:pPr>
        <w:pStyle w:val="FirstParagraph"/>
      </w:pPr>
      <w:r>
        <w:t xml:space="preserve">A Alaotra, concernant les sources d’endettement pour l’achat alimentaire, les ménages de l’Alaotra se tournent principalement vers la famille à hauteur de 64.1%, suivie des voisins pour 40.6%. Pour ce qui est de l’emprunt d’aliments de base, la famille reste la source la plus sollicitée avec 45.5% suivie des voisins avec 35.0% et enfin des commerçants avec 28.0%.</w:t>
      </w:r>
    </w:p>
    <w:p>
      <w:pPr>
        <w:pStyle w:val="Corpsdetexte"/>
      </w:pPr>
      <w:r>
        <w:t xml:space="preserve">À Marovoay, l’endettement pour l’achat de nourriture est contracté en priorité auprès de la famille pour 44.0% des ménages concernés, puis auprès des voisins pour 33.0%, des usuriers pour 17.8%. Quant à l’emprunt d’aliments, il s’effectue majoritairement auprès de la famille à raison de 58.6% tandis que les voisins interviennent pour 27.1%.</w:t>
      </w:r>
    </w:p>
    <w:p>
      <w:pPr>
        <w:pStyle w:val="CaptionedFigure"/>
      </w:pPr>
      <w:r>
        <w:drawing>
          <wp:inline>
            <wp:extent cx="4620126" cy="3696101"/>
            <wp:effectExtent b="0" l="0" r="0" t="0"/>
            <wp:docPr descr="Sources d’endettement alimentaire" title="" id="720" name="Picture"/>
            <a:graphic>
              <a:graphicData uri="http://schemas.openxmlformats.org/drawingml/2006/picture">
                <pic:pic>
                  <pic:nvPicPr>
                    <pic:cNvPr descr="06_securite_alimentaire_files/figure-docx/fig_sources_endettement-1.png" id="721" name="Picture"/>
                    <pic:cNvPicPr>
                      <a:picLocks noChangeArrowheads="1" noChangeAspect="1"/>
                    </pic:cNvPicPr>
                  </pic:nvPicPr>
                  <pic:blipFill>
                    <a:blip r:embed="rId71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Sources d’endettement alimentaire</w:t>
      </w:r>
    </w:p>
    <w:p>
      <w:pPr>
        <w:pStyle w:val="Corpsdetexte"/>
      </w:pPr>
      <w:r>
        <w:t xml:space="preserve">A Alaotra, les principales sources d’emprunt d’aliments de base proviennent de la famille, citée par 45.5 % des ménages. Les voisins occupent également une place importante avec 35 %, tandis que les commerçants représentent 28 %. Les autres sources restent très peu mobilisées, avec seulement 1.7 % pour les usuriers et 1.7 % pour les autres formes d’emprunt.</w:t>
      </w:r>
    </w:p>
    <w:p>
      <w:pPr>
        <w:pStyle w:val="Corpsdetexte"/>
      </w:pPr>
      <w:r>
        <w:t xml:space="preserve">A Marovoay, la famille constitue de loin la principale source d’emprunt d’aliments de base avec 58.6 % des ménages concernés. Les voisins arrivent ensuite avec 27.1 %. Les commerçants occupent une place plus limitée avec 6.9 %, tandis que les usuriers et les autres sources demeurent marginales avec respectivement 5.6 % et 1.4 %.</w:t>
      </w:r>
    </w:p>
    <w:p>
      <w:pPr>
        <w:pStyle w:val="CaptionedFigure"/>
      </w:pPr>
      <w:r>
        <w:drawing>
          <wp:inline>
            <wp:extent cx="4620126" cy="3696101"/>
            <wp:effectExtent b="0" l="0" r="0" t="0"/>
            <wp:docPr descr="Sources d’emprunt d’aliments de base" title="" id="723" name="Picture"/>
            <a:graphic>
              <a:graphicData uri="http://schemas.openxmlformats.org/drawingml/2006/picture">
                <pic:pic>
                  <pic:nvPicPr>
                    <pic:cNvPr descr="06_securite_alimentaire_files/figure-docx/fig_sources_emprunt-1.png" id="724" name="Picture"/>
                    <pic:cNvPicPr>
                      <a:picLocks noChangeArrowheads="1" noChangeAspect="1"/>
                    </pic:cNvPicPr>
                  </pic:nvPicPr>
                  <pic:blipFill>
                    <a:blip r:embed="rId72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Sources d’emprunt d’aliments de base</w:t>
      </w:r>
    </w:p>
    <w:p>
      <w:pPr>
        <w:pStyle w:val="Corpsdetexte"/>
      </w:pPr>
      <w:r>
        <w:drawing>
          <wp:inline>
            <wp:extent cx="4620126" cy="4620126"/>
            <wp:effectExtent b="0" l="0" r="0" t="0"/>
            <wp:docPr descr="" title="" id="726" name="Picture"/>
            <a:graphic>
              <a:graphicData uri="http://schemas.openxmlformats.org/drawingml/2006/picture">
                <pic:pic>
                  <pic:nvPicPr>
                    <pic:cNvPr descr="06_securite_alimentaire_files/figure-docx/g6_top_strategies-1.png" id="727" name="Picture"/>
                    <pic:cNvPicPr>
                      <a:picLocks noChangeArrowheads="1" noChangeAspect="1"/>
                    </pic:cNvPicPr>
                  </pic:nvPicPr>
                  <pic:blipFill>
                    <a:blip r:embed="rId725"/>
                    <a:stretch>
                      <a:fillRect/>
                    </a:stretch>
                  </pic:blipFill>
                  <pic:spPr bwMode="auto">
                    <a:xfrm>
                      <a:off x="0" y="0"/>
                      <a:ext cx="4620126" cy="4620126"/>
                    </a:xfrm>
                    <a:prstGeom prst="rect">
                      <a:avLst/>
                    </a:prstGeom>
                    <a:noFill/>
                    <a:ln w="9525">
                      <a:noFill/>
                      <a:headEnd/>
                      <a:tailEnd/>
                    </a:ln>
                  </pic:spPr>
                </pic:pic>
              </a:graphicData>
            </a:graphic>
          </wp:inline>
        </w:drawing>
      </w:r>
    </w:p>
    <w:bookmarkEnd w:id="728"/>
    <w:bookmarkEnd w:id="729"/>
    <w:bookmarkStart w:id="733"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 La présence de quelques valeurs extrêmes supérieures à 25 révèle des situations de forte vulnérabilité alimentaire chez certains ménages.</w:t>
      </w:r>
    </w:p>
    <w:p>
      <w:pPr>
        <w:pStyle w:val="Corpsdetexte"/>
      </w:pPr>
      <w:r>
        <w:t xml:space="preserve">À Alaotra, le score CSI moyen est de 8.4 traduisant un recours relativement important aux stratégies d’adaptation alimentaires. Feramanga Atsimo présente le score le plus élevé (10.1), suivi d’Ambohidrony (9.0). Ambatomanga (8.6), Analamiranga et Mangabe (8.5) affichent des niveaux proches de la moyenne générale, tandis qu’Avaradrano enregistre le score le plus faible (6.8). La boîte à moustaches montre que la majorité des ménages ont des scores concentrés autour de la médiane située près de 8.</w:t>
      </w:r>
    </w:p>
    <w:p>
      <w:pPr>
        <w:pStyle w:val="Corpsdetexte"/>
      </w:pPr>
      <w:r>
        <w:t xml:space="preserve">À Marovoay, le score CSI moyen est de 9.5 indiquant un recours plus important aux stratégies d’adaptation. Maroala présente le score le plus élevé (10.0), suivi d’Ampijoroa (9.6), de Madiromiongana (9.3) et de Bepako (9.1). La boîte à moustaches montre une médiane autour de 9 et une concentration de la majorité des ménages entre des scores d’environ 5 et 13.</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Score CSI simplifié par hameau et observatoire</w:t>
            </w:r>
          </w:p>
        </w:tc>
      </w:tr>
      <w:tr>
        <w:trPr>
          <w:tblHeader w:val="on"/>
        </w:trPr>
        <w:tc>
          <w:tcPr>
            <w:gridSpan w:val="3"/>
          </w:tcPr>
          <w:p>
            <w:pPr>
              <w:pStyle w:val="Compact"/>
              <w:jc w:val="center"/>
            </w:pPr>
            <w:r>
              <w:t xml:space="preserve">Somme des fréquences des stratégies (0–3 par stratégie)</w:t>
            </w:r>
          </w:p>
        </w:tc>
      </w:tr>
      <w:tr>
        <w:trPr>
          <w:tblHeader w:val="on"/>
        </w:trPr>
        <w:tc>
          <w:tcPr/>
          <w:p>
            <w:pPr>
              <w:pStyle w:val="Compact"/>
              <w:jc w:val="left"/>
            </w:pPr>
            <w:r>
              <w:t xml:space="preserve">Hameau</w:t>
            </w:r>
          </w:p>
        </w:tc>
        <w:tc>
          <w:tcPr/>
          <w:p>
            <w:pPr>
              <w:pStyle w:val="Compact"/>
              <w:jc w:val="right"/>
            </w:pPr>
            <w:r>
              <w:t xml:space="preserve">Nb ménages</w:t>
            </w:r>
          </w:p>
        </w:tc>
        <w:tc>
          <w:tcPr/>
          <w:p>
            <w:pPr>
              <w:pStyle w:val="Compact"/>
              <w:jc w:val="right"/>
            </w:pPr>
            <w:r>
              <w:t xml:space="preserve">Score CSI moyen</w:t>
            </w:r>
          </w:p>
        </w:tc>
      </w:tr>
      <w:tr>
        <w:tc>
          <w:tcPr>
            <w:gridSpan w:val="3"/>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31</w:t>
            </w:r>
          </w:p>
        </w:tc>
        <w:tc>
          <w:tcPr/>
          <w:p>
            <w:pPr>
              <w:pStyle w:val="Compact"/>
              <w:jc w:val="right"/>
            </w:pPr>
            <w:r>
              <w:t xml:space="preserve">7.2</w:t>
            </w:r>
          </w:p>
        </w:tc>
      </w:tr>
      <w:tr>
        <w:tc>
          <w:tcPr/>
          <w:p>
            <w:pPr>
              <w:pStyle w:val="Compact"/>
              <w:jc w:val="left"/>
            </w:pPr>
            <w:r>
              <w:t xml:space="preserve">Ambatomanga</w:t>
            </w:r>
          </w:p>
        </w:tc>
        <w:tc>
          <w:tcPr/>
          <w:p>
            <w:pPr>
              <w:pStyle w:val="Compact"/>
              <w:jc w:val="right"/>
            </w:pPr>
            <w:r>
              <w:t xml:space="preserve">68</w:t>
            </w:r>
          </w:p>
        </w:tc>
        <w:tc>
          <w:tcPr/>
          <w:p>
            <w:pPr>
              <w:pStyle w:val="Compact"/>
              <w:jc w:val="right"/>
            </w:pPr>
            <w:r>
              <w:t xml:space="preserve">8.6</w:t>
            </w:r>
          </w:p>
        </w:tc>
      </w:tr>
      <w:tr>
        <w:tc>
          <w:tcPr/>
          <w:p>
            <w:pPr>
              <w:pStyle w:val="Compact"/>
              <w:jc w:val="left"/>
            </w:pPr>
            <w:r>
              <w:t xml:space="preserve">Ambodivoara</w:t>
            </w:r>
          </w:p>
        </w:tc>
        <w:tc>
          <w:tcPr/>
          <w:p>
            <w:pPr>
              <w:pStyle w:val="Compact"/>
              <w:jc w:val="right"/>
            </w:pPr>
            <w:r>
              <w:t xml:space="preserve">58</w:t>
            </w:r>
          </w:p>
        </w:tc>
        <w:tc>
          <w:tcPr/>
          <w:p>
            <w:pPr>
              <w:pStyle w:val="Compact"/>
              <w:jc w:val="right"/>
            </w:pPr>
            <w:r>
              <w:t xml:space="preserve">8.3</w:t>
            </w:r>
          </w:p>
        </w:tc>
      </w:tr>
      <w:tr>
        <w:tc>
          <w:tcPr/>
          <w:p>
            <w:pPr>
              <w:pStyle w:val="Compact"/>
              <w:jc w:val="left"/>
            </w:pPr>
            <w:r>
              <w:t xml:space="preserve">Ambohidrony</w:t>
            </w:r>
          </w:p>
        </w:tc>
        <w:tc>
          <w:tcPr/>
          <w:p>
            <w:pPr>
              <w:pStyle w:val="Compact"/>
              <w:jc w:val="right"/>
            </w:pPr>
            <w:r>
              <w:t xml:space="preserve">52</w:t>
            </w:r>
          </w:p>
        </w:tc>
        <w:tc>
          <w:tcPr/>
          <w:p>
            <w:pPr>
              <w:pStyle w:val="Compact"/>
              <w:jc w:val="right"/>
            </w:pPr>
            <w:r>
              <w:t xml:space="preserve">9.0</w:t>
            </w:r>
          </w:p>
        </w:tc>
      </w:tr>
      <w:tr>
        <w:tc>
          <w:tcPr/>
          <w:p>
            <w:pPr>
              <w:pStyle w:val="Compact"/>
              <w:jc w:val="left"/>
            </w:pPr>
            <w:r>
              <w:t xml:space="preserve">Analamiranga</w:t>
            </w:r>
          </w:p>
        </w:tc>
        <w:tc>
          <w:tcPr/>
          <w:p>
            <w:pPr>
              <w:pStyle w:val="Compact"/>
              <w:jc w:val="right"/>
            </w:pPr>
            <w:r>
              <w:t xml:space="preserve">46</w:t>
            </w:r>
          </w:p>
        </w:tc>
        <w:tc>
          <w:tcPr/>
          <w:p>
            <w:pPr>
              <w:pStyle w:val="Compact"/>
              <w:jc w:val="right"/>
            </w:pPr>
            <w:r>
              <w:t xml:space="preserve">8.5</w:t>
            </w:r>
          </w:p>
        </w:tc>
      </w:tr>
      <w:tr>
        <w:tc>
          <w:tcPr/>
          <w:p>
            <w:pPr>
              <w:pStyle w:val="Compact"/>
              <w:jc w:val="left"/>
            </w:pPr>
            <w:r>
              <w:t xml:space="preserve">Avaradrano</w:t>
            </w:r>
          </w:p>
        </w:tc>
        <w:tc>
          <w:tcPr/>
          <w:p>
            <w:pPr>
              <w:pStyle w:val="Compact"/>
              <w:jc w:val="right"/>
            </w:pPr>
            <w:r>
              <w:t xml:space="preserve">90</w:t>
            </w:r>
          </w:p>
        </w:tc>
        <w:tc>
          <w:tcPr/>
          <w:p>
            <w:pPr>
              <w:pStyle w:val="Compact"/>
              <w:jc w:val="right"/>
            </w:pPr>
            <w:r>
              <w:t xml:space="preserve">6.8</w:t>
            </w:r>
          </w:p>
        </w:tc>
      </w:tr>
      <w:tr>
        <w:tc>
          <w:tcPr/>
          <w:p>
            <w:pPr>
              <w:pStyle w:val="Compact"/>
              <w:jc w:val="left"/>
            </w:pPr>
            <w:r>
              <w:t xml:space="preserve">Feramanga Atsimo</w:t>
            </w:r>
          </w:p>
        </w:tc>
        <w:tc>
          <w:tcPr/>
          <w:p>
            <w:pPr>
              <w:pStyle w:val="Compact"/>
              <w:jc w:val="right"/>
            </w:pPr>
            <w:r>
              <w:t xml:space="preserve">89</w:t>
            </w:r>
          </w:p>
        </w:tc>
        <w:tc>
          <w:tcPr/>
          <w:p>
            <w:pPr>
              <w:pStyle w:val="Compact"/>
              <w:jc w:val="right"/>
            </w:pPr>
            <w:r>
              <w:t xml:space="preserve">10.1</w:t>
            </w:r>
          </w:p>
        </w:tc>
      </w:tr>
      <w:tr>
        <w:tc>
          <w:tcPr/>
          <w:p>
            <w:pPr>
              <w:pStyle w:val="Compact"/>
              <w:jc w:val="left"/>
            </w:pPr>
            <w:r>
              <w:t xml:space="preserve">Mangabe</w:t>
            </w:r>
          </w:p>
        </w:tc>
        <w:tc>
          <w:tcPr/>
          <w:p>
            <w:pPr>
              <w:pStyle w:val="Compact"/>
              <w:jc w:val="right"/>
            </w:pPr>
            <w:r>
              <w:t xml:space="preserve">73</w:t>
            </w:r>
          </w:p>
        </w:tc>
        <w:tc>
          <w:tcPr/>
          <w:p>
            <w:pPr>
              <w:pStyle w:val="Compact"/>
              <w:jc w:val="right"/>
            </w:pPr>
            <w:r>
              <w:t xml:space="preserve">8.5</w:t>
            </w:r>
          </w:p>
        </w:tc>
      </w:tr>
      <w:tr>
        <w:tc>
          <w:tcPr/>
          <w:p>
            <w:pPr>
              <w:pStyle w:val="Compact"/>
              <w:jc w:val="left"/>
            </w:pPr>
            <w:r>
              <w:t xml:space="preserve">Ensemble</w:t>
            </w:r>
          </w:p>
        </w:tc>
        <w:tc>
          <w:tcPr/>
          <w:p>
            <w:pPr>
              <w:pStyle w:val="Compact"/>
              <w:jc w:val="right"/>
            </w:pPr>
            <w:r>
              <w:t xml:space="preserve">507</w:t>
            </w:r>
          </w:p>
        </w:tc>
        <w:tc>
          <w:tcPr/>
          <w:p>
            <w:pPr>
              <w:pStyle w:val="Compact"/>
              <w:jc w:val="right"/>
            </w:pPr>
            <w:r>
              <w:t xml:space="preserve">8.4</w:t>
            </w:r>
          </w:p>
        </w:tc>
      </w:tr>
      <w:tr>
        <w:tc>
          <w:tcPr>
            <w:gridSpan w:val="3"/>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143</w:t>
            </w:r>
          </w:p>
        </w:tc>
        <w:tc>
          <w:tcPr/>
          <w:p>
            <w:pPr>
              <w:pStyle w:val="Compact"/>
              <w:jc w:val="right"/>
            </w:pPr>
            <w:r>
              <w:t xml:space="preserve">9.6</w:t>
            </w:r>
          </w:p>
        </w:tc>
      </w:tr>
      <w:tr>
        <w:tc>
          <w:tcPr/>
          <w:p>
            <w:pPr>
              <w:pStyle w:val="Compact"/>
              <w:jc w:val="left"/>
            </w:pPr>
            <w:r>
              <w:t xml:space="preserve">Bepako</w:t>
            </w:r>
          </w:p>
        </w:tc>
        <w:tc>
          <w:tcPr/>
          <w:p>
            <w:pPr>
              <w:pStyle w:val="Compact"/>
              <w:jc w:val="right"/>
            </w:pPr>
            <w:r>
              <w:t xml:space="preserve">123</w:t>
            </w:r>
          </w:p>
        </w:tc>
        <w:tc>
          <w:tcPr/>
          <w:p>
            <w:pPr>
              <w:pStyle w:val="Compact"/>
              <w:jc w:val="right"/>
            </w:pPr>
            <w:r>
              <w:t xml:space="preserve">9.1</w:t>
            </w:r>
          </w:p>
        </w:tc>
      </w:tr>
      <w:tr>
        <w:tc>
          <w:tcPr/>
          <w:p>
            <w:pPr>
              <w:pStyle w:val="Compact"/>
              <w:jc w:val="left"/>
            </w:pPr>
            <w:r>
              <w:t xml:space="preserve">Madiromiongana</w:t>
            </w:r>
          </w:p>
        </w:tc>
        <w:tc>
          <w:tcPr/>
          <w:p>
            <w:pPr>
              <w:pStyle w:val="Compact"/>
              <w:jc w:val="right"/>
            </w:pPr>
            <w:r>
              <w:t xml:space="preserve">137</w:t>
            </w:r>
          </w:p>
        </w:tc>
        <w:tc>
          <w:tcPr/>
          <w:p>
            <w:pPr>
              <w:pStyle w:val="Compact"/>
              <w:jc w:val="right"/>
            </w:pPr>
            <w:r>
              <w:t xml:space="preserve">9.3</w:t>
            </w:r>
          </w:p>
        </w:tc>
      </w:tr>
      <w:tr>
        <w:tc>
          <w:tcPr/>
          <w:p>
            <w:pPr>
              <w:pStyle w:val="Compact"/>
              <w:jc w:val="left"/>
            </w:pPr>
            <w:r>
              <w:t xml:space="preserve">Maroala</w:t>
            </w:r>
          </w:p>
        </w:tc>
        <w:tc>
          <w:tcPr/>
          <w:p>
            <w:pPr>
              <w:pStyle w:val="Compact"/>
              <w:jc w:val="right"/>
            </w:pPr>
            <w:r>
              <w:t xml:space="preserve">116</w:t>
            </w:r>
          </w:p>
        </w:tc>
        <w:tc>
          <w:tcPr/>
          <w:p>
            <w:pPr>
              <w:pStyle w:val="Compact"/>
              <w:jc w:val="right"/>
            </w:pPr>
            <w:r>
              <w:t xml:space="preserve">10.0</w:t>
            </w:r>
          </w:p>
        </w:tc>
      </w:tr>
      <w:tr>
        <w:tc>
          <w:tcPr/>
          <w:p>
            <w:pPr>
              <w:pStyle w:val="Compact"/>
              <w:jc w:val="left"/>
            </w:pPr>
            <w:r>
              <w:t xml:space="preserve">Ensemble</w:t>
            </w:r>
          </w:p>
        </w:tc>
        <w:tc>
          <w:tcPr/>
          <w:p>
            <w:pPr>
              <w:pStyle w:val="Compact"/>
              <w:jc w:val="right"/>
            </w:pPr>
            <w:r>
              <w:t xml:space="preserve">519</w:t>
            </w:r>
          </w:p>
        </w:tc>
        <w:tc>
          <w:tcPr/>
          <w:p>
            <w:pPr>
              <w:pStyle w:val="Compact"/>
              <w:jc w:val="right"/>
            </w:pPr>
            <w:r>
              <w:t xml:space="preserve">9.5</w:t>
            </w:r>
          </w:p>
        </w:tc>
      </w:tr>
    </w:tbl>
    <w:p>
      <w:pPr>
        <w:pStyle w:val="Corpsdetexte"/>
      </w:pPr>
      <w:r>
        <w:t xml:space="preserve">A Alaotra, la distribution du score CSI simplifié présente une médiane autour de 8, avec une dispersion relativement importante des valeurs. La moitié des ménages se situe approximativement entre 4 et 12, ce qui traduit des situations assez variées en matière de stratégies d’adaptation alimentaire. Quelques ménages affichent toutefois des scores particulièrement élevés, dépassant 20 et atteignant environ 25 à 27, ce qui indique des niveaux de vulnérabilité plus marqués pour une partie réduite de la population.</w:t>
      </w:r>
    </w:p>
    <w:p>
      <w:pPr>
        <w:pStyle w:val="Corpsdetexte"/>
      </w:pPr>
      <w:r>
        <w:t xml:space="preserve">A Marovoay, la médiane du score CSI simplifié est légèrement plus élevée, autour de 9. Les valeurs sont également dispersées, avec une concentration importante des ménages entre 5 et 13. Certains ménages présentent des scores très élevés pouvant dépasser 25, révélant l’existence de situations de vulnérabilité alimentaire plus sévères au sein de l’observatoire.</w:t>
      </w:r>
    </w:p>
    <w:p>
      <w:pPr>
        <w:pStyle w:val="Corpsdetexte"/>
      </w:pPr>
      <w:r>
        <w:drawing>
          <wp:inline>
            <wp:extent cx="4620126" cy="3696101"/>
            <wp:effectExtent b="0" l="0" r="0" t="0"/>
            <wp:docPr descr="" title="" id="731" name="Picture"/>
            <a:graphic>
              <a:graphicData uri="http://schemas.openxmlformats.org/drawingml/2006/picture">
                <pic:pic>
                  <pic:nvPicPr>
                    <pic:cNvPr descr="06_securite_alimentaire_files/figure-docx/g7_csi_boxplot-1.png" id="732" name="Picture"/>
                    <pic:cNvPicPr>
                      <a:picLocks noChangeArrowheads="1" noChangeAspect="1"/>
                    </pic:cNvPicPr>
                  </pic:nvPicPr>
                  <pic:blipFill>
                    <a:blip r:embed="rId730"/>
                    <a:stretch>
                      <a:fillRect/>
                    </a:stretch>
                  </pic:blipFill>
                  <pic:spPr bwMode="auto">
                    <a:xfrm>
                      <a:off x="0" y="0"/>
                      <a:ext cx="4620126" cy="3696101"/>
                    </a:xfrm>
                    <a:prstGeom prst="rect">
                      <a:avLst/>
                    </a:prstGeom>
                    <a:noFill/>
                    <a:ln w="9525">
                      <a:noFill/>
                      <a:headEnd/>
                      <a:tailEnd/>
                    </a:ln>
                  </pic:spPr>
                </pic:pic>
              </a:graphicData>
            </a:graphic>
          </wp:inline>
        </w:drawing>
      </w:r>
    </w:p>
    <w:bookmarkEnd w:id="733"/>
    <w:bookmarkStart w:id="740" w:name="sec-sa-multiyear"/>
    <w:p>
      <w:pPr>
        <w:pStyle w:val="Titre2"/>
      </w:pPr>
      <w:r>
        <w:t xml:space="preserve">6.4 Évolution de la sécurité alimentaire (1995–2025)</w:t>
      </w:r>
    </w:p>
    <w:p>
      <w:pPr>
        <w:pStyle w:val="FirstParagraph"/>
      </w:pPr>
      <w:r>
        <w:t xml:space="preserve">La durée de la période de soudure (</w:t>
      </w:r>
      <w:r>
        <w:rPr>
          <w:rStyle w:val="VerbatimChar"/>
        </w:rPr>
        <w:t xml:space="preserve">sal2d</w:t>
      </w:r>
      <w:r>
        <w:t xml:space="preserve">, en mois) est disponible pour un nombre significatif de campagnes. On retrace ici son évolution pour les deux observatoires.</w:t>
      </w:r>
    </w:p>
    <w:p>
      <w:pPr>
        <w:pStyle w:val="Corpsdetexte"/>
      </w:pPr>
      <w:r>
        <w:t xml:space="preserve">À l’Alaotra, la durée moyenne de la soudure a débuté à environ 3 mois en 1999 avant de connaître une progression importante jusqu’à un sommet de près de 6 mois en 2004. Durant la décennie suivante, entre 2005 et 2014, les valeurs sont restées relativement élevées, fluctuant généralement entre 4.5 et 5.5 mois. La campagne 2025 marque une amélioration par rapport à cette période historique avec une durée moyenne qui s’établit à 3.8 mois par ménage.</w:t>
      </w:r>
    </w:p>
    <w:p>
      <w:pPr>
        <w:pStyle w:val="Corpsdetexte"/>
      </w:pPr>
      <w:r>
        <w:t xml:space="preserve">A Marovoay présentait une situation de départ très difficile en 1995 avec une durée moyenne de soudure dépassant les 8.5 mois. Une réduction drastique a été observée au cours des années suivantes pour atteindre environ 4 mois en 2003. Entre 2004 et 2014, la durée a connu des variations cycliques comprises entre 3.5 et 5 mois environ. En 2025, la durée moyenne de la soudure atteint son niveau le plus bas enregistré depuis le début du suivi avec 2.2 mois par ménage.</w:t>
      </w:r>
    </w:p>
    <w:p>
      <w:pPr>
        <w:pStyle w:val="CaptionedFigure"/>
      </w:pPr>
      <w:r>
        <w:drawing>
          <wp:inline>
            <wp:extent cx="5969000" cy="1865312"/>
            <wp:effectExtent b="0" l="0" r="0" t="0"/>
            <wp:docPr descr="Évolution de la durée moyenne de soudure (mois/ménage)" title="" id="735" name="Picture"/>
            <a:graphic>
              <a:graphicData uri="http://schemas.openxmlformats.org/drawingml/2006/picture">
                <pic:pic>
                  <pic:nvPicPr>
                    <pic:cNvPr descr="06_securite_alimentaire_files/figure-docx/fig_sa_soudure_duration-1.png" id="736" name="Picture"/>
                    <pic:cNvPicPr>
                      <a:picLocks noChangeArrowheads="1" noChangeAspect="1"/>
                    </pic:cNvPicPr>
                  </pic:nvPicPr>
                  <pic:blipFill>
                    <a:blip r:embed="rId734"/>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de la durée moyenne de soudure (mois/ménage)</w:t>
      </w:r>
    </w:p>
    <w:p>
      <w:pPr>
        <w:pStyle w:val="Corpsdetexte"/>
      </w:pPr>
      <w:r>
        <w:t xml:space="preserve">À l’Alaotra, la proportion de ménages ayant connu une période de soudure a marqué l’histoire de l’observatoire par des variations importantes. En 1999, ce taux était de 87.8% avant d’atteindre un sommet historique de 96.8% en 2003. Une tendance à la baisse s’est ensuite manifestée durant la décennie suivante, le pourcentage de ménages touchés tombant à son niveau le plus bas en 2013 avec 51.1%. Toutefois, les données de la campagne 2025 indiquent une dégradation de la situation, puisque 100% des ménages déclarent désormais subir au moins un mois de soudure au cours de l’année.</w:t>
      </w:r>
    </w:p>
    <w:p>
      <w:pPr>
        <w:pStyle w:val="Corpsdetexte"/>
      </w:pPr>
      <w:r>
        <w:t xml:space="preserve">À Marovoay, la période de soudure était quasi généralisée au début du suivi avec un taux de 99.2% des ménages en 1995. Cette situation de crise s’est maintenue à des niveaux très élevés (supérieurs à 90%) jusqu’en 2003. Une réduction significative a été enregistrée par la suite atteignant un point bas de 51.7% en 2008, avant de remonter et de fluctuer entre 58% et 72% jusqu’en 2014. Pour la campagne 2025, la prévalence de la soudure repart à la hausse et concerne 97.3% des ménages de l’observatoire.</w:t>
      </w:r>
    </w:p>
    <w:p>
      <w:pPr>
        <w:pStyle w:val="CaptionedFigure"/>
      </w:pPr>
      <w:r>
        <w:drawing>
          <wp:inline>
            <wp:extent cx="5969000" cy="1865312"/>
            <wp:effectExtent b="0" l="0" r="0" t="0"/>
            <wp:docPr descr="Évolution du pourcentage de ménages en soudure" title="" id="738" name="Picture"/>
            <a:graphic>
              <a:graphicData uri="http://schemas.openxmlformats.org/drawingml/2006/picture">
                <pic:pic>
                  <pic:nvPicPr>
                    <pic:cNvPr descr="06_securite_alimentaire_files/figure-docx/fig_sa_pct_soudure-1.png" id="739" name="Picture"/>
                    <pic:cNvPicPr>
                      <a:picLocks noChangeArrowheads="1" noChangeAspect="1"/>
                    </pic:cNvPicPr>
                  </pic:nvPicPr>
                  <pic:blipFill>
                    <a:blip r:embed="rId737"/>
                    <a:stretch>
                      <a:fillRect/>
                    </a:stretch>
                  </pic:blipFill>
                  <pic:spPr bwMode="auto">
                    <a:xfrm>
                      <a:off x="0" y="0"/>
                      <a:ext cx="5969000" cy="1865312"/>
                    </a:xfrm>
                    <a:prstGeom prst="rect">
                      <a:avLst/>
                    </a:prstGeom>
                    <a:noFill/>
                    <a:ln w="9525">
                      <a:noFill/>
                      <a:headEnd/>
                      <a:tailEnd/>
                    </a:ln>
                  </pic:spPr>
                </pic:pic>
              </a:graphicData>
            </a:graphic>
          </wp:inline>
        </w:drawing>
      </w:r>
    </w:p>
    <w:p>
      <w:pPr>
        <w:pStyle w:val="ImageCaption"/>
      </w:pPr>
      <w:r>
        <w:t xml:space="preserve">Évolution du pourcentage de ménages en soudure</w:t>
      </w:r>
    </w:p>
    <w:bookmarkEnd w:id="740"/>
    <w:bookmarkEnd w:id="741"/>
    <w:bookmarkStart w:id="868" w:name="X855e8d906f5a6acf967b2aed36312ae7fa0ee32"/>
    <w:p>
      <w:pPr>
        <w:pStyle w:val="Titre1"/>
      </w:pPr>
      <w:r>
        <w:t xml:space="preserve">7. Rapport des ménages ruraux avec l’environnement</w:t>
      </w:r>
    </w:p>
    <w:p>
      <w:pPr>
        <w:pStyle w:val="FirstParagraph"/>
      </w:pPr>
      <w:r>
        <w:t xml:space="preserve">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p>
      <w:pPr>
        <w:pStyle w:val="Corpsdetexte"/>
      </w:pPr>
      <w:r>
        <w:t xml:space="preserve">L’observatoire de Marovoay est situé à proximité du Parc National d’Ankarafantsika, dont les limites ont été étendues en 2002. Ce chapitre analyse les représentations, les usages, les pratiques (notamment le feu) et les opinions des ménages concernant la protection de l’environnement dans ce contexte de coexistence entre activités agricoles et conservation.</w:t>
      </w:r>
    </w:p>
    <w:p>
      <w:pPr>
        <w:pStyle w:val="Corpsdetexte"/>
      </w:pPr>
      <w:r>
        <w:t xml:space="preserve">L’observatoire de l’Alaotra est situé à proximité de la Nouvelle Aire Protégée du lac Alaotra et du Corridor forestier Ankeniheny-Zahamena.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742" name="Picture"/>
                  <a:graphic>
                    <a:graphicData uri="http://schemas.openxmlformats.org/drawingml/2006/picture">
                      <pic:pic>
                        <pic:nvPicPr>
                          <pic:cNvPr descr="C:\PROGRA~1\Quarto\share\formats\docx\warning.png" id="743"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769" w:name="sec-representation"/>
    <w:p>
      <w:pPr>
        <w:pStyle w:val="Titre2"/>
      </w:pPr>
      <w:r>
        <w:t xml:space="preserve">7.1 Représentation de la zone protégée par les ménages</w:t>
      </w:r>
    </w:p>
    <w:p>
      <w:pPr>
        <w:pStyle w:val="FirstParagraph"/>
      </w:pPr>
      <w:r>
        <w:t xml:space="preserve">L’analyse des perceptions des ménages riverains permet de caractériser leur rapport aux aires protégées en abordant la disponibilité et l’évolution des ressources naturelles, le sentiment d’appartenance, les menaces identifiées ainsi que la place qu’occupent ces zones dans leur quotidien.</w:t>
      </w:r>
    </w:p>
    <w:bookmarkStart w:id="748"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p>
      <w:pPr>
        <w:pStyle w:val="Corpsdetexte"/>
      </w:pPr>
      <w:r>
        <w:t xml:space="preserve">À Alaotra, les ressources jugées les plus rares (« peu ou pas ») sont les terres de pâturage et de culture (environ 60 %). Cette zone est marqué par une pression foncière plus forte.</w:t>
      </w:r>
    </w:p>
    <w:p>
      <w:pPr>
        <w:pStyle w:val="Corpsdetexte"/>
      </w:pPr>
      <w:r>
        <w:t xml:space="preserve">À Marovoay, une majorité de ménages considère encore la forêt et les animaux sauvages comme « abondants » (plus de 75 %), alors que les terres de culture sont jugées rares à 60 %. Cet observatoire bénéficie d’une perception de ressources naturelles encore disponibles grâce à la proximité du parc d’Ankarafantsika.</w:t>
      </w:r>
    </w:p>
    <w:tbl>
      <w:tblPr>
        <w:tblStyle w:val="Table"/>
        <w:tblW w:type="pct" w:w="5000"/>
        <w:tblLayout w:type="fixed"/>
        <w:tblLook w:firstRow="0" w:lastRow="0" w:firstColumn="0" w:lastColumn="0" w:noHBand="0" w:noVBand="0" w:val="0000"/>
      </w:tblPr>
      <w:tblGrid>
        <w:gridCol w:w="7920"/>
      </w:tblGrid>
      <w:tr>
        <w:tc>
          <w:tcPr/>
          <w:bookmarkStart w:id="747"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r>
              <w:drawing>
                <wp:inline>
                  <wp:extent cx="5969000" cy="2238375"/>
                  <wp:effectExtent b="0" l="0" r="0" t="0"/>
                  <wp:docPr descr="" title="" id="745" name="Picture"/>
                  <a:graphic>
                    <a:graphicData uri="http://schemas.openxmlformats.org/drawingml/2006/picture">
                      <pic:pic>
                        <pic:nvPicPr>
                          <pic:cNvPr descr="07_rapport_environnement_files/figure-docx/fig-ressources-dispo-1.png" id="746" name="Picture"/>
                          <pic:cNvPicPr>
                            <a:picLocks noChangeArrowheads="1" noChangeAspect="1"/>
                          </pic:cNvPicPr>
                        </pic:nvPicPr>
                        <pic:blipFill>
                          <a:blip r:embed="rId744"/>
                          <a:stretch>
                            <a:fillRect/>
                          </a:stretch>
                        </pic:blipFill>
                        <pic:spPr bwMode="auto">
                          <a:xfrm>
                            <a:off x="0" y="0"/>
                            <a:ext cx="5969000" cy="2238375"/>
                          </a:xfrm>
                          <a:prstGeom prst="rect">
                            <a:avLst/>
                          </a:prstGeom>
                          <a:noFill/>
                          <a:ln w="9525">
                            <a:noFill/>
                            <a:headEnd/>
                            <a:tailEnd/>
                          </a:ln>
                        </pic:spPr>
                      </pic:pic>
                    </a:graphicData>
                  </a:graphic>
                </wp:inline>
              </w:drawing>
            </w:r>
          </w:p>
          <w:bookmarkEnd w:id="747"/>
        </w:tc>
      </w:tr>
    </w:tbl>
    <w:bookmarkEnd w:id="748"/>
    <w:bookmarkStart w:id="753"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p>
      <w:pPr>
        <w:pStyle w:val="Corpsdetexte"/>
      </w:pPr>
      <w:r>
        <w:t xml:space="preserve">A Alaotra, environ 50.0% des ménages perçoivent une diminution de la terre de culture, tandis que 15.0% jugent la situation stable et 35.0% constatent une augmentation. Concernant l’eau, la perception est partagée entre une diminution pour 45.0% des répondants et une stabilité pour 45.0% d’entre eux, l’augmentation ne concernant que 10.0%. Les terres de pâturage sont vues en diminution par 65.0% des ménages, stables pour 20.0% et en augmentation pour 15.0%. La surface de la forêt est jugée en diminution par 70.0% des foyers, stable pour 25.0% et en hausse pour 5.0%. Pour les animaux sauvages, 70.0% des ménages déclarent une diminution, 20.0% une stabilité et 10.0% une augmentation. Les plantes comestibles et médicinales suivent une tendance similaire avec environ 70.0% de diminution, 25.0% de stabilité et 5.0% d’augmentation. Le bois est perçu en déclin par 75.0% des ménages, contre 20.0% de stabilité et 5.0% d’augmentation. L’indicateur global montre que 80.0% des ménages perçoivent une diminution des ressources et 20.0% une stabilité.</w:t>
      </w:r>
    </w:p>
    <w:p>
      <w:pPr>
        <w:pStyle w:val="Corpsdetexte"/>
      </w:pPr>
      <w:r>
        <w:t xml:space="preserve">A Marovoay, 75.0% des ménages rapportent une diminution de la terre de culture, 10.0% une stabilité et 15.0% une augmentation. L’accès à l’eau est jugé en diminution par 75.0% des ménages, stable par 20.0% et en augmentation par 5.0%. Les terres de pâturage sont perçues en diminution par 75.0% des répondants, stables par 20.0% et en augmentation par 5.0%. La surface forestière est vue en diminution par 75.0% des ménages, stable pour 20.0% et en hausse pour 5.0%. Les animaux sauvages sont déclarés en diminution par 80.0% des ménages et stables par 20.0%. Concernant les plantes comestibles, les plantes médicinales et le bois, les proportions sont identiques : 85.0% des ménages notent une diminution, 10.0% une stabilité et 5.0% une augmentation. L’indicateur global confirme ce sentiment avec 85.0% de diminution perçue, 10.0% de stabilité et 5.0% d’augmentation.</w:t>
      </w:r>
    </w:p>
    <w:tbl>
      <w:tblPr>
        <w:tblStyle w:val="Table"/>
        <w:tblW w:type="pct" w:w="5000"/>
        <w:tblLayout w:type="fixed"/>
        <w:tblLook w:firstRow="0" w:lastRow="0" w:firstColumn="0" w:lastColumn="0" w:noHBand="0" w:noVBand="0" w:val="0000"/>
      </w:tblPr>
      <w:tblGrid>
        <w:gridCol w:w="7920"/>
      </w:tblGrid>
      <w:tr>
        <w:tc>
          <w:tcPr/>
          <w:bookmarkStart w:id="752"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r>
              <w:drawing>
                <wp:inline>
                  <wp:extent cx="5969000" cy="2238375"/>
                  <wp:effectExtent b="0" l="0" r="0" t="0"/>
                  <wp:docPr descr="" title="" id="750" name="Picture"/>
                  <a:graphic>
                    <a:graphicData uri="http://schemas.openxmlformats.org/drawingml/2006/picture">
                      <pic:pic>
                        <pic:nvPicPr>
                          <pic:cNvPr descr="07_rapport_environnement_files/figure-docx/fig-evolution-ressources-1.png" id="751" name="Picture"/>
                          <pic:cNvPicPr>
                            <a:picLocks noChangeArrowheads="1" noChangeAspect="1"/>
                          </pic:cNvPicPr>
                        </pic:nvPicPr>
                        <pic:blipFill>
                          <a:blip r:embed="rId749"/>
                          <a:stretch>
                            <a:fillRect/>
                          </a:stretch>
                        </pic:blipFill>
                        <pic:spPr bwMode="auto">
                          <a:xfrm>
                            <a:off x="0" y="0"/>
                            <a:ext cx="5969000" cy="2238375"/>
                          </a:xfrm>
                          <a:prstGeom prst="rect">
                            <a:avLst/>
                          </a:prstGeom>
                          <a:noFill/>
                          <a:ln w="9525">
                            <a:noFill/>
                            <a:headEnd/>
                            <a:tailEnd/>
                          </a:ln>
                        </pic:spPr>
                      </pic:pic>
                    </a:graphicData>
                  </a:graphic>
                </wp:inline>
              </w:drawing>
            </w:r>
          </w:p>
          <w:bookmarkEnd w:id="752"/>
        </w:tc>
      </w:tr>
    </w:tbl>
    <w:bookmarkEnd w:id="753"/>
    <w:bookmarkStart w:id="758"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p>
      <w:pPr>
        <w:pStyle w:val="Corpsdetexte"/>
      </w:pPr>
      <w:r>
        <w:t xml:space="preserve">A Alaotra, 71% des ménages pensent que la zone protégée appartiennent à l’État avant la communauté locale selon 20 % des ménages. Cela traduit l’importance des regroupements communautaires liés aux ressources locales et aux relations de voisinage. Une faible proportion des ménages considère que les ressources naturelles appartiennent aux esprits/ancêtres, aux gestionnaires et etrangers (respectivement 2% et 1%).</w:t>
      </w:r>
    </w:p>
    <w:p>
      <w:pPr>
        <w:pStyle w:val="Corpsdetexte"/>
      </w:pPr>
      <w:r>
        <w:t xml:space="preserve">À Marovoay, 67 % des ménages estiment que l’aire protégée d’Parc national d’Ankarafantsika appartient à l’État. Par ailleurs, 11 % considèrent qu’elle appartient aux étrangers, tandis que seules de faibles proportions l’attribuent à la communauté locale (4 %) et aux esprits/ancêtres (1 %).</w:t>
      </w:r>
    </w:p>
    <w:tbl>
      <w:tblPr>
        <w:tblStyle w:val="Table"/>
        <w:tblW w:type="pct" w:w="5000"/>
        <w:tblLayout w:type="fixed"/>
        <w:tblLook w:firstRow="0" w:lastRow="0" w:firstColumn="0" w:lastColumn="0" w:noHBand="0" w:noVBand="0" w:val="0000"/>
      </w:tblPr>
      <w:tblGrid>
        <w:gridCol w:w="7920"/>
      </w:tblGrid>
      <w:tr>
        <w:tc>
          <w:tcPr/>
          <w:bookmarkStart w:id="757" w:name="fig-appartenance"/>
          <w:p>
            <w:pPr>
              <w:jc w:val="center"/>
            </w:pPr>
            <w:pPr>
              <w:jc w:val="left"/>
              <w:spacing w:before="200"/>
              <w:pStyle w:val="ImageCaption"/>
            </w:pPr>
            <w:r>
              <w:t xml:space="preserve">Figure 7.3: À qui appartient la zone protégée ? (% de Oui, réponses multiples)</w:t>
            </w:r>
          </w:p>
          <w:p>
            <w:pPr>
              <w:pStyle w:val="Compact"/>
              <w:jc w:val="center"/>
            </w:pPr>
            <w:r>
              <w:drawing>
                <wp:inline>
                  <wp:extent cx="5969000" cy="1865312"/>
                  <wp:effectExtent b="0" l="0" r="0" t="0"/>
                  <wp:docPr descr="" title="" id="755" name="Picture"/>
                  <a:graphic>
                    <a:graphicData uri="http://schemas.openxmlformats.org/drawingml/2006/picture">
                      <pic:pic>
                        <pic:nvPicPr>
                          <pic:cNvPr descr="07_rapport_environnement_files/figure-docx/fig-appartenance-1.png" id="756" name="Picture"/>
                          <pic:cNvPicPr>
                            <a:picLocks noChangeArrowheads="1" noChangeAspect="1"/>
                          </pic:cNvPicPr>
                        </pic:nvPicPr>
                        <pic:blipFill>
                          <a:blip r:embed="rId754"/>
                          <a:stretch>
                            <a:fillRect/>
                          </a:stretch>
                        </pic:blipFill>
                        <pic:spPr bwMode="auto">
                          <a:xfrm>
                            <a:off x="0" y="0"/>
                            <a:ext cx="5969000" cy="1865312"/>
                          </a:xfrm>
                          <a:prstGeom prst="rect">
                            <a:avLst/>
                          </a:prstGeom>
                          <a:noFill/>
                          <a:ln w="9525">
                            <a:noFill/>
                            <a:headEnd/>
                            <a:tailEnd/>
                          </a:ln>
                        </pic:spPr>
                      </pic:pic>
                    </a:graphicData>
                  </a:graphic>
                </wp:inline>
              </w:drawing>
            </w:r>
          </w:p>
          <w:bookmarkEnd w:id="757"/>
        </w:tc>
      </w:tr>
    </w:tbl>
    <w:bookmarkEnd w:id="758"/>
    <w:bookmarkStart w:id="763"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p>
      <w:pPr>
        <w:pStyle w:val="Corpsdetexte"/>
      </w:pPr>
      <w:r>
        <w:t xml:space="preserve">A Alaotra, une large majorité des ménages, soit 82 % considère que l’environnement est menacé. Parmi les principales menaces identifiées, les feux sont les plus fréquemment cités avec 84 %, montrant qu’ils constituent la principale source de dégradation environnementale dans la zone. Le défrichage est également fortement mentionné (56 %).Les prélèvements de ressources naturelles représentent aussi des préoccupations importantes. Le prélèvement de faune et le prélèvement de flore sont chacun cités par 40 % des ménages. La prospection minière concerne 29 % des réponses, tandis que le zébu/pâturage atteint 20 %. Le nomadisme (passage des non-résidents) est évoqué par 16 % des ménages. Enfin, le tourisme apparaît comme une menace marginale avec seulement 2 % des réponses. Concernant les responsables des dégradations environnementales, la majorité des ménages désigne l’ensemble des riverains (87 %). Les riverains migrants sont également cités par 47 % des ménages, suivis des braconniers (30 %) et des nomades ou semi-nomades (22 %). L’État (Fanjakana) est mentionné par 10 % des ménages, tandis que les gestionnaires représentent 9 %. Les ONG ou entreprises sont peu citées (3 %), alors que les chercheurs et les touristes sont très faiblement considérés comme responsables, avec respectivement 0 % et 1 %.</w:t>
      </w:r>
    </w:p>
    <w:p>
      <w:pPr>
        <w:pStyle w:val="Corpsdetexte"/>
      </w:pPr>
      <w:r>
        <w:t xml:space="preserve">A Marovoay, 79 % des ménages estiment que l’environnement est menacé. Les feux constituent la principale menace identifiée, citée par 95 % des ménages. Le défrichage est mentionné par 52 % des ménages, révélant également une pression importante liée à l’exploitation des terres. Les autres menaces évoquées concernent le prélèvement de flore (21 %) et le prélèvement de faune (20 %). La prospection minière et le nomadisme sont chacun cités par respectivement 6% et 16 % des ménages. Le zébu/pâturage représente 10 %, tandis que le tourisme demeure marginal avec 3 % des réponses. En ce qui concerne les responsables identifiés, les riverains constituent le groupe le plus fréquemment cité, avec 70 % des réponses. Parmi eux, les riverains migrants représentent 37 % des citations, suivis des nomades ou semi-nomades (17 %) et des braconniers (10 %). Par ailleurs, 8 % des ménages estiment également que l’État porte une part de responsabilité importante.</w:t>
      </w:r>
    </w:p>
    <w:tbl>
      <w:tblPr>
        <w:tblStyle w:val="Table"/>
        <w:tblW w:type="pct" w:w="5000"/>
        <w:tblLayout w:type="fixed"/>
        <w:tblLook w:firstRow="0" w:lastRow="0" w:firstColumn="0" w:lastColumn="0" w:noHBand="0" w:noVBand="0" w:val="0000"/>
      </w:tblPr>
      <w:tblGrid>
        <w:gridCol w:w="7920"/>
      </w:tblGrid>
      <w:tr>
        <w:tc>
          <w:tcPr/>
          <w:bookmarkStart w:id="759" w:name="tbl-menaces"/>
          <w:p>
            <w:pPr>
              <w:jc w:val="center"/>
            </w:pPr>
            <w:pPr>
              <w:jc w:val="left"/>
              <w:spacing w:before="200"/>
              <w:pStyle w:val="ImageCaption"/>
            </w:pPr>
            <w:r>
              <w:t xml:space="preserve">Table 7.1: Menaces perçues sur l’environnement et responsables identifiés (% de Oui)</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gridSpan w:val="3"/>
                </w:tcPr>
                <w:p>
                  <w:pPr>
                    <w:pStyle w:val="Compact"/>
                    <w:jc w:val="left"/>
                    <w:jc w:val="center"/>
                  </w:pPr>
                  <w:r>
                    <w:t xml:space="preserve">Perception globale</w:t>
                  </w:r>
                </w:p>
              </w:tc>
            </w:tr>
            <w:tr>
              <w:tc>
                <w:tcPr/>
                <w:p>
                  <w:pPr>
                    <w:pStyle w:val="Compact"/>
                    <w:jc w:val="left"/>
                    <w:jc w:val="center"/>
                  </w:pPr>
                  <w:r>
                    <w:t xml:space="preserve">Considèrent que l'environnement est menacé</w:t>
                  </w:r>
                </w:p>
              </w:tc>
              <w:tc>
                <w:tcPr/>
                <w:p>
                  <w:pPr>
                    <w:pStyle w:val="Compact"/>
                    <w:jc w:val="right"/>
                    <w:jc w:val="center"/>
                  </w:pPr>
                  <w:r>
                    <w:t xml:space="preserve">82 %</w:t>
                  </w:r>
                </w:p>
              </w:tc>
              <w:tc>
                <w:tcPr/>
                <w:p>
                  <w:pPr>
                    <w:pStyle w:val="Compact"/>
                    <w:jc w:val="right"/>
                    <w:jc w:val="center"/>
                  </w:pPr>
                  <w:r>
                    <w:t xml:space="preserve">79 %</w:t>
                  </w:r>
                </w:p>
              </w:tc>
            </w:tr>
            <w:tr>
              <w:tc>
                <w:tcPr>
                  <w:gridSpan w:val="3"/>
                </w:tcPr>
                <w:p>
                  <w:pPr>
                    <w:pStyle w:val="Compact"/>
                    <w:jc w:val="left"/>
                    <w:jc w:val="center"/>
                  </w:pPr>
                  <w:r>
                    <w:t xml:space="preserve">Principales menaces (parmi ceux qui déclarent menacé)</w:t>
                  </w:r>
                </w:p>
              </w:tc>
            </w:tr>
            <w:tr>
              <w:tc>
                <w:tcPr/>
                <w:p>
                  <w:pPr>
                    <w:pStyle w:val="Compact"/>
                    <w:jc w:val="left"/>
                    <w:jc w:val="center"/>
                  </w:pPr>
                  <w:r>
                    <w:t xml:space="preserve">Feux</w:t>
                  </w:r>
                </w:p>
              </w:tc>
              <w:tc>
                <w:tcPr/>
                <w:p>
                  <w:pPr>
                    <w:pStyle w:val="Compact"/>
                    <w:jc w:val="right"/>
                    <w:jc w:val="center"/>
                  </w:pPr>
                  <w:r>
                    <w:t xml:space="preserve">84 %</w:t>
                  </w:r>
                </w:p>
              </w:tc>
              <w:tc>
                <w:tcPr/>
                <w:p>
                  <w:pPr>
                    <w:pStyle w:val="Compact"/>
                    <w:jc w:val="right"/>
                    <w:jc w:val="center"/>
                  </w:pPr>
                  <w:r>
                    <w:t xml:space="preserve">95 %</w:t>
                  </w:r>
                </w:p>
              </w:tc>
            </w:tr>
            <w:tr>
              <w:tc>
                <w:tcPr/>
                <w:p>
                  <w:pPr>
                    <w:pStyle w:val="Compact"/>
                    <w:jc w:val="left"/>
                    <w:jc w:val="center"/>
                  </w:pPr>
                  <w:r>
                    <w:t xml:space="preserve">Défrichage</w:t>
                  </w:r>
                </w:p>
              </w:tc>
              <w:tc>
                <w:tcPr/>
                <w:p>
                  <w:pPr>
                    <w:pStyle w:val="Compact"/>
                    <w:jc w:val="right"/>
                    <w:jc w:val="center"/>
                  </w:pPr>
                  <w:r>
                    <w:t xml:space="preserve">56 %</w:t>
                  </w:r>
                </w:p>
              </w:tc>
              <w:tc>
                <w:tcPr/>
                <w:p>
                  <w:pPr>
                    <w:pStyle w:val="Compact"/>
                    <w:jc w:val="right"/>
                    <w:jc w:val="center"/>
                  </w:pPr>
                  <w:r>
                    <w:t xml:space="preserve">52 %</w:t>
                  </w:r>
                </w:p>
              </w:tc>
            </w:tr>
            <w:tr>
              <w:tc>
                <w:tcPr/>
                <w:p>
                  <w:pPr>
                    <w:pStyle w:val="Compact"/>
                    <w:jc w:val="left"/>
                    <w:jc w:val="center"/>
                  </w:pPr>
                  <w:r>
                    <w:t xml:space="preserve">Prélèvement (faune)</w:t>
                  </w:r>
                </w:p>
              </w:tc>
              <w:tc>
                <w:tcPr/>
                <w:p>
                  <w:pPr>
                    <w:pStyle w:val="Compact"/>
                    <w:jc w:val="right"/>
                    <w:jc w:val="center"/>
                  </w:pPr>
                  <w:r>
                    <w:t xml:space="preserve">40 %</w:t>
                  </w:r>
                </w:p>
              </w:tc>
              <w:tc>
                <w:tcPr/>
                <w:p>
                  <w:pPr>
                    <w:pStyle w:val="Compact"/>
                    <w:jc w:val="right"/>
                    <w:jc w:val="center"/>
                  </w:pPr>
                  <w:r>
                    <w:t xml:space="preserve">20 %</w:t>
                  </w:r>
                </w:p>
              </w:tc>
            </w:tr>
            <w:tr>
              <w:tc>
                <w:tcPr/>
                <w:p>
                  <w:pPr>
                    <w:pStyle w:val="Compact"/>
                    <w:jc w:val="left"/>
                    <w:jc w:val="center"/>
                  </w:pPr>
                  <w:r>
                    <w:t xml:space="preserve">Prélèvement (flore)</w:t>
                  </w:r>
                </w:p>
              </w:tc>
              <w:tc>
                <w:tcPr/>
                <w:p>
                  <w:pPr>
                    <w:pStyle w:val="Compact"/>
                    <w:jc w:val="right"/>
                    <w:jc w:val="center"/>
                  </w:pPr>
                  <w:r>
                    <w:t xml:space="preserve">40 %</w:t>
                  </w:r>
                </w:p>
              </w:tc>
              <w:tc>
                <w:tcPr/>
                <w:p>
                  <w:pPr>
                    <w:pStyle w:val="Compact"/>
                    <w:jc w:val="right"/>
                    <w:jc w:val="center"/>
                  </w:pPr>
                  <w:r>
                    <w:t xml:space="preserve">21 %</w:t>
                  </w:r>
                </w:p>
              </w:tc>
            </w:tr>
            <w:tr>
              <w:tc>
                <w:tcPr/>
                <w:p>
                  <w:pPr>
                    <w:pStyle w:val="Compact"/>
                    <w:jc w:val="left"/>
                    <w:jc w:val="center"/>
                  </w:pPr>
                  <w:r>
                    <w:t xml:space="preserve">Prospection minière</w:t>
                  </w:r>
                </w:p>
              </w:tc>
              <w:tc>
                <w:tcPr/>
                <w:p>
                  <w:pPr>
                    <w:pStyle w:val="Compact"/>
                    <w:jc w:val="right"/>
                    <w:jc w:val="center"/>
                  </w:pPr>
                  <w:r>
                    <w:t xml:space="preserve">29 %</w:t>
                  </w:r>
                </w:p>
              </w:tc>
              <w:tc>
                <w:tcPr/>
                <w:p>
                  <w:pPr>
                    <w:pStyle w:val="Compact"/>
                    <w:jc w:val="right"/>
                    <w:jc w:val="center"/>
                  </w:pPr>
                  <w:r>
                    <w:t xml:space="preserve">6 %</w:t>
                  </w:r>
                </w:p>
              </w:tc>
            </w:tr>
            <w:tr>
              <w:tc>
                <w:tcPr/>
                <w:p>
                  <w:pPr>
                    <w:pStyle w:val="Compact"/>
                    <w:jc w:val="left"/>
                    <w:jc w:val="center"/>
                  </w:pPr>
                  <w:r>
                    <w:t xml:space="preserve">Nomadisme (passage non-résidents)</w:t>
                  </w:r>
                </w:p>
              </w:tc>
              <w:tc>
                <w:tcPr/>
                <w:p>
                  <w:pPr>
                    <w:pStyle w:val="Compact"/>
                    <w:jc w:val="right"/>
                    <w:jc w:val="center"/>
                  </w:pPr>
                  <w:r>
                    <w:t xml:space="preserve">16 %</w:t>
                  </w:r>
                </w:p>
              </w:tc>
              <w:tc>
                <w:tcPr/>
                <w:p>
                  <w:pPr>
                    <w:pStyle w:val="Compact"/>
                    <w:jc w:val="right"/>
                    <w:jc w:val="center"/>
                  </w:pPr>
                  <w:r>
                    <w:t xml:space="preserve">16 %</w:t>
                  </w:r>
                </w:p>
              </w:tc>
            </w:tr>
            <w:tr>
              <w:tc>
                <w:tcPr/>
                <w:p>
                  <w:pPr>
                    <w:pStyle w:val="Compact"/>
                    <w:jc w:val="left"/>
                    <w:jc w:val="center"/>
                  </w:pPr>
                  <w:r>
                    <w:t xml:space="preserve">Zébu / pâturage</w:t>
                  </w:r>
                </w:p>
              </w:tc>
              <w:tc>
                <w:tcPr/>
                <w:p>
                  <w:pPr>
                    <w:pStyle w:val="Compact"/>
                    <w:jc w:val="right"/>
                    <w:jc w:val="center"/>
                  </w:pPr>
                  <w:r>
                    <w:t xml:space="preserve">20 %</w:t>
                  </w:r>
                </w:p>
              </w:tc>
              <w:tc>
                <w:tcPr/>
                <w:p>
                  <w:pPr>
                    <w:pStyle w:val="Compact"/>
                    <w:jc w:val="right"/>
                    <w:jc w:val="center"/>
                  </w:pPr>
                  <w:r>
                    <w:t xml:space="preserve">10 %</w:t>
                  </w:r>
                </w:p>
              </w:tc>
            </w:tr>
            <w:tr>
              <w:tc>
                <w:tcPr/>
                <w:p>
                  <w:pPr>
                    <w:pStyle w:val="Compact"/>
                    <w:jc w:val="left"/>
                    <w:jc w:val="center"/>
                  </w:pPr>
                  <w:r>
                    <w:t xml:space="preserve">Tourisme</w:t>
                  </w:r>
                </w:p>
              </w:tc>
              <w:tc>
                <w:tcPr/>
                <w:p>
                  <w:pPr>
                    <w:pStyle w:val="Compact"/>
                    <w:jc w:val="right"/>
                    <w:jc w:val="center"/>
                  </w:pPr>
                  <w:r>
                    <w:t xml:space="preserve">2 %</w:t>
                  </w:r>
                </w:p>
              </w:tc>
              <w:tc>
                <w:tcPr/>
                <w:p>
                  <w:pPr>
                    <w:pStyle w:val="Compact"/>
                    <w:jc w:val="right"/>
                    <w:jc w:val="center"/>
                  </w:pPr>
                  <w:r>
                    <w:t xml:space="preserve">3 %</w:t>
                  </w:r>
                </w:p>
              </w:tc>
            </w:tr>
            <w:tr>
              <w:tc>
                <w:tcPr>
                  <w:gridSpan w:val="3"/>
                </w:tcPr>
                <w:p>
                  <w:pPr>
                    <w:pStyle w:val="Compact"/>
                    <w:jc w:val="left"/>
                    <w:jc w:val="center"/>
                  </w:pPr>
                  <w:r>
                    <w:t xml:space="preserve">Principaux responsables</w:t>
                  </w:r>
                </w:p>
              </w:tc>
            </w:tr>
            <w:tr>
              <w:tc>
                <w:tcPr/>
                <w:p>
                  <w:pPr>
                    <w:pStyle w:val="Compact"/>
                    <w:jc w:val="left"/>
                    <w:jc w:val="center"/>
                  </w:pPr>
                  <w:r>
                    <w:t xml:space="preserve">L'ensemble des riverains</w:t>
                  </w:r>
                </w:p>
              </w:tc>
              <w:tc>
                <w:tcPr/>
                <w:p>
                  <w:pPr>
                    <w:pStyle w:val="Compact"/>
                    <w:jc w:val="right"/>
                    <w:jc w:val="center"/>
                  </w:pPr>
                  <w:r>
                    <w:t xml:space="preserve">87 %</w:t>
                  </w:r>
                </w:p>
              </w:tc>
              <w:tc>
                <w:tcPr/>
                <w:p>
                  <w:pPr>
                    <w:pStyle w:val="Compact"/>
                    <w:jc w:val="right"/>
                    <w:jc w:val="center"/>
                  </w:pPr>
                  <w:r>
                    <w:t xml:space="preserve">70 %</w:t>
                  </w:r>
                </w:p>
              </w:tc>
            </w:tr>
            <w:tr>
              <w:tc>
                <w:tcPr/>
                <w:p>
                  <w:pPr>
                    <w:pStyle w:val="Compact"/>
                    <w:jc w:val="left"/>
                    <w:jc w:val="center"/>
                  </w:pPr>
                  <w:r>
                    <w:t xml:space="preserve">Les riverains migrants</w:t>
                  </w:r>
                </w:p>
              </w:tc>
              <w:tc>
                <w:tcPr/>
                <w:p>
                  <w:pPr>
                    <w:pStyle w:val="Compact"/>
                    <w:jc w:val="right"/>
                    <w:jc w:val="center"/>
                  </w:pPr>
                  <w:r>
                    <w:t xml:space="preserve">47 %</w:t>
                  </w:r>
                </w:p>
              </w:tc>
              <w:tc>
                <w:tcPr/>
                <w:p>
                  <w:pPr>
                    <w:pStyle w:val="Compact"/>
                    <w:jc w:val="right"/>
                    <w:jc w:val="center"/>
                  </w:pPr>
                  <w:r>
                    <w:t xml:space="preserve">37 %</w:t>
                  </w:r>
                </w:p>
              </w:tc>
            </w:tr>
            <w:tr>
              <w:tc>
                <w:tcPr/>
                <w:p>
                  <w:pPr>
                    <w:pStyle w:val="Compact"/>
                    <w:jc w:val="left"/>
                    <w:jc w:val="center"/>
                  </w:pPr>
                  <w:r>
                    <w:t xml:space="preserve">L'État (Fanjakana)</w:t>
                  </w:r>
                </w:p>
              </w:tc>
              <w:tc>
                <w:tcPr/>
                <w:p>
                  <w:pPr>
                    <w:pStyle w:val="Compact"/>
                    <w:jc w:val="right"/>
                    <w:jc w:val="center"/>
                  </w:pPr>
                  <w:r>
                    <w:t xml:space="preserve">10 %</w:t>
                  </w:r>
                </w:p>
              </w:tc>
              <w:tc>
                <w:tcPr/>
                <w:p>
                  <w:pPr>
                    <w:pStyle w:val="Compact"/>
                    <w:jc w:val="right"/>
                    <w:jc w:val="center"/>
                  </w:pPr>
                  <w:r>
                    <w:t xml:space="preserve">8 %</w:t>
                  </w:r>
                </w:p>
              </w:tc>
            </w:tr>
            <w:tr>
              <w:tc>
                <w:tcPr/>
                <w:p>
                  <w:pPr>
                    <w:pStyle w:val="Compact"/>
                    <w:jc w:val="left"/>
                    <w:jc w:val="center"/>
                  </w:pPr>
                  <w:r>
                    <w:t xml:space="preserve">Les braconniers</w:t>
                  </w:r>
                </w:p>
              </w:tc>
              <w:tc>
                <w:tcPr/>
                <w:p>
                  <w:pPr>
                    <w:pStyle w:val="Compact"/>
                    <w:jc w:val="right"/>
                    <w:jc w:val="center"/>
                  </w:pPr>
                  <w:r>
                    <w:t xml:space="preserve">30 %</w:t>
                  </w:r>
                </w:p>
              </w:tc>
              <w:tc>
                <w:tcPr/>
                <w:p>
                  <w:pPr>
                    <w:pStyle w:val="Compact"/>
                    <w:jc w:val="right"/>
                    <w:jc w:val="center"/>
                  </w:pPr>
                  <w:r>
                    <w:t xml:space="preserve">10 %</w:t>
                  </w:r>
                </w:p>
              </w:tc>
            </w:tr>
            <w:tr>
              <w:tc>
                <w:tcPr/>
                <w:p>
                  <w:pPr>
                    <w:pStyle w:val="Compact"/>
                    <w:jc w:val="left"/>
                    <w:jc w:val="center"/>
                  </w:pPr>
                  <w:r>
                    <w:t xml:space="preserve">Le gestionnaire</w:t>
                  </w:r>
                </w:p>
              </w:tc>
              <w:tc>
                <w:tcPr/>
                <w:p>
                  <w:pPr>
                    <w:pStyle w:val="Compact"/>
                    <w:jc w:val="right"/>
                    <w:jc w:val="center"/>
                  </w:pPr>
                  <w:r>
                    <w:t xml:space="preserve">9 %</w:t>
                  </w:r>
                </w:p>
              </w:tc>
              <w:tc>
                <w:tcPr/>
                <w:p>
                  <w:pPr>
                    <w:pStyle w:val="Compact"/>
                    <w:jc w:val="right"/>
                    <w:jc w:val="center"/>
                  </w:pPr>
                  <w:r>
                    <w:t xml:space="preserve">3 %</w:t>
                  </w:r>
                </w:p>
              </w:tc>
            </w:tr>
            <w:tr>
              <w:tc>
                <w:tcPr/>
                <w:p>
                  <w:pPr>
                    <w:pStyle w:val="Compact"/>
                    <w:jc w:val="left"/>
                    <w:jc w:val="center"/>
                  </w:pPr>
                  <w:r>
                    <w:t xml:space="preserve">Les nomades ou semi-nomades</w:t>
                  </w:r>
                </w:p>
              </w:tc>
              <w:tc>
                <w:tcPr/>
                <w:p>
                  <w:pPr>
                    <w:pStyle w:val="Compact"/>
                    <w:jc w:val="right"/>
                    <w:jc w:val="center"/>
                  </w:pPr>
                  <w:r>
                    <w:t xml:space="preserve">22 %</w:t>
                  </w:r>
                </w:p>
              </w:tc>
              <w:tc>
                <w:tcPr/>
                <w:p>
                  <w:pPr>
                    <w:pStyle w:val="Compact"/>
                    <w:jc w:val="right"/>
                    <w:jc w:val="center"/>
                  </w:pPr>
                  <w:r>
                    <w:t xml:space="preserve">17 %</w:t>
                  </w:r>
                </w:p>
              </w:tc>
            </w:tr>
            <w:tr>
              <w:tc>
                <w:tcPr/>
                <w:p>
                  <w:pPr>
                    <w:pStyle w:val="Compact"/>
                    <w:jc w:val="left"/>
                    <w:jc w:val="center"/>
                  </w:pPr>
                  <w:r>
                    <w:t xml:space="preserve">Les ONG ou entreprises</w:t>
                  </w:r>
                </w:p>
              </w:tc>
              <w:tc>
                <w:tcPr/>
                <w:p>
                  <w:pPr>
                    <w:pStyle w:val="Compact"/>
                    <w:jc w:val="right"/>
                    <w:jc w:val="center"/>
                  </w:pPr>
                  <w:r>
                    <w:t xml:space="preserve">3 %</w:t>
                  </w:r>
                </w:p>
              </w:tc>
              <w:tc>
                <w:tcPr/>
                <w:p>
                  <w:pPr>
                    <w:pStyle w:val="Compact"/>
                    <w:jc w:val="right"/>
                    <w:jc w:val="center"/>
                  </w:pPr>
                  <w:r>
                    <w:t xml:space="preserve">4 %</w:t>
                  </w:r>
                </w:p>
              </w:tc>
            </w:tr>
            <w:tr>
              <w:tc>
                <w:tcPr/>
                <w:p>
                  <w:pPr>
                    <w:pStyle w:val="Compact"/>
                    <w:jc w:val="left"/>
                    <w:jc w:val="center"/>
                  </w:pPr>
                  <w:r>
                    <w:t xml:space="preserve">Les chercheurs</w:t>
                  </w:r>
                </w:p>
              </w:tc>
              <w:tc>
                <w:tcPr/>
                <w:p>
                  <w:pPr>
                    <w:pStyle w:val="Compact"/>
                    <w:jc w:val="right"/>
                    <w:jc w:val="center"/>
                  </w:pPr>
                  <w:r>
                    <w:t xml:space="preserve">0 %</w:t>
                  </w:r>
                </w:p>
              </w:tc>
              <w:tc>
                <w:tcPr/>
                <w:p>
                  <w:pPr>
                    <w:pStyle w:val="Compact"/>
                    <w:jc w:val="right"/>
                    <w:jc w:val="center"/>
                  </w:pPr>
                  <w:r>
                    <w:t xml:space="preserve">2 %</w:t>
                  </w:r>
                </w:p>
              </w:tc>
            </w:tr>
            <w:tr>
              <w:tc>
                <w:tcPr/>
                <w:p>
                  <w:pPr>
                    <w:pStyle w:val="Compact"/>
                    <w:jc w:val="left"/>
                    <w:jc w:val="center"/>
                  </w:pPr>
                  <w:r>
                    <w:t xml:space="preserve">Les touristes</w:t>
                  </w:r>
                </w:p>
              </w:tc>
              <w:tc>
                <w:tcPr/>
                <w:p>
                  <w:pPr>
                    <w:pStyle w:val="Compact"/>
                    <w:jc w:val="right"/>
                    <w:jc w:val="center"/>
                  </w:pPr>
                  <w:r>
                    <w:t xml:space="preserve">1 %</w:t>
                  </w:r>
                </w:p>
              </w:tc>
              <w:tc>
                <w:tcPr/>
                <w:p>
                  <w:pPr>
                    <w:pStyle w:val="Compact"/>
                    <w:jc w:val="right"/>
                    <w:jc w:val="center"/>
                  </w:pPr>
                  <w:r>
                    <w:t xml:space="preserve">2 %</w:t>
                  </w:r>
                </w:p>
              </w:tc>
            </w:tr>
            <w:tr>
              <w:tc>
                <w:tcPr>
                  <w:gridSpan w:val="3"/>
                </w:tcPr>
                <w:p>
                  <w:pPr>
                    <w:pStyle w:val="Compact"/>
                    <w:jc w:val="left"/>
                    <w:jc w:val="center"/>
                  </w:pPr>
                  <w:r>
                    <w:rPr>
                      <w:b/>
                      <w:bCs/>
                    </w:rPr>
                    <w:t xml:space="preserve">Source : Enquête auprès des OR 2025</w:t>
                  </w:r>
                </w:p>
              </w:tc>
            </w:tr>
          </w:tbl>
          <w:bookmarkEnd w:id="759"/>
          <w:p/>
        </w:tc>
      </w:tr>
    </w:tbl>
    <w:p>
      <w:pPr>
        <w:pStyle w:val="CaptionedFigure"/>
      </w:pPr>
      <w:r>
        <w:drawing>
          <wp:inline>
            <wp:extent cx="4620126" cy="4620126"/>
            <wp:effectExtent b="0" l="0" r="0" t="0"/>
            <wp:docPr descr="Menaces perçues et responsables identifiés (% de Oui)" title="" id="761" name="Picture"/>
            <a:graphic>
              <a:graphicData uri="http://schemas.openxmlformats.org/drawingml/2006/picture">
                <pic:pic>
                  <pic:nvPicPr>
                    <pic:cNvPr descr="07_rapport_environnement_files/figure-docx/fig_menaces-1.png" id="762" name="Picture"/>
                    <pic:cNvPicPr>
                      <a:picLocks noChangeArrowheads="1" noChangeAspect="1"/>
                    </pic:cNvPicPr>
                  </pic:nvPicPr>
                  <pic:blipFill>
                    <a:blip r:embed="rId760"/>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763"/>
    <w:bookmarkStart w:id="768" w:name="X111e78fde4bc41d7853240be4e0062dcf4cf407"/>
    <w:p>
      <w:pPr>
        <w:pStyle w:val="Titre3"/>
      </w:pPr>
      <w:r>
        <w:t xml:space="preserve">7.1.5 Ce que représente la zone pour les ménages</w:t>
      </w:r>
    </w:p>
    <w:p>
      <w:pPr>
        <w:pStyle w:val="FirstParagraph"/>
      </w:pPr>
      <w:r>
        <w:t xml:space="preserve">L’analyse des perceptions des populations riveraines permet de caractériser le rôle multifacette des aires protégées en identifiant les diverses fonctions économiques, alimentaires ou culturelles qu’elles occupent dans leur cadre de vie.</w:t>
      </w:r>
    </w:p>
    <w:p>
      <w:pPr>
        <w:pStyle w:val="Corpsdetexte"/>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p>
      <w:pPr>
        <w:pStyle w:val="Corpsdetexte"/>
      </w:pPr>
      <w:r>
        <w:t xml:space="preserve">A Alaotra, la zone protégée est principalement perçue comme une source d’eau et un lieu sacré, chacune de ces fonctions étant citées par 41 % des ménages. L’espace sauvage représente également une perception importante avec 37 % des réponses. Les fonctions de loisir, de lieu interdit, de plantes médicinales et de source d’alimentation sont mentionnées par environ un tiers des ménages. La zone protégée est aussi considérée comme un lieu touristique et un espace pour les activités agricoles par 28 % des répondants. Les fonctions économiques directes restent moins citées, notamment comme source de revenus (25 %) et source de bois (16 %). L’élevage demeure la fonction la moins évoquée avec 9 % des réponses.</w:t>
      </w:r>
    </w:p>
    <w:p>
      <w:pPr>
        <w:pStyle w:val="Corpsdetexte"/>
      </w:pPr>
      <w:r>
        <w:t xml:space="preserve">A Marovoay, la zone protégée est principalement perçue comme un espace de loisir, de détente et de beauté, mentionné par 61 % des ménages. Elle est également considérée comme une source d’eau par 50 % des répondants, ainsi qu’un espace sauvage (47 %) et un lieu touristique (46 %). La dimension culturelle de la zone protégée ressort aussi dans les perceptions locales : 31 % des ménages la considèrent comme un lieu sacré, tandis que 30 % l’associent à un lieu interdit. Les fonctions liées aux usages productifs restent moins citées notamment les plantes médicinales (19 %), la source de bois (18 %) et la source d’alimentation (15 %). Enfin, les activités agricoles et l’élevage sont très faiblement associés à la zone protégée avec seulement 3 % des réponses chacun.</w:t>
      </w:r>
    </w:p>
    <w:tbl>
      <w:tblPr>
        <w:tblStyle w:val="Table"/>
        <w:tblW w:type="pct" w:w="5000"/>
        <w:tblLayout w:type="fixed"/>
        <w:tblLook w:firstRow="0" w:lastRow="0" w:firstColumn="0" w:lastColumn="0" w:noHBand="0" w:noVBand="0" w:val="0000"/>
      </w:tblPr>
      <w:tblGrid>
        <w:gridCol w:w="7920"/>
      </w:tblGrid>
      <w:tr>
        <w:tc>
          <w:tcPr/>
          <w:bookmarkStart w:id="767" w:name="fig-representation"/>
          <w:p>
            <w:pPr>
              <w:jc w:val="center"/>
            </w:pPr>
            <w:pPr>
              <w:jc w:val="left"/>
              <w:spacing w:before="200"/>
              <w:pStyle w:val="ImageCaption"/>
            </w:pPr>
            <w:r>
              <w:t xml:space="preserve">Figure 7.4: Que représente la zone protégée pour les ménages ? (% de Oui)</w:t>
            </w:r>
          </w:p>
          <w:p>
            <w:pPr>
              <w:pStyle w:val="Compact"/>
              <w:jc w:val="center"/>
            </w:pPr>
            <w:r>
              <w:drawing>
                <wp:inline>
                  <wp:extent cx="5969000" cy="2238375"/>
                  <wp:effectExtent b="0" l="0" r="0" t="0"/>
                  <wp:docPr descr="" title="" id="765" name="Picture"/>
                  <a:graphic>
                    <a:graphicData uri="http://schemas.openxmlformats.org/drawingml/2006/picture">
                      <pic:pic>
                        <pic:nvPicPr>
                          <pic:cNvPr descr="07_rapport_environnement_files/figure-docx/fig-representation-1.png" id="766" name="Picture"/>
                          <pic:cNvPicPr>
                            <a:picLocks noChangeArrowheads="1" noChangeAspect="1"/>
                          </pic:cNvPicPr>
                        </pic:nvPicPr>
                        <pic:blipFill>
                          <a:blip r:embed="rId764"/>
                          <a:stretch>
                            <a:fillRect/>
                          </a:stretch>
                        </pic:blipFill>
                        <pic:spPr bwMode="auto">
                          <a:xfrm>
                            <a:off x="0" y="0"/>
                            <a:ext cx="5969000" cy="2238375"/>
                          </a:xfrm>
                          <a:prstGeom prst="rect">
                            <a:avLst/>
                          </a:prstGeom>
                          <a:noFill/>
                          <a:ln w="9525">
                            <a:noFill/>
                            <a:headEnd/>
                            <a:tailEnd/>
                          </a:ln>
                        </pic:spPr>
                      </pic:pic>
                    </a:graphicData>
                  </a:graphic>
                </wp:inline>
              </w:drawing>
            </w:r>
          </w:p>
          <w:bookmarkEnd w:id="767"/>
        </w:tc>
      </w:tr>
    </w:tbl>
    <w:bookmarkEnd w:id="768"/>
    <w:bookmarkEnd w:id="769"/>
    <w:bookmarkStart w:id="807" w:name="sec-exploitation"/>
    <w:p>
      <w:pPr>
        <w:pStyle w:val="Titre2"/>
      </w:pPr>
      <w:r>
        <w:t xml:space="preserve">7.2 Exploitation forestière et usage de l’Aire protégée</w:t>
      </w:r>
    </w:p>
    <w:p>
      <w:pPr>
        <w:pStyle w:val="FirstParagraph"/>
      </w:pPr>
      <w:r>
        <w:t xml:space="preserve">L’analyse de l’exploitation forestière et des usages de l’Aire Protégée permet de caractériser les activités de collecte et de commercialisation des produits forestiers ainsi que les modalités de fréquentation et les types d’usages développés par les ménages au sein de ces espaces préservés.</w:t>
      </w:r>
    </w:p>
    <w:bookmarkStart w:id="778" w:name="collecte-de-bois-et-charbon"/>
    <w:p>
      <w:pPr>
        <w:pStyle w:val="Titre3"/>
      </w:pPr>
      <w:r>
        <w:t xml:space="preserve">7.2.1 Collecte de bois et charbon</w:t>
      </w:r>
    </w:p>
    <w:p>
      <w:pPr>
        <w:pStyle w:val="FirstParagraph"/>
      </w:pPr>
      <w:r>
        <w:t xml:space="preserve">Quelle place occupe les ressources forestières dans les usages domestiques et économiques ainsi que dans les besoins énergétiques et matériels des ménages de chaque observatoire?</w:t>
      </w:r>
    </w:p>
    <w:p>
      <w:pPr>
        <w:pStyle w:val="Corpsdetexte"/>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p>
      <w:pPr>
        <w:pStyle w:val="Corpsdetexte"/>
      </w:pPr>
      <w:r>
        <w:t xml:space="preserve">A Alaotra, plus de la moitié des ménages pratiquent la collecte de produits forestiers. Le bois de chauffe (kitay) est le produit le plus collecté avec 54.8 % des ménages concernés, suivi du charbon (saribao) avec 54.4 % et du bois d’œuvre avec 53.6 %.</w:t>
      </w:r>
    </w:p>
    <w:p>
      <w:pPr>
        <w:pStyle w:val="Corpsdetexte"/>
      </w:pPr>
      <w:r>
        <w:t xml:space="preserve">A Marovoay, environ un tiers des ménages déclarent pratiquer la collecte de produits forestiers. Le bois de chauffe (kitay) est le produit le plus collecté avec 36 % des ménages, suivi du charbon (saribao) avec 35.8 % et du bois d’œuvre avec 34.9 %.</w:t>
      </w:r>
    </w:p>
    <w:tbl>
      <w:tblPr>
        <w:tblStyle w:val="Table"/>
        <w:tblW w:type="pct" w:w="5000"/>
        <w:tblLayout w:type="fixed"/>
        <w:tblLook w:firstRow="0" w:lastRow="0" w:firstColumn="0" w:lastColumn="0" w:noHBand="0" w:noVBand="0" w:val="0000"/>
      </w:tblPr>
      <w:tblGrid>
        <w:gridCol w:w="7920"/>
      </w:tblGrid>
      <w:tr>
        <w:tc>
          <w:tcPr/>
          <w:bookmarkStart w:id="773"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r>
              <w:drawing>
                <wp:inline>
                  <wp:extent cx="5969000" cy="1865312"/>
                  <wp:effectExtent b="0" l="0" r="0" t="0"/>
                  <wp:docPr descr="" title="" id="771" name="Picture"/>
                  <a:graphic>
                    <a:graphicData uri="http://schemas.openxmlformats.org/drawingml/2006/picture">
                      <pic:pic>
                        <pic:nvPicPr>
                          <pic:cNvPr descr="07_rapport_environnement_files/figure-docx/fig-ef-produits-1.png" id="772" name="Picture"/>
                          <pic:cNvPicPr>
                            <a:picLocks noChangeArrowheads="1" noChangeAspect="1"/>
                          </pic:cNvPicPr>
                        </pic:nvPicPr>
                        <pic:blipFill>
                          <a:blip r:embed="rId770"/>
                          <a:stretch>
                            <a:fillRect/>
                          </a:stretch>
                        </pic:blipFill>
                        <pic:spPr bwMode="auto">
                          <a:xfrm>
                            <a:off x="0" y="0"/>
                            <a:ext cx="5969000" cy="1865312"/>
                          </a:xfrm>
                          <a:prstGeom prst="rect">
                            <a:avLst/>
                          </a:prstGeom>
                          <a:noFill/>
                          <a:ln w="9525">
                            <a:noFill/>
                            <a:headEnd/>
                            <a:tailEnd/>
                          </a:ln>
                        </pic:spPr>
                      </pic:pic>
                    </a:graphicData>
                  </a:graphic>
                </wp:inline>
              </w:drawing>
            </w:r>
          </w:p>
          <w:bookmarkEnd w:id="773"/>
        </w:tc>
      </w:tr>
    </w:tbl>
    <w:p>
      <w:pPr>
        <w:pStyle w:val="Corpsdetexte"/>
      </w:pPr>
      <w:r>
        <w:t xml:space="preserve">A Alaotra, la quasi-totalité des produits forestiers collectés provient de zones situées hors de l’Aire Protégée. Le bois d’œuvre et le charbon (saribao) sont entièrement collectés en dehors de l’AP, tandis qu’une très faible proportion du bois de chauffe (kitay) provient de l’intérieur de l’aire protégée.</w:t>
      </w:r>
    </w:p>
    <w:p>
      <w:pPr>
        <w:pStyle w:val="Corpsdetexte"/>
      </w:pPr>
      <w:r>
        <w:t xml:space="preserve">A Marovoay, les produits forestiers collectés proviennent également presque exclusivement des zones situées hors de l’Aire Protégée. Le bois d’œuvre est entièrement collecté en dehors de l’AP, alors que de très faibles proportions de bois de chauffe (kitay) et de charbon (saribao) sont prélevées à l’intérieur de l’aire protégée.</w:t>
      </w:r>
    </w:p>
    <w:tbl>
      <w:tblPr>
        <w:tblStyle w:val="Table"/>
        <w:tblW w:type="pct" w:w="5000"/>
        <w:tblLayout w:type="fixed"/>
        <w:tblLook w:firstRow="0" w:lastRow="0" w:firstColumn="0" w:lastColumn="0" w:noHBand="0" w:noVBand="0" w:val="0000"/>
      </w:tblPr>
      <w:tblGrid>
        <w:gridCol w:w="7920"/>
      </w:tblGrid>
      <w:tr>
        <w:tc>
          <w:tcPr/>
          <w:bookmarkStart w:id="777" w:name="fig-ef-origine"/>
          <w:p>
            <w:pPr>
              <w:jc w:val="center"/>
            </w:pPr>
            <w:pPr>
              <w:jc w:val="left"/>
              <w:spacing w:before="200"/>
              <w:pStyle w:val="ImageCaption"/>
            </w:pPr>
            <w:r>
              <w:t xml:space="preserve">Figure 7.6: Origine des produits forestiers collectés (dans ou hors Aire Protégée)</w:t>
            </w:r>
          </w:p>
          <w:p>
            <w:pPr>
              <w:pStyle w:val="Compact"/>
              <w:jc w:val="center"/>
            </w:pPr>
            <w:r>
              <w:drawing>
                <wp:inline>
                  <wp:extent cx="5969000" cy="1865312"/>
                  <wp:effectExtent b="0" l="0" r="0" t="0"/>
                  <wp:docPr descr="" title="" id="775" name="Picture"/>
                  <a:graphic>
                    <a:graphicData uri="http://schemas.openxmlformats.org/drawingml/2006/picture">
                      <pic:pic>
                        <pic:nvPicPr>
                          <pic:cNvPr descr="07_rapport_environnement_files/figure-docx/fig-ef-origine-1.png" id="776" name="Picture"/>
                          <pic:cNvPicPr>
                            <a:picLocks noChangeArrowheads="1" noChangeAspect="1"/>
                          </pic:cNvPicPr>
                        </pic:nvPicPr>
                        <pic:blipFill>
                          <a:blip r:embed="rId774"/>
                          <a:stretch>
                            <a:fillRect/>
                          </a:stretch>
                        </pic:blipFill>
                        <pic:spPr bwMode="auto">
                          <a:xfrm>
                            <a:off x="0" y="0"/>
                            <a:ext cx="5969000" cy="1865312"/>
                          </a:xfrm>
                          <a:prstGeom prst="rect">
                            <a:avLst/>
                          </a:prstGeom>
                          <a:noFill/>
                          <a:ln w="9525">
                            <a:noFill/>
                            <a:headEnd/>
                            <a:tailEnd/>
                          </a:ln>
                        </pic:spPr>
                      </pic:pic>
                    </a:graphicData>
                  </a:graphic>
                </wp:inline>
              </w:drawing>
            </w:r>
          </w:p>
          <w:bookmarkEnd w:id="777"/>
        </w:tc>
      </w:tr>
    </w:tbl>
    <w:bookmarkEnd w:id="778"/>
    <w:bookmarkStart w:id="783"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p>
      <w:pPr>
        <w:pStyle w:val="Corpsdetexte"/>
      </w:pPr>
      <w:r>
        <w:rPr>
          <w:b/>
          <w:bCs/>
        </w:rPr>
        <w:t xml:space="preserve">+ SOURCE DGM</w:t>
      </w:r>
    </w:p>
    <w:p>
      <w:pPr>
        <w:pStyle w:val="Corpsdetexte"/>
      </w:pPr>
      <w:r>
        <w:t xml:space="preserve">A Alaotra, la collecte de bois de chauffe (kitay) reste élevée et relativement stable aussi bien pendant la période sèche (mai à septembre) que durant la période humide (octobre à avril) avec plus de 80.0 % des ménages chaque mois, les valeurs fluctuant entre 81.3 et 85.2 %. Une légère augmentation est observée vers la fin de la saison sèche notamment entre août et octobre, avec un pic d’activité atteignant 85.2 % en septembre et 84.8 % en octobre. Cette phase d’intensification intervient après les grandes récoltes de la zone Moyen-Est, notamment celles du riz pluvial en avril-mai et du riz irrigué achevées en juin, permettant aux foyers de sécuriser leurs combustibles avant le retour des pluies. La collecte de charbon (saribao) demeure faible sur l’ensemble de l’année, variant entre 6.3 % en janvier et 9.9 % en octobre, mais connaît quelques hausses ponctuelles pendant la période sèche particulièrement autour des mois de septembre et octobre. Cette légère intensification en fin de saison sèche intervient après les grands cycles de récolte documentés dans la zone Moyen-Est, notamment le riz pluvial récolté en avril-mai et le riz irrigué dont la moisson s’achève en juin. La collecte de bois d’œuvre reste quasiment inexistante quelle que soit la saison, ne dépassant jamais 2.4 % des mentions. Ces résultats montrent que les besoins en bois de chauffe sont permanents et peu influencés par les variations climatiques.</w:t>
      </w:r>
    </w:p>
    <w:p>
      <w:pPr>
        <w:pStyle w:val="Corpsdetexte"/>
      </w:pPr>
      <w:r>
        <w:t xml:space="preserve">A Marovoay, la collecte de bois de chauffe (kitay) est également importante tout au long de l’année. Elle atteint surtout ses niveaux les plus élevés durant la période sèche (mai à septembre) avec un pic observé autour des mois d’août et septembre, où le taux de ménages actifs s’élève à 88.1 %. Ce maximum d’activité en septembre coïncide avec le début de la récolte de la campagne rizicole Jeby dans le Nord-Ouest, suggérant des besoins énergétiques accrus pour la main-d’œuvre durant cette période de forte activité. À partir du début de la période humide (octobre à avril), une diminution progressive de la proportion de ménages collectant les produits forestiers est observée jusqu’en décembre où elle tombe à 76.1 %. Ce repli de l’activité forestière suit la période de récolte du riz irrigué de 1ère saison (campagne Jeby) qui mobilise les ménages du Nord-Ouest de mi-septembre à novembre, se distinguant du calendrier de la zone Moyen-Est où les moissons de riz irrigué se terminent plus tôt, en juin. La collecte de charbon (saribao) reste limitée pendant une grande partie de l’année mais augmente nettement à la fin de la saison sèche et au début de la saison humide, atteignant 11.4 % en septembre et 11.2 % en octobre, avant de diminuer ensuite. Cette intensification ponctuelle intervient précisément au moment du déclenchement de la récolte rizicole de la campagne Jeby documentée dans la zone de Marovoay. La collecte de bois d’œuvre demeure marginale quelle que soit la période climatique, avec un sommet annuel de seulement 3.9 % en octobre. Ces résultats indiquent que les activités de collecte forestière sont davantage intensifiées durant la saison sèche.</w:t>
      </w:r>
    </w:p>
    <w:tbl>
      <w:tblPr>
        <w:tblStyle w:val="Table"/>
        <w:tblW w:type="pct" w:w="5000"/>
        <w:tblLayout w:type="fixed"/>
        <w:tblLook w:firstRow="0" w:lastRow="0" w:firstColumn="0" w:lastColumn="0" w:noHBand="0" w:noVBand="0" w:val="0000"/>
      </w:tblPr>
      <w:tblGrid>
        <w:gridCol w:w="7920"/>
      </w:tblGrid>
      <w:tr>
        <w:tc>
          <w:tcPr/>
          <w:bookmarkStart w:id="782"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r>
              <w:drawing>
                <wp:inline>
                  <wp:extent cx="5969000" cy="1865312"/>
                  <wp:effectExtent b="0" l="0" r="0" t="0"/>
                  <wp:docPr descr="" title="" id="780" name="Picture"/>
                  <a:graphic>
                    <a:graphicData uri="http://schemas.openxmlformats.org/drawingml/2006/picture">
                      <pic:pic>
                        <pic:nvPicPr>
                          <pic:cNvPr descr="07_rapport_environnement_files/figure-docx/fig-ef-saison-1.png" id="781" name="Picture"/>
                          <pic:cNvPicPr>
                            <a:picLocks noChangeArrowheads="1" noChangeAspect="1"/>
                          </pic:cNvPicPr>
                        </pic:nvPicPr>
                        <pic:blipFill>
                          <a:blip r:embed="rId779"/>
                          <a:stretch>
                            <a:fillRect/>
                          </a:stretch>
                        </pic:blipFill>
                        <pic:spPr bwMode="auto">
                          <a:xfrm>
                            <a:off x="0" y="0"/>
                            <a:ext cx="5969000" cy="1865312"/>
                          </a:xfrm>
                          <a:prstGeom prst="rect">
                            <a:avLst/>
                          </a:prstGeom>
                          <a:noFill/>
                          <a:ln w="9525">
                            <a:noFill/>
                            <a:headEnd/>
                            <a:tailEnd/>
                          </a:ln>
                        </pic:spPr>
                      </pic:pic>
                    </a:graphicData>
                  </a:graphic>
                </wp:inline>
              </w:drawing>
            </w:r>
          </w:p>
          <w:bookmarkEnd w:id="782"/>
        </w:tc>
      </w:tr>
    </w:tbl>
    <w:bookmarkEnd w:id="783"/>
    <w:bookmarkStart w:id="785" w:name="X8df5da6acadcfbdd6a5344ed8fbae1328a2e11b"/>
    <w:p>
      <w:pPr>
        <w:pStyle w:val="Titre3"/>
      </w:pPr>
      <w:r>
        <w:t xml:space="preserve">7.2.3 Commercialisation des produits forestiers</w:t>
      </w:r>
    </w:p>
    <w:p>
      <w:pPr>
        <w:pStyle w:val="FirstParagraph"/>
      </w:pPr>
      <w:r>
        <w:t xml:space="preserve">Une partie des produits forestiers collectés (charbon, bois de chauffe, bois d’œuvre) fait l’objet d’une commercialisation. La proportion de ménages qui vendent et les montants moyens de vente donnent une indication de l’importance économique de cette activité.</w:t>
      </w:r>
    </w:p>
    <w:p>
      <w:pPr>
        <w:pStyle w:val="Corpsdetexte"/>
      </w:pPr>
      <w:r>
        <w:t xml:space="preserve">A Alaotra, la vente de produits forestiers concerne principalement le bois de chauffe (kitay), avec 17 % des ménages déclarant en commercialiser une partie de leur production. En moyenne, 60 % du volume collecté est vendu, pour un montant moyen de 323667 Ar. La vente de charbon (saribao) concerne 5 % des ménages, mais la part commercialisée est particulièrement élevée, atteignant 93 % des quantités produites, avec un revenu moyen de 596720 Ar. Le bois d’œuvre est vendu par seulement 3 % des ménages, mais il génère le montant moyen le plus important, estimé à 2182571 Ar, avec une proportion moyenne vendue de 89 %. Ces résultats montrent que, malgré le faible nombre de vendeurs, certains produits forestiers constituent une source de revenus significative pour les ménages concernés.</w:t>
      </w:r>
    </w:p>
    <w:p>
      <w:pPr>
        <w:pStyle w:val="Corpsdetexte"/>
      </w:pPr>
      <w:r>
        <w:t xml:space="preserve">A Marovoay, la commercialisation des produits forestiers reste limitée en nombre de ménages vendeurs. Le charbon (saribao) est le produit le plus fréquemment vendu, avec 11 % des ménages concernés. En moyenne, 73 % des quantités collectées sont destinées à la vente, pour un montant moyen de 309638 Ar. Le bois de chauffe (kitay) est vendu par 4 % des ménages, avec une proportion moyenne commercialisée de 59 % et un revenu moyen de 292857 Ar. Le bois d’œuvre concerne seulement 2 % des ménages vendeurs, mais la quasi-totalité des quantités collectées est commercialisée (99 %), générant un montant moyen de 16180 Ar. Ces résultats indiquent que les produits forestiers participent aux revenus monétaires des ménages, bien que cette activité reste concentrée chez une faible proportion d’entre eux.</w:t>
      </w:r>
    </w:p>
    <w:tbl>
      <w:tblPr>
        <w:tblStyle w:val="Table"/>
        <w:tblW w:type="pct" w:w="5000"/>
        <w:tblLayout w:type="fixed"/>
        <w:tblLook w:firstRow="0" w:lastRow="0" w:firstColumn="0" w:lastColumn="0" w:noHBand="0" w:noVBand="0" w:val="0000"/>
      </w:tblPr>
      <w:tblGrid>
        <w:gridCol w:w="7920"/>
      </w:tblGrid>
      <w:tr>
        <w:tc>
          <w:tcPr/>
          <w:bookmarkStart w:id="784" w:name="tbl-ef-vente"/>
          <w:p>
            <w:pPr>
              <w:jc w:val="center"/>
            </w:pPr>
            <w:pPr>
              <w:jc w:val="left"/>
              <w:spacing w:before="200"/>
              <w:pStyle w:val="ImageCaption"/>
            </w:pPr>
            <w:r>
              <w:t xml:space="preserve">Table 7.2: Part des ménages vendant les produits forestiers et montant moyen de vente (Ar)</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Produit</w:t>
                  </w:r>
                </w:p>
              </w:tc>
              <w:tc>
                <w:tcPr/>
                <w:p>
                  <w:pPr>
                    <w:pStyle w:val="Compact"/>
                    <w:jc w:val="right"/>
                    <w:jc w:val="center"/>
                  </w:pPr>
                  <w:r>
                    <w:t xml:space="preserve">% de vendeurs</w:t>
                  </w:r>
                </w:p>
              </w:tc>
              <w:tc>
                <w:tcPr/>
                <w:p>
                  <w:pPr>
                    <w:pStyle w:val="Compact"/>
                    <w:jc w:val="right"/>
                    <w:jc w:val="center"/>
                  </w:pPr>
                  <w:r>
                    <w:t xml:space="preserve">% vendu (moyen)</w:t>
                  </w:r>
                </w:p>
              </w:tc>
              <w:tc>
                <w:tcPr/>
                <w:p>
                  <w:pPr>
                    <w:pStyle w:val="Compact"/>
                    <w:jc w:val="right"/>
                    <w:jc w:val="center"/>
                  </w:pPr>
                  <w:r>
                    <w:t xml:space="preserve">Montant moyen (Ar)</w:t>
                  </w:r>
                </w:p>
              </w:tc>
            </w:tr>
            <w:tr>
              <w:tc>
                <w:tcPr>
                  <w:gridSpan w:val="4"/>
                </w:tcPr>
                <w:p>
                  <w:pPr>
                    <w:pStyle w:val="Compact"/>
                    <w:jc w:val="left"/>
                    <w:jc w:val="center"/>
                  </w:pPr>
                  <w:r>
                    <w:t xml:space="preserve">Alaotra</w:t>
                  </w:r>
                </w:p>
              </w:tc>
            </w:tr>
            <w:tr>
              <w:tc>
                <w:tcPr/>
                <w:p>
                  <w:pPr>
                    <w:pStyle w:val="Compact"/>
                    <w:jc w:val="left"/>
                    <w:jc w:val="center"/>
                  </w:pPr>
                  <w:r>
                    <w:t xml:space="preserve">Charbon (saribao)</w:t>
                  </w:r>
                </w:p>
              </w:tc>
              <w:tc>
                <w:tcPr/>
                <w:p>
                  <w:pPr>
                    <w:pStyle w:val="Compact"/>
                    <w:jc w:val="right"/>
                    <w:jc w:val="center"/>
                  </w:pPr>
                  <w:r>
                    <w:t xml:space="preserve">5</w:t>
                  </w:r>
                </w:p>
              </w:tc>
              <w:tc>
                <w:tcPr/>
                <w:p>
                  <w:pPr>
                    <w:pStyle w:val="Compact"/>
                    <w:jc w:val="right"/>
                    <w:jc w:val="center"/>
                  </w:pPr>
                  <w:r>
                    <w:t xml:space="preserve">93</w:t>
                  </w:r>
                </w:p>
              </w:tc>
              <w:tc>
                <w:tcPr/>
                <w:p>
                  <w:pPr>
                    <w:pStyle w:val="Compact"/>
                    <w:jc w:val="right"/>
                    <w:jc w:val="center"/>
                  </w:pPr>
                  <w:r>
                    <w:t xml:space="preserve">596 720</w:t>
                  </w:r>
                </w:p>
              </w:tc>
            </w:tr>
            <w:tr>
              <w:tc>
                <w:tcPr/>
                <w:p>
                  <w:pPr>
                    <w:pStyle w:val="Compact"/>
                    <w:jc w:val="left"/>
                    <w:jc w:val="center"/>
                  </w:pPr>
                  <w:r>
                    <w:t xml:space="preserve">Bois de chauffe (kitay)</w:t>
                  </w:r>
                </w:p>
              </w:tc>
              <w:tc>
                <w:tcPr/>
                <w:p>
                  <w:pPr>
                    <w:pStyle w:val="Compact"/>
                    <w:jc w:val="right"/>
                    <w:jc w:val="center"/>
                  </w:pPr>
                  <w:r>
                    <w:t xml:space="preserve">17</w:t>
                  </w:r>
                </w:p>
              </w:tc>
              <w:tc>
                <w:tcPr/>
                <w:p>
                  <w:pPr>
                    <w:pStyle w:val="Compact"/>
                    <w:jc w:val="right"/>
                    <w:jc w:val="center"/>
                  </w:pPr>
                  <w:r>
                    <w:t xml:space="preserve">60</w:t>
                  </w:r>
                </w:p>
              </w:tc>
              <w:tc>
                <w:tcPr/>
                <w:p>
                  <w:pPr>
                    <w:pStyle w:val="Compact"/>
                    <w:jc w:val="right"/>
                    <w:jc w:val="center"/>
                  </w:pPr>
                  <w:r>
                    <w:t xml:space="preserve">323 667</w:t>
                  </w:r>
                </w:p>
              </w:tc>
            </w:tr>
            <w:tr>
              <w:tc>
                <w:tcPr/>
                <w:p>
                  <w:pPr>
                    <w:pStyle w:val="Compact"/>
                    <w:jc w:val="left"/>
                    <w:jc w:val="center"/>
                  </w:pPr>
                  <w:r>
                    <w:t xml:space="preserve">Bois d'œuvre</w:t>
                  </w:r>
                </w:p>
              </w:tc>
              <w:tc>
                <w:tcPr/>
                <w:p>
                  <w:pPr>
                    <w:pStyle w:val="Compact"/>
                    <w:jc w:val="right"/>
                    <w:jc w:val="center"/>
                  </w:pPr>
                  <w:r>
                    <w:t xml:space="preserve">3</w:t>
                  </w:r>
                </w:p>
              </w:tc>
              <w:tc>
                <w:tcPr/>
                <w:p>
                  <w:pPr>
                    <w:pStyle w:val="Compact"/>
                    <w:jc w:val="right"/>
                    <w:jc w:val="center"/>
                  </w:pPr>
                  <w:r>
                    <w:t xml:space="preserve">89</w:t>
                  </w:r>
                </w:p>
              </w:tc>
              <w:tc>
                <w:tcPr/>
                <w:p>
                  <w:pPr>
                    <w:pStyle w:val="Compact"/>
                    <w:jc w:val="right"/>
                    <w:jc w:val="center"/>
                  </w:pPr>
                  <w:r>
                    <w:t xml:space="preserve">2 182 571</w:t>
                  </w:r>
                </w:p>
              </w:tc>
            </w:tr>
            <w:tr>
              <w:tc>
                <w:tcPr>
                  <w:gridSpan w:val="4"/>
                </w:tcPr>
                <w:p>
                  <w:pPr>
                    <w:pStyle w:val="Compact"/>
                    <w:jc w:val="left"/>
                    <w:jc w:val="center"/>
                  </w:pPr>
                  <w:r>
                    <w:t xml:space="preserve">Marovoay</w:t>
                  </w:r>
                </w:p>
              </w:tc>
            </w:tr>
            <w:tr>
              <w:tc>
                <w:tcPr/>
                <w:p>
                  <w:pPr>
                    <w:pStyle w:val="Compact"/>
                    <w:jc w:val="left"/>
                    <w:jc w:val="center"/>
                  </w:pPr>
                  <w:r>
                    <w:t xml:space="preserve">Charbon (saribao)</w:t>
                  </w:r>
                </w:p>
              </w:tc>
              <w:tc>
                <w:tcPr/>
                <w:p>
                  <w:pPr>
                    <w:pStyle w:val="Compact"/>
                    <w:jc w:val="right"/>
                    <w:jc w:val="center"/>
                  </w:pPr>
                  <w:r>
                    <w:t xml:space="preserve">11</w:t>
                  </w:r>
                </w:p>
              </w:tc>
              <w:tc>
                <w:tcPr/>
                <w:p>
                  <w:pPr>
                    <w:pStyle w:val="Compact"/>
                    <w:jc w:val="right"/>
                    <w:jc w:val="center"/>
                  </w:pPr>
                  <w:r>
                    <w:t xml:space="preserve">73</w:t>
                  </w:r>
                </w:p>
              </w:tc>
              <w:tc>
                <w:tcPr/>
                <w:p>
                  <w:pPr>
                    <w:pStyle w:val="Compact"/>
                    <w:jc w:val="right"/>
                    <w:jc w:val="center"/>
                  </w:pPr>
                  <w:r>
                    <w:t xml:space="preserve">309 638</w:t>
                  </w:r>
                </w:p>
              </w:tc>
            </w:tr>
            <w:tr>
              <w:tc>
                <w:tcPr/>
                <w:p>
                  <w:pPr>
                    <w:pStyle w:val="Compact"/>
                    <w:jc w:val="left"/>
                    <w:jc w:val="center"/>
                  </w:pPr>
                  <w:r>
                    <w:t xml:space="preserve">Bois de chauffe (kitay)</w:t>
                  </w:r>
                </w:p>
              </w:tc>
              <w:tc>
                <w:tcPr/>
                <w:p>
                  <w:pPr>
                    <w:pStyle w:val="Compact"/>
                    <w:jc w:val="right"/>
                    <w:jc w:val="center"/>
                  </w:pPr>
                  <w:r>
                    <w:t xml:space="preserve">4</w:t>
                  </w:r>
                </w:p>
              </w:tc>
              <w:tc>
                <w:tcPr/>
                <w:p>
                  <w:pPr>
                    <w:pStyle w:val="Compact"/>
                    <w:jc w:val="right"/>
                    <w:jc w:val="center"/>
                  </w:pPr>
                  <w:r>
                    <w:t xml:space="preserve">59</w:t>
                  </w:r>
                </w:p>
              </w:tc>
              <w:tc>
                <w:tcPr/>
                <w:p>
                  <w:pPr>
                    <w:pStyle w:val="Compact"/>
                    <w:jc w:val="right"/>
                    <w:jc w:val="center"/>
                  </w:pPr>
                  <w:r>
                    <w:t xml:space="preserve">292 857</w:t>
                  </w:r>
                </w:p>
              </w:tc>
            </w:tr>
            <w:tr>
              <w:tc>
                <w:tcPr/>
                <w:p>
                  <w:pPr>
                    <w:pStyle w:val="Compact"/>
                    <w:jc w:val="left"/>
                    <w:jc w:val="center"/>
                  </w:pPr>
                  <w:r>
                    <w:t xml:space="preserve">Bois d'œuvre</w:t>
                  </w:r>
                </w:p>
              </w:tc>
              <w:tc>
                <w:tcPr/>
                <w:p>
                  <w:pPr>
                    <w:pStyle w:val="Compact"/>
                    <w:jc w:val="right"/>
                    <w:jc w:val="center"/>
                  </w:pPr>
                  <w:r>
                    <w:t xml:space="preserve">2</w:t>
                  </w:r>
                </w:p>
              </w:tc>
              <w:tc>
                <w:tcPr/>
                <w:p>
                  <w:pPr>
                    <w:pStyle w:val="Compact"/>
                    <w:jc w:val="right"/>
                    <w:jc w:val="center"/>
                  </w:pPr>
                  <w:r>
                    <w:t xml:space="preserve">99</w:t>
                  </w:r>
                </w:p>
              </w:tc>
              <w:tc>
                <w:tcPr/>
                <w:p>
                  <w:pPr>
                    <w:pStyle w:val="Compact"/>
                    <w:jc w:val="right"/>
                    <w:jc w:val="center"/>
                  </w:pPr>
                  <w:r>
                    <w:t xml:space="preserve">16 180</w:t>
                  </w:r>
                </w:p>
              </w:tc>
            </w:tr>
            <w:tr>
              <w:tc>
                <w:tcPr>
                  <w:gridSpan w:val="4"/>
                </w:tcPr>
                <w:p>
                  <w:pPr>
                    <w:pStyle w:val="Compact"/>
                    <w:jc w:val="left"/>
                    <w:jc w:val="center"/>
                  </w:pPr>
                  <w:r>
                    <w:rPr>
                      <w:b/>
                      <w:bCs/>
                    </w:rPr>
                    <w:t xml:space="preserve">Source : Enquête auprès des OR 2025</w:t>
                  </w:r>
                </w:p>
              </w:tc>
            </w:tr>
          </w:tbl>
          <w:bookmarkEnd w:id="784"/>
          <w:p/>
        </w:tc>
      </w:tr>
    </w:tbl>
    <w:bookmarkEnd w:id="785"/>
    <w:bookmarkStart w:id="787" w:name="fréquentation-de-laire-protégée"/>
    <w:p>
      <w:pPr>
        <w:pStyle w:val="Titre3"/>
      </w:pPr>
      <w:r>
        <w:t xml:space="preserve">7.2.4 Fréquentation de l’Aire protégée</w:t>
      </w:r>
    </w:p>
    <w:p>
      <w:pPr>
        <w:pStyle w:val="FirstParagraph"/>
      </w:pPr>
      <w:r>
        <w:t xml:space="preserve">L’analyse de la fréquentation et de la connaissance de l’Aire protégée permet de caractériser la proportion de ménages usagers, l’importance vitale qu’ils accordent à cet accès ainsi que leur degré de connaissance géographique du site.</w:t>
      </w:r>
    </w:p>
    <w:p>
      <w:pPr>
        <w:pStyle w:val="Corpsdetexte"/>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7.3</w:t>
        </w:r>
      </w:hyperlink>
      <w:r>
        <w:t xml:space="preserve"> </w:t>
      </w:r>
      <w:r>
        <w:t xml:space="preserve">résume la fréquentation et ses caractéristiques.</w:t>
      </w:r>
    </w:p>
    <w:p>
      <w:pPr>
        <w:pStyle w:val="Corpsdetexte"/>
      </w:pPr>
      <w:r>
        <w:t xml:space="preserve">A Alaotra, 44 % des ménages déclarent se rendre dans l’Aire Protégée, tandis que 31 % considèrent qu’il est vital ou nécessaire d’y aller. Parmi les usagers connaissant le lieu, 45 % estiment avoir une connaissance « plus ou moins » bonne de l’Aire Protégée. Une proportion plus réduite, soit 11 %, déclare très bien connaître cet espace, alors que 44 % indiquent avoir une très faible connaissance du lieu. Ces résultats montrent que, malgré une fréquentation relativement importante, le niveau de connaissance de l’Aire Protégée demeure contrasté parmi les usagers.</w:t>
      </w:r>
    </w:p>
    <w:p>
      <w:pPr>
        <w:pStyle w:val="Corpsdetexte"/>
      </w:pPr>
      <w:r>
        <w:t xml:space="preserve">A Marovoay, 27 % des ménages déclarent fréquenter l’Aire Protégée et 21 % considèrent qu’il est vital ou nécessaire de s’y rendre. Parmi les usagers, 33 % déclarent avoir une connaissance « plus ou moins » bonne du lieu et 14 % affirment très bien le connaître. Toutefois, plus de la moitié des répondants (53 %) indiquent avoir une très faible connaissance de l’Aire Protégée.</w:t>
      </w:r>
    </w:p>
    <w:tbl>
      <w:tblPr>
        <w:tblStyle w:val="Table"/>
        <w:tblW w:type="pct" w:w="5000"/>
        <w:tblLayout w:type="fixed"/>
        <w:tblLook w:firstRow="0" w:lastRow="0" w:firstColumn="0" w:lastColumn="0" w:noHBand="0" w:noVBand="0" w:val="0000"/>
      </w:tblPr>
      <w:tblGrid>
        <w:gridCol w:w="7920"/>
      </w:tblGrid>
      <w:tr>
        <w:tc>
          <w:tcPr/>
          <w:bookmarkStart w:id="786" w:name="tbl-frequentation"/>
          <w:p>
            <w:pPr>
              <w:jc w:val="center"/>
            </w:pPr>
            <w:pPr>
              <w:jc w:val="left"/>
              <w:spacing w:before="200"/>
              <w:pStyle w:val="ImageCaption"/>
            </w:pPr>
            <w:r>
              <w:t xml:space="preserve">Table 7.3: Fréquentation et connaissance de l’Aire protégée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Se rend dans l'Aire protégée</w:t>
                  </w:r>
                </w:p>
              </w:tc>
              <w:tc>
                <w:tcPr/>
                <w:p>
                  <w:pPr>
                    <w:pStyle w:val="Compact"/>
                    <w:jc w:val="right"/>
                    <w:jc w:val="center"/>
                  </w:pPr>
                  <w:r>
                    <w:t xml:space="preserve">44 %</w:t>
                  </w:r>
                </w:p>
              </w:tc>
              <w:tc>
                <w:tcPr/>
                <w:p>
                  <w:pPr>
                    <w:pStyle w:val="Compact"/>
                    <w:jc w:val="right"/>
                    <w:jc w:val="center"/>
                  </w:pPr>
                  <w:r>
                    <w:t xml:space="preserve">27 %</w:t>
                  </w:r>
                </w:p>
              </w:tc>
            </w:tr>
            <w:tr>
              <w:tc>
                <w:tcPr/>
                <w:p>
                  <w:pPr>
                    <w:pStyle w:val="Compact"/>
                    <w:jc w:val="left"/>
                    <w:jc w:val="center"/>
                  </w:pPr>
                  <w:r>
                    <w:t xml:space="preserve">Considère vital / nécessaire d'y aller</w:t>
                  </w:r>
                </w:p>
              </w:tc>
              <w:tc>
                <w:tcPr/>
                <w:p>
                  <w:pPr>
                    <w:pStyle w:val="Compact"/>
                    <w:jc w:val="right"/>
                    <w:jc w:val="center"/>
                  </w:pPr>
                  <w:r>
                    <w:t xml:space="preserve">31 %</w:t>
                  </w:r>
                </w:p>
              </w:tc>
              <w:tc>
                <w:tcPr/>
                <w:p>
                  <w:pPr>
                    <w:pStyle w:val="Compact"/>
                    <w:jc w:val="right"/>
                    <w:jc w:val="center"/>
                  </w:pPr>
                  <w:r>
                    <w:t xml:space="preserve">21 %</w:t>
                  </w:r>
                </w:p>
              </w:tc>
            </w:tr>
            <w:tr>
              <w:tc>
                <w:tcPr/>
                <w:p>
                  <w:pPr>
                    <w:pStyle w:val="Compact"/>
                    <w:jc w:val="left"/>
                    <w:jc w:val="center"/>
                  </w:pPr>
                  <w:r>
                    <w:t xml:space="preserve">Connaissance du lieu (parmi usagers)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Plus ou moins</w:t>
                  </w:r>
                </w:p>
              </w:tc>
              <w:tc>
                <w:tcPr/>
                <w:p>
                  <w:pPr>
                    <w:pStyle w:val="Compact"/>
                    <w:jc w:val="right"/>
                    <w:jc w:val="center"/>
                  </w:pPr>
                  <w:r>
                    <w:t xml:space="preserve">45 %</w:t>
                  </w:r>
                </w:p>
              </w:tc>
              <w:tc>
                <w:tcPr/>
                <w:p>
                  <w:pPr>
                    <w:pStyle w:val="Compact"/>
                    <w:jc w:val="right"/>
                    <w:jc w:val="center"/>
                  </w:pPr>
                  <w:r>
                    <w:t xml:space="preserve">33 %</w:t>
                  </w:r>
                </w:p>
              </w:tc>
            </w:tr>
            <w:tr>
              <w:tc>
                <w:tcPr/>
                <w:p>
                  <w:pPr>
                    <w:pStyle w:val="Compact"/>
                    <w:jc w:val="left"/>
                    <w:jc w:val="center"/>
                  </w:pPr>
                  <w:r>
                    <w:t xml:space="preserve">- Très bien</w:t>
                  </w:r>
                </w:p>
              </w:tc>
              <w:tc>
                <w:tcPr/>
                <w:p>
                  <w:pPr>
                    <w:pStyle w:val="Compact"/>
                    <w:jc w:val="right"/>
                    <w:jc w:val="center"/>
                  </w:pPr>
                  <w:r>
                    <w:t xml:space="preserve">11 %</w:t>
                  </w:r>
                </w:p>
              </w:tc>
              <w:tc>
                <w:tcPr/>
                <w:p>
                  <w:pPr>
                    <w:pStyle w:val="Compact"/>
                    <w:jc w:val="right"/>
                    <w:jc w:val="center"/>
                  </w:pPr>
                  <w:r>
                    <w:t xml:space="preserve">14 %</w:t>
                  </w:r>
                </w:p>
              </w:tc>
            </w:tr>
            <w:tr>
              <w:tc>
                <w:tcPr/>
                <w:p>
                  <w:pPr>
                    <w:pStyle w:val="Compact"/>
                    <w:jc w:val="left"/>
                    <w:jc w:val="center"/>
                  </w:pPr>
                  <w:r>
                    <w:t xml:space="preserve">- Très peu</w:t>
                  </w:r>
                </w:p>
              </w:tc>
              <w:tc>
                <w:tcPr/>
                <w:p>
                  <w:pPr>
                    <w:pStyle w:val="Compact"/>
                    <w:jc w:val="right"/>
                    <w:jc w:val="center"/>
                  </w:pPr>
                  <w:r>
                    <w:t xml:space="preserve">44 %</w:t>
                  </w:r>
                </w:p>
              </w:tc>
              <w:tc>
                <w:tcPr/>
                <w:p>
                  <w:pPr>
                    <w:pStyle w:val="Compact"/>
                    <w:jc w:val="right"/>
                    <w:jc w:val="center"/>
                  </w:pPr>
                  <w:r>
                    <w:t xml:space="preserve">53 %</w:t>
                  </w:r>
                </w:p>
              </w:tc>
            </w:tr>
            <w:tr>
              <w:tc>
                <w:tcPr>
                  <w:gridSpan w:val="3"/>
                </w:tcPr>
                <w:p>
                  <w:pPr>
                    <w:pStyle w:val="Compact"/>
                    <w:jc w:val="left"/>
                    <w:jc w:val="center"/>
                  </w:pPr>
                  <w:r>
                    <w:rPr>
                      <w:b/>
                      <w:bCs/>
                    </w:rPr>
                    <w:t xml:space="preserve">Source : Enquête auprès des OR 2025</w:t>
                  </w:r>
                </w:p>
              </w:tc>
            </w:tr>
          </w:tbl>
          <w:bookmarkEnd w:id="786"/>
          <w:p/>
        </w:tc>
      </w:tr>
    </w:tbl>
    <w:bookmarkEnd w:id="787"/>
    <w:bookmarkStart w:id="792" w:name="raisons-de-non-fréquentation"/>
    <w:p>
      <w:pPr>
        <w:pStyle w:val="Titre3"/>
      </w:pPr>
      <w:r>
        <w:t xml:space="preserve">7.2.5 Raisons de non-fréquentation</w:t>
      </w:r>
    </w:p>
    <w:p>
      <w:pPr>
        <w:pStyle w:val="FirstParagraph"/>
      </w:pPr>
      <w:r>
        <w:t xml:space="preserve">Pour les ménages qui ne se rendent pas dans l’AP, les raisons invoquées sont les suivantes.</w:t>
      </w:r>
    </w:p>
    <w:p>
      <w:pPr>
        <w:pStyle w:val="Corpsdetexte"/>
      </w:pPr>
      <w:r>
        <w:t xml:space="preserve">A Alaotra, l’absence d’intérêt constitue également une raison importante, avec 39 % des ménages déclarant ne rien y trouver d’intéressant. L’interdiction légale est mentionnée par 10 % des répondants comme facteur limitant l’accès à l’Aire Protégée. Les raisons liées au danger et aux interdits coutumiers (fady) restent marginales, chacune étant citée par 4 % des ménages.</w:t>
      </w:r>
    </w:p>
    <w:p>
      <w:pPr>
        <w:pStyle w:val="Corpsdetexte"/>
      </w:pPr>
      <w:r>
        <w:t xml:space="preserve">A Marovoay, l’absence d’intérêt est citée par 35 % des répondants, traduisant une faible attractivité de l’espace pour une partie des ménages. L’interdiction par la loi est évoquée par 16 % des ménages. Ce qui montre que les règles de protection constituent un facteur de limitation plus visible pour certains usagers. Les raisons liées au danger (3 %) et aux interdits coutumiers ou fady (1 %) demeurent très peu mentionnées.</w:t>
      </w:r>
    </w:p>
    <w:tbl>
      <w:tblPr>
        <w:tblStyle w:val="Table"/>
        <w:tblW w:type="pct" w:w="5000"/>
        <w:tblLayout w:type="fixed"/>
        <w:tblLook w:firstRow="0" w:lastRow="0" w:firstColumn="0" w:lastColumn="0" w:noHBand="0" w:noVBand="0" w:val="0000"/>
      </w:tblPr>
      <w:tblGrid>
        <w:gridCol w:w="7920"/>
      </w:tblGrid>
      <w:tr>
        <w:tc>
          <w:tcPr/>
          <w:bookmarkStart w:id="791"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r>
              <w:drawing>
                <wp:inline>
                  <wp:extent cx="5969000" cy="1492250"/>
                  <wp:effectExtent b="0" l="0" r="0" t="0"/>
                  <wp:docPr descr="" title="" id="789" name="Picture"/>
                  <a:graphic>
                    <a:graphicData uri="http://schemas.openxmlformats.org/drawingml/2006/picture">
                      <pic:pic>
                        <pic:nvPicPr>
                          <pic:cNvPr descr="07_rapport_environnement_files/figure-docx/fig-non-freq-1.png" id="790" name="Picture"/>
                          <pic:cNvPicPr>
                            <a:picLocks noChangeArrowheads="1" noChangeAspect="1"/>
                          </pic:cNvPicPr>
                        </pic:nvPicPr>
                        <pic:blipFill>
                          <a:blip r:embed="rId788"/>
                          <a:stretch>
                            <a:fillRect/>
                          </a:stretch>
                        </pic:blipFill>
                        <pic:spPr bwMode="auto">
                          <a:xfrm>
                            <a:off x="0" y="0"/>
                            <a:ext cx="5969000" cy="1492250"/>
                          </a:xfrm>
                          <a:prstGeom prst="rect">
                            <a:avLst/>
                          </a:prstGeom>
                          <a:noFill/>
                          <a:ln w="9525">
                            <a:noFill/>
                            <a:headEnd/>
                            <a:tailEnd/>
                          </a:ln>
                        </pic:spPr>
                      </pic:pic>
                    </a:graphicData>
                  </a:graphic>
                </wp:inline>
              </w:drawing>
            </w:r>
          </w:p>
          <w:bookmarkEnd w:id="791"/>
        </w:tc>
      </w:tr>
    </w:tbl>
    <w:bookmarkEnd w:id="792"/>
    <w:bookmarkStart w:id="801" w:name="usages-de-laire-protégée"/>
    <w:p>
      <w:pPr>
        <w:pStyle w:val="Titre3"/>
      </w:pPr>
      <w:r>
        <w:t xml:space="preserve">7.2.6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p>
      <w:pPr>
        <w:pStyle w:val="Corpsdetexte"/>
      </w:pPr>
      <w:r>
        <w:t xml:space="preserve">A Alaotra, les activités de promenade et de loisir ainsi que la chasse ou la pêche représentent chacune 16 % des usages déclarés. Les activités liées à l’exploitation directe des ressources naturelles restent relativement limitées : 6 % des usagers fréquentent l’Aire Protégée pour cultiver, 3 % pour faire paître les animaux et 1 % pour couper du bois. La cueillette de plantes comestibles et médicinales est très faiblement mentionnée, avec respectivement 2 % des réponses. Les usages culturels et artisanaux demeurent également marginaux, avec 1 % des ménages citant les rituels ou cérémonies funéraires et 1 % les produits destinés à l’artisanat.</w:t>
      </w:r>
    </w:p>
    <w:p>
      <w:pPr>
        <w:pStyle w:val="Corpsdetexte"/>
      </w:pPr>
      <w:r>
        <w:t xml:space="preserve">A Marovoay, la principale raison de fréquentation de l’Aire Protégée est liée à la promenade et au loisir, mentionnée par 67 % des usagers. La cueillette de plantes comestibles concerne 14 % des usagers. La coupe de bois est citée par 8 % des répondants. Les autres usages restent très peu fréquents : 2 % des ménages déclarent accompagner des touristes ou des chercheurs et 2 % évoquent les rituels ou cérémonies funéraires. Les activités agricoles, le pâturage, les produits artisanaux et le passage des zébus ne concernent chacun qu’environ 1 % des usagers.</w:t>
      </w:r>
    </w:p>
    <w:tbl>
      <w:tblPr>
        <w:tblStyle w:val="Table"/>
        <w:tblW w:type="pct" w:w="5000"/>
        <w:tblLayout w:type="fixed"/>
        <w:tblLook w:firstRow="0" w:lastRow="0" w:firstColumn="0" w:lastColumn="0" w:noHBand="0" w:noVBand="0" w:val="0000"/>
      </w:tblPr>
      <w:tblGrid>
        <w:gridCol w:w="7920"/>
      </w:tblGrid>
      <w:tr>
        <w:tc>
          <w:tcPr/>
          <w:bookmarkStart w:id="796" w:name="fig-usages-ap"/>
          <w:p>
            <w:pPr>
              <w:jc w:val="center"/>
            </w:pPr>
            <w:pPr>
              <w:jc w:val="left"/>
              <w:spacing w:before="200"/>
              <w:pStyle w:val="ImageCaption"/>
            </w:pPr>
            <w:r>
              <w:t xml:space="preserve">Figure 7.9: Raisons de se rendre dans l’Aire protégée (% de Oui parmi les usagers)</w:t>
            </w:r>
          </w:p>
          <w:p>
            <w:pPr>
              <w:pStyle w:val="Compact"/>
              <w:jc w:val="center"/>
            </w:pPr>
            <w:r>
              <w:drawing>
                <wp:inline>
                  <wp:extent cx="5969000" cy="1865312"/>
                  <wp:effectExtent b="0" l="0" r="0" t="0"/>
                  <wp:docPr descr="" title="" id="794" name="Picture"/>
                  <a:graphic>
                    <a:graphicData uri="http://schemas.openxmlformats.org/drawingml/2006/picture">
                      <pic:pic>
                        <pic:nvPicPr>
                          <pic:cNvPr descr="07_rapport_environnement_files/figure-docx/fig-usages-ap-1.png" id="795" name="Picture"/>
                          <pic:cNvPicPr>
                            <a:picLocks noChangeArrowheads="1" noChangeAspect="1"/>
                          </pic:cNvPicPr>
                        </pic:nvPicPr>
                        <pic:blipFill>
                          <a:blip r:embed="rId793"/>
                          <a:stretch>
                            <a:fillRect/>
                          </a:stretch>
                        </pic:blipFill>
                        <pic:spPr bwMode="auto">
                          <a:xfrm>
                            <a:off x="0" y="0"/>
                            <a:ext cx="5969000" cy="1865312"/>
                          </a:xfrm>
                          <a:prstGeom prst="rect">
                            <a:avLst/>
                          </a:prstGeom>
                          <a:noFill/>
                          <a:ln w="9525">
                            <a:noFill/>
                            <a:headEnd/>
                            <a:tailEnd/>
                          </a:ln>
                        </pic:spPr>
                      </pic:pic>
                    </a:graphicData>
                  </a:graphic>
                </wp:inline>
              </w:drawing>
            </w:r>
          </w:p>
          <w:bookmarkEnd w:id="796"/>
        </w:tc>
      </w:tr>
    </w:tbl>
    <w:p>
      <w:pPr>
        <w:pStyle w:val="Corpsdetexte"/>
      </w:pPr>
      <w:r>
        <w:t xml:space="preserve">A Alaotra, les déplacements les plus fréquents dans l’Aire Protégée concernent principalement les activités agricoles et de subsistance. Les activités de culture enregistrent la proportion la plus élevée d’usagers s’y rendant plusieurs fois par semaine (29 %), suivies de la chasse ou de la pêche (22 %). La cueillette de plantes médicinales et le pâturage présentent également des fréquentations régulières, avec respectivement 25 % et 14 % des usagers déclarant fréquenter l’aire plusieurs fois par semaine. Les déplacements effectués une fois par semaine concernent surtout la cueillette de plantes médicinales (25 %), puis la culture et le pâturage (14 % chacun), ainsi que la chasse ou la pêche (8 %). Les usages réalisés quelques fois par mois restent relativement limités et concernent principalement la culture (14 %). En revanche, la majorité des autres activités sont pratiquées de manière occasionnelle, quelques fois par an. C’est notamment le cas de la promenade et du loisir (88 %), des rituels ou cérémonies funéraires, de la coupe du bois, de la cueillette de plantes comestibles, des activités artisanales, de l’accompagnement de touristes ou chercheurs et du passage des zébus, qui sont exclusivement ou presque réalisés de manière ponctuelle.</w:t>
      </w:r>
    </w:p>
    <w:p>
      <w:pPr>
        <w:pStyle w:val="Corpsdetexte"/>
      </w:pPr>
      <w:r>
        <w:t xml:space="preserve">A Marovoay, l’activité présentant la fréquence la plus élevée est le pâturage, puisque l’ensemble des usagers concernés déclarent se rendre dans l’Aire Protégée plusieurs fois par semaine. La cueillette de plantes comestibles constitue également une activité relativement régulière, avec 15 % des usagers s’y rendant plusieurs fois par semaine et 10 % une fois par semaine. Aucune autre activité ne présente de fréquentation hebdomadaire importante. Les déplacements effectués quelques fois par mois concernent principalement les activités agricoles, pratiquées à cette fréquence par tous les usagers concernés, ainsi que la cueillette de plantes comestibles (20 %) et, dans une moindre mesure, la coupe du bois (18 %). Les autres usages sont essentiellement occasionnels et réalisés quelques fois par an. Cela concerne particulièrement la promenade et le loisir (98 %), mais aussi les rituels ou cérémonies funéraires, l’accompagnement de touristes ou chercheurs, les produits artisanaux et le passage des zébus, qui sont exclusivement pratiqués à une fréquence annuelle.</w:t>
      </w:r>
    </w:p>
    <w:tbl>
      <w:tblPr>
        <w:tblStyle w:val="Table"/>
        <w:tblW w:type="pct" w:w="5000"/>
        <w:tblLayout w:type="fixed"/>
        <w:tblLook w:firstRow="0" w:lastRow="0" w:firstColumn="0" w:lastColumn="0" w:noHBand="0" w:noVBand="0" w:val="0000"/>
      </w:tblPr>
      <w:tblGrid>
        <w:gridCol w:w="7920"/>
      </w:tblGrid>
      <w:tr>
        <w:tc>
          <w:tcPr/>
          <w:bookmarkStart w:id="800" w:name="fig-freq-usages"/>
          <w:p>
            <w:pPr>
              <w:jc w:val="center"/>
            </w:pPr>
            <w:pPr>
              <w:jc w:val="left"/>
              <w:spacing w:before="200"/>
              <w:pStyle w:val="ImageCaption"/>
            </w:pPr>
            <w:r>
              <w:t xml:space="preserve">Figure 7.10: Fréquence des déplacements dans l’AP selon l’usage, par observatoire</w:t>
            </w:r>
          </w:p>
          <w:p>
            <w:pPr>
              <w:pStyle w:val="Compact"/>
              <w:jc w:val="center"/>
            </w:pPr>
            <w:r>
              <w:drawing>
                <wp:inline>
                  <wp:extent cx="5969000" cy="2611437"/>
                  <wp:effectExtent b="0" l="0" r="0" t="0"/>
                  <wp:docPr descr="" title="" id="798" name="Picture"/>
                  <a:graphic>
                    <a:graphicData uri="http://schemas.openxmlformats.org/drawingml/2006/picture">
                      <pic:pic>
                        <pic:nvPicPr>
                          <pic:cNvPr descr="07_rapport_environnement_files/figure-docx/fig-freq-usages-1.png" id="799" name="Picture"/>
                          <pic:cNvPicPr>
                            <a:picLocks noChangeArrowheads="1" noChangeAspect="1"/>
                          </pic:cNvPicPr>
                        </pic:nvPicPr>
                        <pic:blipFill>
                          <a:blip r:embed="rId797"/>
                          <a:stretch>
                            <a:fillRect/>
                          </a:stretch>
                        </pic:blipFill>
                        <pic:spPr bwMode="auto">
                          <a:xfrm>
                            <a:off x="0" y="0"/>
                            <a:ext cx="5969000" cy="2611437"/>
                          </a:xfrm>
                          <a:prstGeom prst="rect">
                            <a:avLst/>
                          </a:prstGeom>
                          <a:noFill/>
                          <a:ln w="9525">
                            <a:noFill/>
                            <a:headEnd/>
                            <a:tailEnd/>
                          </a:ln>
                        </pic:spPr>
                      </pic:pic>
                    </a:graphicData>
                  </a:graphic>
                </wp:inline>
              </w:drawing>
            </w:r>
          </w:p>
          <w:bookmarkEnd w:id="800"/>
        </w:tc>
      </w:tr>
    </w:tbl>
    <w:bookmarkEnd w:id="801"/>
    <w:bookmarkStart w:id="806" w:name="saisonnalité-de-la-fréquentation-de-lap"/>
    <w:p>
      <w:pPr>
        <w:pStyle w:val="Titre3"/>
      </w:pPr>
      <w:r>
        <w:t xml:space="preserve">7.2.7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p>
      <w:pPr>
        <w:pStyle w:val="Corpsdetexte"/>
      </w:pPr>
      <w:r>
        <w:t xml:space="preserve">A Alaotra, les usages de l’Aire Protégée présentent des variations selon les périodes climatiques. Pendant la période humide (octobre à avril), les activités de culture restent relativement limitées, avec des niveaux d’activité modérés en début d’année, oscillant autour de 21.6 % entre février et avril, avant une baisse progressive jusqu’en avril. Cette phase précède les récoltes du riz pluvial (avril-mai) et du riz irrigué (mai-juin) documentées dans le calendrier de la zone Moyen-Est. Les activités de promenade et de loisir demeurent également faibles et relativement stables durant cette période, bien qu’un pic de 33.3 % soit observé en avril. Les activités de chasse ou de pêche se maintiennent à des niveaux modérés, variant de 11.1 % à 14.3 %, tandis que les autres usages connaissent peu de variations. Durant la période sèche (mai à septembre), les activités de culture augmentent progressivement pour atteindre leurs niveaux les plus élevés entre août et septembre avec 43.1 % de mentions. Cette intensification coïncide avec la phase de préparation des sols pour le cycle suivant identifiée dans la zone Moyen-Est en août et septembre. Les activités de chasse ou de pêche connaissent également une hausse marquée au cours de cette période, atteignant un sommet de 50.0 % en septembre et octobre. Les promenades et loisirs restent relativement réguliers malgré quelques fluctuations entre 11.1 % et 25.9 %. Les autres usages demeurent globalement modérés tout au long de l’année. Ces résultats montrent une intensification des usages productifs de l’Aire Protégée pendant la saison sèche.</w:t>
      </w:r>
    </w:p>
    <w:p>
      <w:pPr>
        <w:pStyle w:val="Corpsdetexte"/>
      </w:pPr>
      <w:r>
        <w:t xml:space="preserve">A Marovoay, les usages de l’Aire Protégée varient fortement selon les saisons. Pendant la période humide (octobre à avril), les activités de culture présentent des pics très importants notamment au mois d’avril où la proportion d’usagers actifs atteint son niveau maximal de 100.0 %. Ce résultat concorde avec la période de récolte des campagnes Asara (riz de 2ème saison) et Atriatry (riz intermédiaire) documentées entre avril et juin dans la zone du Nord-Ouest. Les promenades et loisirs enregistrent également une forte augmentation à cette période avec 57.1 % en avril avant de diminuer rapidement les mois suivants. Les autres usages restent relativement faibles pendant cette saison, bien que certaines hausses ponctuelles soient observées. Durant la période sèche (mai à septembre), les activités de culture diminuent fortement, avec une absence totale de mentions entre mai et août, avant de connaître un nouveau pic très marqué au mois de septembre atteignant 100.0 %. Ce pic de septembre, qui se prolonge en octobre, correspond au déclenchement de la récolte de la campagne Jeby dans le Nord-Ouest, située entre mi-septembre et novembre. Les activités de cueillette de plantes comestibles augmentent progressivement au cours de la saison sèche et atteignent leurs niveaux les plus élevés entre octobre et novembre, grimpant jusqu’à 65.2 %. Les activités de chasse ou de pêche restent globalement faibles et relativement stables tout au long de l’année, variant entre 4.3 % et 19.1 %. Ces résultats mettent en évidence une forte saisonnalité des usages de l’Aire Protégée, avec des pics d’activités concentrés autour des transitions entre saisons.</w:t>
      </w:r>
    </w:p>
    <w:tbl>
      <w:tblPr>
        <w:tblStyle w:val="Table"/>
        <w:tblW w:type="pct" w:w="5000"/>
        <w:tblLayout w:type="fixed"/>
        <w:tblLook w:firstRow="0" w:lastRow="0" w:firstColumn="0" w:lastColumn="0" w:noHBand="0" w:noVBand="0" w:val="0000"/>
      </w:tblPr>
      <w:tblGrid>
        <w:gridCol w:w="7920"/>
      </w:tblGrid>
      <w:tr>
        <w:tc>
          <w:tcPr/>
          <w:bookmarkStart w:id="805"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r>
              <w:drawing>
                <wp:inline>
                  <wp:extent cx="5969000" cy="1865312"/>
                  <wp:effectExtent b="0" l="0" r="0" t="0"/>
                  <wp:docPr descr="" title="" id="803" name="Picture"/>
                  <a:graphic>
                    <a:graphicData uri="http://schemas.openxmlformats.org/drawingml/2006/picture">
                      <pic:pic>
                        <pic:nvPicPr>
                          <pic:cNvPr descr="07_rapport_environnement_files/figure-docx/fig-saison-ap-1.png" id="804" name="Picture"/>
                          <pic:cNvPicPr>
                            <a:picLocks noChangeArrowheads="1" noChangeAspect="1"/>
                          </pic:cNvPicPr>
                        </pic:nvPicPr>
                        <pic:blipFill>
                          <a:blip r:embed="rId802"/>
                          <a:stretch>
                            <a:fillRect/>
                          </a:stretch>
                        </pic:blipFill>
                        <pic:spPr bwMode="auto">
                          <a:xfrm>
                            <a:off x="0" y="0"/>
                            <a:ext cx="5969000" cy="1865312"/>
                          </a:xfrm>
                          <a:prstGeom prst="rect">
                            <a:avLst/>
                          </a:prstGeom>
                          <a:noFill/>
                          <a:ln w="9525">
                            <a:noFill/>
                            <a:headEnd/>
                            <a:tailEnd/>
                          </a:ln>
                        </pic:spPr>
                      </pic:pic>
                    </a:graphicData>
                  </a:graphic>
                </wp:inline>
              </w:drawing>
            </w:r>
          </w:p>
          <w:bookmarkEnd w:id="805"/>
        </w:tc>
      </w:tr>
    </w:tbl>
    <w:bookmarkEnd w:id="806"/>
    <w:bookmarkEnd w:id="807"/>
    <w:bookmarkStart w:id="836" w:name="sec-feu"/>
    <w:p>
      <w:pPr>
        <w:pStyle w:val="Titre2"/>
      </w:pPr>
      <w:r>
        <w:t xml:space="preserve">7.3 Feux de brousse</w:t>
      </w:r>
    </w:p>
    <w:p>
      <w:pPr>
        <w:pStyle w:val="FirstParagraph"/>
      </w:pPr>
      <w:r>
        <w:t xml:space="preserve">L’analyse des perceptions et des pratiques relatives aux feux de brousse permet de caractériser le rapport des ménages à cette activité en explorant les motivations invoquées, la saisonnalité des brûlis ainsi que les avis sur l’évolution et la réglementation de cette pratique.</w:t>
      </w:r>
    </w:p>
    <w:bookmarkStart w:id="812"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p>
      <w:pPr>
        <w:pStyle w:val="Corpsdetexte"/>
      </w:pPr>
      <w:r>
        <w:t xml:space="preserve">A Alaotra, la principale raison perçue de faire des feux est liée au nettoyage des espaces, mentionnée par 52 % des ménages. L’augmentation des surfaces cultivées constitue également une motivation importante, citée par 24 % des répondants. Les usages liés à l’élevage restent présents, avec 15 % des ménages associant les feux à l’augmentation des surfaces de pâturage. Le marquage du territoire est évoqué par 8 % des répondants. Les autres raisons demeurent marginales, notamment la vengeance (4 %), les pratiques traditionnelles ou rituelles (2 %), la chasse (2 %) et la protection (1 %). Les formes de mécontentement envers les autorités locales ou nationales sont très faiblement mentionnées. Ces résultats montrent que les feux sont principalement perçus comme des pratiques liées à la gestion et à l’exploitation des espaces ruraux.</w:t>
      </w:r>
    </w:p>
    <w:p>
      <w:pPr>
        <w:pStyle w:val="Corpsdetexte"/>
      </w:pPr>
      <w:r>
        <w:t xml:space="preserve">A Marovoay, le nettoyage des espaces apparaît très largement comme la principale raison perçue de faire des feux, cité par 81 % des ménages. L’augmentation des surfaces cultivées est également mentionnée par 34 % des répondants, tandis que 23 % associent les feux au marquage du territoire. L’augmentation des surfaces de pâturage concerne 18 % des réponses. Les autres motivations restent peu fréquentes, notamment les pratiques traditionnelles ou rituelles (5 %), la vengeance (3 %) et la chasse (2 %). Les raisons liées à la protection ainsi qu’au mécontentement envers les autorités locales ou nationales sont marginales, chacune représentant environ 1 % des réponses. Ces résultats indiquent que les feux sont avant tout associés aux pratiques d’aménagement et de contrôle des espaces.</w:t>
      </w:r>
    </w:p>
    <w:tbl>
      <w:tblPr>
        <w:tblStyle w:val="Table"/>
        <w:tblW w:type="pct" w:w="5000"/>
        <w:tblLayout w:type="fixed"/>
        <w:tblLook w:firstRow="0" w:lastRow="0" w:firstColumn="0" w:lastColumn="0" w:noHBand="0" w:noVBand="0" w:val="0000"/>
      </w:tblPr>
      <w:tblGrid>
        <w:gridCol w:w="7920"/>
      </w:tblGrid>
      <w:tr>
        <w:tc>
          <w:tcPr/>
          <w:bookmarkStart w:id="811" w:name="fig-raisons-feux"/>
          <w:p>
            <w:pPr>
              <w:jc w:val="center"/>
            </w:pPr>
            <w:pPr>
              <w:jc w:val="left"/>
              <w:spacing w:before="200"/>
              <w:pStyle w:val="ImageCaption"/>
            </w:pPr>
            <w:r>
              <w:t xml:space="preserve">Figure 7.12: Raisons perçues de faire des feux (% de Oui)</w:t>
            </w:r>
          </w:p>
          <w:p>
            <w:pPr>
              <w:pStyle w:val="Compact"/>
              <w:jc w:val="center"/>
            </w:pPr>
            <w:r>
              <w:drawing>
                <wp:inline>
                  <wp:extent cx="5969000" cy="2238375"/>
                  <wp:effectExtent b="0" l="0" r="0" t="0"/>
                  <wp:docPr descr="" title="" id="809" name="Picture"/>
                  <a:graphic>
                    <a:graphicData uri="http://schemas.openxmlformats.org/drawingml/2006/picture">
                      <pic:pic>
                        <pic:nvPicPr>
                          <pic:cNvPr descr="07_rapport_environnement_files/figure-docx/fig-raisons-feux-1.png" id="810" name="Picture"/>
                          <pic:cNvPicPr>
                            <a:picLocks noChangeArrowheads="1" noChangeAspect="1"/>
                          </pic:cNvPicPr>
                        </pic:nvPicPr>
                        <pic:blipFill>
                          <a:blip r:embed="rId808"/>
                          <a:stretch>
                            <a:fillRect/>
                          </a:stretch>
                        </pic:blipFill>
                        <pic:spPr bwMode="auto">
                          <a:xfrm>
                            <a:off x="0" y="0"/>
                            <a:ext cx="5969000" cy="2238375"/>
                          </a:xfrm>
                          <a:prstGeom prst="rect">
                            <a:avLst/>
                          </a:prstGeom>
                          <a:noFill/>
                          <a:ln w="9525">
                            <a:noFill/>
                            <a:headEnd/>
                            <a:tailEnd/>
                          </a:ln>
                        </pic:spPr>
                      </pic:pic>
                    </a:graphicData>
                  </a:graphic>
                </wp:inline>
              </w:drawing>
            </w:r>
          </w:p>
          <w:bookmarkEnd w:id="811"/>
        </w:tc>
      </w:tr>
    </w:tbl>
    <w:bookmarkEnd w:id="812"/>
    <w:bookmarkStart w:id="817"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p>
      <w:pPr>
        <w:pStyle w:val="Corpsdetexte"/>
      </w:pPr>
      <w:r>
        <w:t xml:space="preserve">A Alaotra, 67 % des ménages considèrent que faire des feux constitue une pratique normale, mais seuls 8 % estiment qu’elle est vitale ou nécessaire. Par ailleurs, 11 % des répondants déclarent avoir déjà pratiqué des feux et 10 % indiquent que des feux ont eu lieu au cours des douze derniers mois. Lorsque des feux sont signalés, ils se produisent majoritairement loin des villages et hors de l’Aire Protégée (80 %), tandis que 20 % sont localisés près des villages. Une large majorité des ménages concernés (82 %) affirme chercher à maîtriser les feux, bien que 33 % déclarent qu’un feu leur a déjà échappé.</w:t>
      </w:r>
    </w:p>
    <w:p>
      <w:pPr>
        <w:pStyle w:val="Corpsdetexte"/>
      </w:pPr>
      <w:r>
        <w:t xml:space="preserve">A Marovoay, 77 % des ménages considèrent que faire des feux est une pratique normale et 62 % estiment même qu’elle est vitale ou nécessaire. Plus de la moitié des répondants (54 %) déclarent avoir déjà pratiqué des feux, tandis que 72 % signalent la présence de feux au cours des douze derniers mois. Les feux sont localisés aussi bien loin des villages et hors de l’Aire Protégée (52 %) qu’à proximité des villages (48 %). La majorité des ménages concernés (81 %) déclare chercher à maîtriser les feux. Toutefois, seuls 5 % indiquent qu’un feu leur a déjà échappé.</w:t>
      </w:r>
    </w:p>
    <w:tbl>
      <w:tblPr>
        <w:tblStyle w:val="Table"/>
        <w:tblW w:type="pct" w:w="5000"/>
        <w:tblLayout w:type="fixed"/>
        <w:tblLook w:firstRow="0" w:lastRow="0" w:firstColumn="0" w:lastColumn="0" w:noHBand="0" w:noVBand="0" w:val="0000"/>
      </w:tblPr>
      <w:tblGrid>
        <w:gridCol w:w="7920"/>
      </w:tblGrid>
      <w:tr>
        <w:tc>
          <w:tcPr/>
          <w:bookmarkStart w:id="813" w:name="tbl-feux"/>
          <w:p>
            <w:pPr>
              <w:jc w:val="center"/>
            </w:pPr>
            <w:pPr>
              <w:jc w:val="left"/>
              <w:spacing w:before="200"/>
              <w:pStyle w:val="ImageCaption"/>
            </w:pPr>
            <w:r>
              <w:t xml:space="preserve">Table 7.4: Pratique et perception des feux par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Faire des feux est une pratique normale</w:t>
                  </w:r>
                </w:p>
              </w:tc>
              <w:tc>
                <w:tcPr/>
                <w:p>
                  <w:pPr>
                    <w:pStyle w:val="Compact"/>
                    <w:jc w:val="right"/>
                    <w:jc w:val="center"/>
                  </w:pPr>
                  <w:r>
                    <w:t xml:space="preserve">67 %</w:t>
                  </w:r>
                </w:p>
              </w:tc>
              <w:tc>
                <w:tcPr/>
                <w:p>
                  <w:pPr>
                    <w:pStyle w:val="Compact"/>
                    <w:jc w:val="right"/>
                    <w:jc w:val="center"/>
                  </w:pPr>
                  <w:r>
                    <w:t xml:space="preserve">77 %</w:t>
                  </w:r>
                </w:p>
              </w:tc>
            </w:tr>
            <w:tr>
              <w:tc>
                <w:tcPr/>
                <w:p>
                  <w:pPr>
                    <w:pStyle w:val="Compact"/>
                    <w:jc w:val="left"/>
                    <w:jc w:val="center"/>
                  </w:pPr>
                  <w:r>
                    <w:t xml:space="preserve">Faire des feux est vital / nécessaire</w:t>
                  </w:r>
                </w:p>
              </w:tc>
              <w:tc>
                <w:tcPr/>
                <w:p>
                  <w:pPr>
                    <w:pStyle w:val="Compact"/>
                    <w:jc w:val="right"/>
                    <w:jc w:val="center"/>
                  </w:pPr>
                  <w:r>
                    <w:t xml:space="preserve">8 %</w:t>
                  </w:r>
                </w:p>
              </w:tc>
              <w:tc>
                <w:tcPr/>
                <w:p>
                  <w:pPr>
                    <w:pStyle w:val="Compact"/>
                    <w:jc w:val="right"/>
                    <w:jc w:val="center"/>
                  </w:pPr>
                  <w:r>
                    <w:t xml:space="preserve">62 %</w:t>
                  </w:r>
                </w:p>
              </w:tc>
            </w:tr>
            <w:tr>
              <w:tc>
                <w:tcPr/>
                <w:p>
                  <w:pPr>
                    <w:pStyle w:val="Compact"/>
                    <w:jc w:val="left"/>
                    <w:jc w:val="center"/>
                  </w:pPr>
                  <w:r>
                    <w:t xml:space="preserve">A déjà fait des feux</w:t>
                  </w:r>
                </w:p>
              </w:tc>
              <w:tc>
                <w:tcPr/>
                <w:p>
                  <w:pPr>
                    <w:pStyle w:val="Compact"/>
                    <w:jc w:val="right"/>
                    <w:jc w:val="center"/>
                  </w:pPr>
                  <w:r>
                    <w:t xml:space="preserve">11 %</w:t>
                  </w:r>
                </w:p>
              </w:tc>
              <w:tc>
                <w:tcPr/>
                <w:p>
                  <w:pPr>
                    <w:pStyle w:val="Compact"/>
                    <w:jc w:val="right"/>
                    <w:jc w:val="center"/>
                  </w:pPr>
                  <w:r>
                    <w:t xml:space="preserve">54 %</w:t>
                  </w:r>
                </w:p>
              </w:tc>
            </w:tr>
            <w:tr>
              <w:tc>
                <w:tcPr/>
                <w:p>
                  <w:pPr>
                    <w:pStyle w:val="Compact"/>
                    <w:jc w:val="left"/>
                    <w:jc w:val="center"/>
                  </w:pPr>
                  <w:r>
                    <w:t xml:space="preserve">Feux au cours des 12 derniers mois</w:t>
                  </w:r>
                </w:p>
              </w:tc>
              <w:tc>
                <w:tcPr/>
                <w:p>
                  <w:pPr>
                    <w:pStyle w:val="Compact"/>
                    <w:jc w:val="right"/>
                    <w:jc w:val="center"/>
                  </w:pPr>
                  <w:r>
                    <w:t xml:space="preserve">10 %</w:t>
                  </w:r>
                </w:p>
              </w:tc>
              <w:tc>
                <w:tcPr/>
                <w:p>
                  <w:pPr>
                    <w:pStyle w:val="Compact"/>
                    <w:jc w:val="right"/>
                    <w:jc w:val="center"/>
                  </w:pPr>
                  <w:r>
                    <w:t xml:space="preserve">72 %</w:t>
                  </w:r>
                </w:p>
              </w:tc>
            </w:tr>
            <w:tr>
              <w:tc>
                <w:tcPr/>
                <w:p>
                  <w:pPr>
                    <w:pStyle w:val="Compact"/>
                    <w:jc w:val="left"/>
                    <w:jc w:val="center"/>
                  </w:pPr>
                  <w:r>
                    <w:t xml:space="preserve">Si feux dans l'année, localisation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Loin (hors AP)</w:t>
                  </w:r>
                </w:p>
              </w:tc>
              <w:tc>
                <w:tcPr/>
                <w:p>
                  <w:pPr>
                    <w:pStyle w:val="Compact"/>
                    <w:jc w:val="right"/>
                    <w:jc w:val="center"/>
                  </w:pPr>
                  <w:r>
                    <w:t xml:space="preserve">80 %</w:t>
                  </w:r>
                </w:p>
              </w:tc>
              <w:tc>
                <w:tcPr/>
                <w:p>
                  <w:pPr>
                    <w:pStyle w:val="Compact"/>
                    <w:jc w:val="right"/>
                    <w:jc w:val="center"/>
                  </w:pPr>
                  <w:r>
                    <w:t xml:space="preserve">52 %</w:t>
                  </w:r>
                </w:p>
              </w:tc>
            </w:tr>
            <w:tr>
              <w:tc>
                <w:tcPr/>
                <w:p>
                  <w:pPr>
                    <w:pStyle w:val="Compact"/>
                    <w:jc w:val="left"/>
                    <w:jc w:val="center"/>
                  </w:pPr>
                  <w:r>
                    <w:t xml:space="preserve">- Près du village</w:t>
                  </w:r>
                </w:p>
              </w:tc>
              <w:tc>
                <w:tcPr/>
                <w:p>
                  <w:pPr>
                    <w:pStyle w:val="Compact"/>
                    <w:jc w:val="right"/>
                    <w:jc w:val="center"/>
                  </w:pPr>
                  <w:r>
                    <w:t xml:space="preserve">20 %</w:t>
                  </w:r>
                </w:p>
              </w:tc>
              <w:tc>
                <w:tcPr/>
                <w:p>
                  <w:pPr>
                    <w:pStyle w:val="Compact"/>
                    <w:jc w:val="right"/>
                    <w:jc w:val="center"/>
                  </w:pPr>
                  <w:r>
                    <w:t xml:space="preserve">48 %</w:t>
                  </w:r>
                </w:p>
              </w:tc>
            </w:tr>
            <w:tr>
              <w:tc>
                <w:tcPr/>
                <w:p>
                  <w:pPr>
                    <w:pStyle w:val="Compact"/>
                    <w:jc w:val="left"/>
                    <w:jc w:val="center"/>
                  </w:pPr>
                  <w:r>
                    <w:t xml:space="preserve">Cherche à maîtriser le feu</w:t>
                  </w:r>
                </w:p>
              </w:tc>
              <w:tc>
                <w:tcPr/>
                <w:p>
                  <w:pPr>
                    <w:pStyle w:val="Compact"/>
                    <w:jc w:val="right"/>
                    <w:jc w:val="center"/>
                  </w:pPr>
                  <w:r>
                    <w:t xml:space="preserve">82 %</w:t>
                  </w:r>
                </w:p>
              </w:tc>
              <w:tc>
                <w:tcPr/>
                <w:p>
                  <w:pPr>
                    <w:pStyle w:val="Compact"/>
                    <w:jc w:val="right"/>
                    <w:jc w:val="center"/>
                  </w:pPr>
                  <w:r>
                    <w:t xml:space="preserve">81 %</w:t>
                  </w:r>
                </w:p>
              </w:tc>
            </w:tr>
            <w:tr>
              <w:tc>
                <w:tcPr/>
                <w:p>
                  <w:pPr>
                    <w:pStyle w:val="Compact"/>
                    <w:jc w:val="left"/>
                    <w:jc w:val="center"/>
                  </w:pPr>
                  <w:r>
                    <w:t xml:space="preserve">Un feu lui a déjà échappé</w:t>
                  </w:r>
                </w:p>
              </w:tc>
              <w:tc>
                <w:tcPr/>
                <w:p>
                  <w:pPr>
                    <w:pStyle w:val="Compact"/>
                    <w:jc w:val="right"/>
                    <w:jc w:val="center"/>
                  </w:pPr>
                  <w:r>
                    <w:t xml:space="preserve">33 %</w:t>
                  </w:r>
                </w:p>
              </w:tc>
              <w:tc>
                <w:tcPr/>
                <w:p>
                  <w:pPr>
                    <w:pStyle w:val="Compact"/>
                    <w:jc w:val="right"/>
                    <w:jc w:val="center"/>
                  </w:pPr>
                  <w:r>
                    <w:t xml:space="preserve">5 %</w:t>
                  </w:r>
                </w:p>
              </w:tc>
            </w:tr>
            <w:tr>
              <w:tc>
                <w:tcPr>
                  <w:gridSpan w:val="3"/>
                </w:tcPr>
                <w:p>
                  <w:pPr>
                    <w:pStyle w:val="Compact"/>
                    <w:jc w:val="left"/>
                    <w:jc w:val="center"/>
                  </w:pPr>
                  <w:r>
                    <w:rPr>
                      <w:b/>
                      <w:bCs/>
                    </w:rPr>
                    <w:t xml:space="preserve">Source : Enquête auprès des OR 2025</w:t>
                  </w:r>
                </w:p>
              </w:tc>
            </w:tr>
          </w:tbl>
          <w:bookmarkEnd w:id="813"/>
          <w:p/>
        </w:tc>
      </w:tr>
    </w:tbl>
    <w:p>
      <w:pPr>
        <w:pStyle w:val="CaptionedFigure"/>
      </w:pPr>
      <w:r>
        <w:drawing>
          <wp:inline>
            <wp:extent cx="4620126" cy="3696101"/>
            <wp:effectExtent b="0" l="0" r="0" t="0"/>
            <wp:docPr descr="Pratique et perception des feux (% de Oui)" title="" id="815" name="Picture"/>
            <a:graphic>
              <a:graphicData uri="http://schemas.openxmlformats.org/drawingml/2006/picture">
                <pic:pic>
                  <pic:nvPicPr>
                    <pic:cNvPr descr="07_rapport_environnement_files/figure-docx/fig_feux-1.png" id="816" name="Picture"/>
                    <pic:cNvPicPr>
                      <a:picLocks noChangeArrowheads="1" noChangeAspect="1"/>
                    </pic:cNvPicPr>
                  </pic:nvPicPr>
                  <pic:blipFill>
                    <a:blip r:embed="rId81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Pratique et perception des feux (% de Oui)</w:t>
      </w:r>
    </w:p>
    <w:bookmarkEnd w:id="817"/>
    <w:bookmarkStart w:id="822"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p>
      <w:pPr>
        <w:pStyle w:val="Corpsdetexte"/>
      </w:pPr>
      <w:r>
        <w:t xml:space="preserve">A Alaotra, l’analyse de la saisonnalité des feux de brousse montre une activité très faible durant la majeure partie de l’année, restant sous la barre des 10.0 % entre janvier et août. Une intensification brutale est observée à partir du mois de septembre avec 19.0 % de ménages actifs, pour atteindre son sommet annuel en octobre avec 34.5 %, suivi d’un maintien élevé en novembre à 27.7 %. L’activité chute ensuite rapidement dès le mois de décembre pour s’établir à 5.1 %.</w:t>
      </w:r>
      <w:r>
        <w:t xml:space="preserve"> </w:t>
      </w:r>
      <w:r>
        <w:t xml:space="preserve">Ce pic d’activité concentré entre septembre et novembre se situe précisément à la transition entre la période sèche (mai à septembre) et le début de la période humide (octobre à avril). Cette période de brûlis coïncide avec les phases de préparation des sols pour la riziculture pluviale et irriguée documentées dans la zone Moyen-Est durant les mois d’octobre et novembre. L’usage du feu apparaît ici comme un outil technique de nettoyage et de préparation des parcelles juste avant le retour massif des précipitations nécessaires à la mise en culture.</w:t>
      </w:r>
    </w:p>
    <w:p>
      <w:pPr>
        <w:pStyle w:val="Corpsdetexte"/>
      </w:pPr>
      <w:r>
        <w:t xml:space="preserve">À Marovoay, la pratique des feux suit une dynamique saisonnière encore plus marquée, avec une quasi-inactivité entre janvier et août. La fréquence des feux progresse nettement en septembre avec 21.2 % d’usagers actifs, avant de culminer à un niveau exceptionnel en octobre avec 51.1 %. L’activité demeure importante en novembre avec 38.8 % de mentions, puis décline en décembre pour atteindre 15.5 %. Le sommet observé en octobre intervient au cœur de la transition vers la période humide allant d’octobre à avril. Ce calendrier est en corrélation directe avec les cycles culturaux de la zone Nord-Ouest, correspondant à la fois à la période de récolte de la campagne rizicole Jeby située entre mi-septembre et novembre, et au déclenchement des travaux de préparation des sols pour le riz pluvial et la campagne Asara. L’intensification des feux à cette période souligne leur rôle central dans la gestion des résidus de récolte et la préparation des terres avant les nouveaux semis de saison humide.</w:t>
      </w:r>
    </w:p>
    <w:tbl>
      <w:tblPr>
        <w:tblStyle w:val="Table"/>
        <w:tblW w:type="pct" w:w="5000"/>
        <w:tblLayout w:type="fixed"/>
        <w:tblLook w:firstRow="0" w:lastRow="0" w:firstColumn="0" w:lastColumn="0" w:noHBand="0" w:noVBand="0" w:val="0000"/>
      </w:tblPr>
      <w:tblGrid>
        <w:gridCol w:w="7920"/>
      </w:tblGrid>
      <w:tr>
        <w:tc>
          <w:tcPr/>
          <w:bookmarkStart w:id="821"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r>
              <w:drawing>
                <wp:inline>
                  <wp:extent cx="5969000" cy="1865312"/>
                  <wp:effectExtent b="0" l="0" r="0" t="0"/>
                  <wp:docPr descr="" title="" id="819" name="Picture"/>
                  <a:graphic>
                    <a:graphicData uri="http://schemas.openxmlformats.org/drawingml/2006/picture">
                      <pic:pic>
                        <pic:nvPicPr>
                          <pic:cNvPr descr="07_rapport_environnement_files/figure-docx/fig-saison-feux-1.png" id="820" name="Picture"/>
                          <pic:cNvPicPr>
                            <a:picLocks noChangeArrowheads="1" noChangeAspect="1"/>
                          </pic:cNvPicPr>
                        </pic:nvPicPr>
                        <pic:blipFill>
                          <a:blip r:embed="rId818"/>
                          <a:stretch>
                            <a:fillRect/>
                          </a:stretch>
                        </pic:blipFill>
                        <pic:spPr bwMode="auto">
                          <a:xfrm>
                            <a:off x="0" y="0"/>
                            <a:ext cx="5969000" cy="1865312"/>
                          </a:xfrm>
                          <a:prstGeom prst="rect">
                            <a:avLst/>
                          </a:prstGeom>
                          <a:noFill/>
                          <a:ln w="9525">
                            <a:noFill/>
                            <a:headEnd/>
                            <a:tailEnd/>
                          </a:ln>
                        </pic:spPr>
                      </pic:pic>
                    </a:graphicData>
                  </a:graphic>
                </wp:inline>
              </w:drawing>
            </w:r>
          </w:p>
          <w:bookmarkEnd w:id="821"/>
        </w:tc>
      </w:tr>
    </w:tbl>
    <w:bookmarkEnd w:id="822"/>
    <w:bookmarkStart w:id="835"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p>
      <w:pPr>
        <w:pStyle w:val="Corpsdetexte"/>
      </w:pPr>
      <w:r>
        <w:t xml:space="preserve">A Alaotra, les feux de brousse restent relativement limités pendant une grande partie de l’année, avec des proportions de ménages actifs variant généralement entre 2 % et 7 % durant la période humide (octobre à avril). À partir du mois de juillet, correspondant à la saison sèche, l’activité commence à augmenter progressivement, passant de 7 % en juillet à 8 % en août, puis à 20 % en septembre. Le niveau maximal est atteint en octobre avec 35 % des ménages ayant pratiqué des feux de brousse. L’activité diminue ensuite à 28 % en novembre avant de retomber à 5 % en décembre. Ces résultats montrent que les pratiques de feux de brousse se concentrent principalement à la fin de la saison sèche et au début de la période humide.</w:t>
      </w:r>
    </w:p>
    <w:p>
      <w:pPr>
        <w:pStyle w:val="Corpsdetexte"/>
      </w:pPr>
      <w:r>
        <w:t xml:space="preserve">A Marovoay, les proportions de ménages pratiquant les feux de brousse restent faibles entre janvier et août, oscillant globalement entre 3 % et 8 %. Une forte augmentation est observée à partir de septembre, où la proportion atteint 22 %, puis un pic très marqué est enregistré en octobre avec 51 % des ménages actifs. Bien que l’activité diminue ensuite, les niveaux demeurent élevés avec 39 % en novembre et 16 % en décembre. Ces résultats mettent en évidence une forte intensification des feux de brousse à la fin de la saison sèche, suivie d’une baisse progressive au début de la période humide.</w:t>
      </w:r>
    </w:p>
    <w:tbl>
      <w:tblPr>
        <w:tblStyle w:val="Table"/>
        <w:tblW w:type="pct" w:w="5000"/>
        <w:tblLayout w:type="fixed"/>
        <w:tblLook w:firstRow="0" w:lastRow="0" w:firstColumn="0" w:lastColumn="0" w:noHBand="0" w:noVBand="0" w:val="0000"/>
      </w:tblPr>
      <w:tblGrid>
        <w:gridCol w:w="7920"/>
      </w:tblGrid>
      <w:tr>
        <w:tc>
          <w:tcPr/>
          <w:bookmarkStart w:id="826" w:name="fig-evol-feux"/>
          <w:p>
            <w:pPr>
              <w:jc w:val="center"/>
            </w:pPr>
            <w:pPr>
              <w:jc w:val="left"/>
              <w:spacing w:before="200"/>
              <w:pStyle w:val="ImageCaption"/>
            </w:pPr>
            <w:r>
              <w:t xml:space="preserve">Figure 7.14: Évolution perçue des feux depuis 3 ans, par observatoire</w:t>
            </w:r>
          </w:p>
          <w:p>
            <w:pPr>
              <w:pStyle w:val="Compact"/>
              <w:jc w:val="center"/>
            </w:pPr>
            <w:r>
              <w:drawing>
                <wp:inline>
                  <wp:extent cx="5969000" cy="1865312"/>
                  <wp:effectExtent b="0" l="0" r="0" t="0"/>
                  <wp:docPr descr="" title="" id="824" name="Picture"/>
                  <a:graphic>
                    <a:graphicData uri="http://schemas.openxmlformats.org/drawingml/2006/picture">
                      <pic:pic>
                        <pic:nvPicPr>
                          <pic:cNvPr descr="07_rapport_environnement_files/figure-docx/fig-evol-feux-1.png" id="825" name="Picture"/>
                          <pic:cNvPicPr>
                            <a:picLocks noChangeArrowheads="1" noChangeAspect="1"/>
                          </pic:cNvPicPr>
                        </pic:nvPicPr>
                        <pic:blipFill>
                          <a:blip r:embed="rId823"/>
                          <a:stretch>
                            <a:fillRect/>
                          </a:stretch>
                        </pic:blipFill>
                        <pic:spPr bwMode="auto">
                          <a:xfrm>
                            <a:off x="0" y="0"/>
                            <a:ext cx="5969000" cy="1865312"/>
                          </a:xfrm>
                          <a:prstGeom prst="rect">
                            <a:avLst/>
                          </a:prstGeom>
                          <a:noFill/>
                          <a:ln w="9525">
                            <a:noFill/>
                            <a:headEnd/>
                            <a:tailEnd/>
                          </a:ln>
                        </pic:spPr>
                      </pic:pic>
                    </a:graphicData>
                  </a:graphic>
                </wp:inline>
              </w:drawing>
            </w:r>
          </w:p>
          <w:bookmarkEnd w:id="826"/>
        </w:tc>
      </w:tr>
    </w:tbl>
    <w:p>
      <w:pPr>
        <w:pStyle w:val="Corpsdetexte"/>
      </w:pPr>
      <w:r>
        <w:t xml:space="preserve">A Alaotra, les feux sont très largement perçus comme un problème dans la région. En effet, 73.6 % des ménages considèrent qu’ils représentent un problème très important, tandis que 22.7 % les jugent importants. En revanche, seuls 3.4 % estiment que les feux sont peu importants et à peine 0.4 % considèrent qu’ils ne constituent pas du tout un problème. Ces résultats montrent une forte prise de conscience des impacts négatifs des feux au sein des ménages de l’observatoire.</w:t>
      </w:r>
    </w:p>
    <w:p>
      <w:pPr>
        <w:pStyle w:val="Corpsdetexte"/>
      </w:pPr>
      <w:r>
        <w:t xml:space="preserve">A Marovoay, les feux sont également perçus comme un problème majeur par une grande partie des ménages. Ainsi, 61.1 % des répondants les considèrent comme très importants et 23.3 % comme importants. Toutefois, une proportion plus élevée de ménages estime que les feux sont peu importants (13.7 %) et 1.9 % considèrent qu’ils ne représentent aucun problème. Ces résultats traduisent une perception globalement négative des feux dans la région, bien que cette perception soit légèrement moins marquée chez certains ménages.</w:t>
      </w:r>
    </w:p>
    <w:tbl>
      <w:tblPr>
        <w:tblStyle w:val="Table"/>
        <w:tblW w:type="pct" w:w="5000"/>
        <w:tblLayout w:type="fixed"/>
        <w:tblLook w:firstRow="0" w:lastRow="0" w:firstColumn="0" w:lastColumn="0" w:noHBand="0" w:noVBand="0" w:val="0000"/>
      </w:tblPr>
      <w:tblGrid>
        <w:gridCol w:w="7920"/>
      </w:tblGrid>
      <w:tr>
        <w:tc>
          <w:tcPr/>
          <w:bookmarkStart w:id="830" w:name="fig-probleme-feux"/>
          <w:p>
            <w:pPr>
              <w:jc w:val="center"/>
            </w:pPr>
            <w:pPr>
              <w:jc w:val="left"/>
              <w:spacing w:before="200"/>
              <w:pStyle w:val="ImageCaption"/>
            </w:pPr>
            <w:r>
              <w:t xml:space="preserve">Figure 7.15: Les feux sont-ils un problème dans la région ? (par observatoire)</w:t>
            </w:r>
          </w:p>
          <w:p>
            <w:pPr>
              <w:pStyle w:val="Compact"/>
              <w:jc w:val="center"/>
            </w:pPr>
            <w:r>
              <w:drawing>
                <wp:inline>
                  <wp:extent cx="5969000" cy="1865312"/>
                  <wp:effectExtent b="0" l="0" r="0" t="0"/>
                  <wp:docPr descr="" title="" id="828" name="Picture"/>
                  <a:graphic>
                    <a:graphicData uri="http://schemas.openxmlformats.org/drawingml/2006/picture">
                      <pic:pic>
                        <pic:nvPicPr>
                          <pic:cNvPr descr="07_rapport_environnement_files/figure-docx/fig-probleme-feux-1.png" id="829" name="Picture"/>
                          <pic:cNvPicPr>
                            <a:picLocks noChangeArrowheads="1" noChangeAspect="1"/>
                          </pic:cNvPicPr>
                        </pic:nvPicPr>
                        <pic:blipFill>
                          <a:blip r:embed="rId827"/>
                          <a:stretch>
                            <a:fillRect/>
                          </a:stretch>
                        </pic:blipFill>
                        <pic:spPr bwMode="auto">
                          <a:xfrm>
                            <a:off x="0" y="0"/>
                            <a:ext cx="5969000" cy="1865312"/>
                          </a:xfrm>
                          <a:prstGeom prst="rect">
                            <a:avLst/>
                          </a:prstGeom>
                          <a:noFill/>
                          <a:ln w="9525">
                            <a:noFill/>
                            <a:headEnd/>
                            <a:tailEnd/>
                          </a:ln>
                        </pic:spPr>
                      </pic:pic>
                    </a:graphicData>
                  </a:graphic>
                </wp:inline>
              </w:drawing>
            </w:r>
          </w:p>
          <w:bookmarkEnd w:id="830"/>
        </w:tc>
      </w:tr>
    </w:tbl>
    <w:p>
      <w:pPr>
        <w:pStyle w:val="Corpsdetexte"/>
      </w:pPr>
      <w:r>
        <w:t xml:space="preserve">A Alaotra, une très large majorité des ménages estime que la pratique du feu devrait être interdite, avec 85.2 % des réponses. Par ailleurs, 14.6 % considèrent que cette pratique devrait être limitée, tandis qu’une proportion très faible de ménages (0.2 %) pense qu’elle devrait rester libre.</w:t>
      </w:r>
    </w:p>
    <w:p>
      <w:pPr>
        <w:pStyle w:val="Corpsdetexte"/>
      </w:pPr>
      <w:r>
        <w:t xml:space="preserve">A Marovoay, la majorité des ménages considère également que la pratique du feu devrait être interdite, position partagée par 79.2 % des répondants. En outre, 20.6 % estiment qu’elle devrait être limitée et seulement 0.2 % pensent qu’elle devrait rester libre.</w:t>
      </w:r>
    </w:p>
    <w:p>
      <w:pPr>
        <w:pStyle w:val="Corpsdetexte"/>
      </w:pPr>
      <w:r>
        <w:t xml:space="preserve">Ces résultats traduisent une forte adhésion à des mesures strictes de contrôle des feux favorable à l’encadrement strict de l’usage du feu par les ménages de l’observatoire.</w:t>
      </w:r>
    </w:p>
    <w:tbl>
      <w:tblPr>
        <w:tblStyle w:val="Table"/>
        <w:tblW w:type="pct" w:w="5000"/>
        <w:tblLayout w:type="fixed"/>
        <w:tblLook w:firstRow="0" w:lastRow="0" w:firstColumn="0" w:lastColumn="0" w:noHBand="0" w:noVBand="0" w:val="0000"/>
      </w:tblPr>
      <w:tblGrid>
        <w:gridCol w:w="7920"/>
      </w:tblGrid>
      <w:tr>
        <w:tc>
          <w:tcPr/>
          <w:bookmarkStart w:id="834" w:name="fig-reglementation-feux"/>
          <w:p>
            <w:pPr>
              <w:jc w:val="center"/>
            </w:pPr>
            <w:pPr>
              <w:jc w:val="left"/>
              <w:spacing w:before="200"/>
              <w:pStyle w:val="ImageCaption"/>
            </w:pPr>
            <w:r>
              <w:t xml:space="preserve">Figure 7.16: La pratique du feu devrait être… (par observatoire)</w:t>
            </w:r>
          </w:p>
          <w:p>
            <w:pPr>
              <w:pStyle w:val="Compact"/>
              <w:jc w:val="center"/>
            </w:pPr>
            <w:r>
              <w:drawing>
                <wp:inline>
                  <wp:extent cx="5969000" cy="1865312"/>
                  <wp:effectExtent b="0" l="0" r="0" t="0"/>
                  <wp:docPr descr="" title="" id="832" name="Picture"/>
                  <a:graphic>
                    <a:graphicData uri="http://schemas.openxmlformats.org/drawingml/2006/picture">
                      <pic:pic>
                        <pic:nvPicPr>
                          <pic:cNvPr descr="07_rapport_environnement_files/figure-docx/fig-reglementation-feux-1.png" id="833" name="Picture"/>
                          <pic:cNvPicPr>
                            <a:picLocks noChangeArrowheads="1" noChangeAspect="1"/>
                          </pic:cNvPicPr>
                        </pic:nvPicPr>
                        <pic:blipFill>
                          <a:blip r:embed="rId831"/>
                          <a:stretch>
                            <a:fillRect/>
                          </a:stretch>
                        </pic:blipFill>
                        <pic:spPr bwMode="auto">
                          <a:xfrm>
                            <a:off x="0" y="0"/>
                            <a:ext cx="5969000" cy="1865312"/>
                          </a:xfrm>
                          <a:prstGeom prst="rect">
                            <a:avLst/>
                          </a:prstGeom>
                          <a:noFill/>
                          <a:ln w="9525">
                            <a:noFill/>
                            <a:headEnd/>
                            <a:tailEnd/>
                          </a:ln>
                        </pic:spPr>
                      </pic:pic>
                    </a:graphicData>
                  </a:graphic>
                </wp:inline>
              </w:drawing>
            </w:r>
          </w:p>
          <w:bookmarkEnd w:id="834"/>
        </w:tc>
      </w:tr>
    </w:tbl>
    <w:bookmarkEnd w:id="835"/>
    <w:bookmarkEnd w:id="836"/>
    <w:bookmarkStart w:id="867" w:name="sec-protection"/>
    <w:p>
      <w:pPr>
        <w:pStyle w:val="Titre2"/>
      </w:pPr>
      <w:r>
        <w:t xml:space="preserve">7.4 Protection de l’Aire protégée</w:t>
      </w:r>
    </w:p>
    <w:p>
      <w:pPr>
        <w:pStyle w:val="FirstParagraph"/>
      </w:pPr>
      <w:r>
        <w:t xml:space="preserve">L’analyse de la protection de l’Aire protégée permet de caractériser le degré de connaissance et d’adhésion des ménages vis-à-vis de ces espaces, tout en explorant leurs préférences en matière de gouvernance, de mesures de conservation et de priorités entre développement et environnement.</w:t>
      </w:r>
    </w:p>
    <w:bookmarkStart w:id="841"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p>
      <w:pPr>
        <w:pStyle w:val="Corpsdetexte"/>
      </w:pPr>
      <w:r>
        <w:t xml:space="preserve">A Alaotra, la nécessité de protéger l’environnement ainsi que cette Aire Protégée en particulier fait l’objet d’une adhésion totale, avec 100 % des ménages partageant cette opinion. La reconnaissance de la perte de biodiversité à Madagascar et l’idée que les Aires Protégées produisent des résultats positifs sont également très largement partagées, chacune étant mentionnée par 98 % des répondants. Enfin, 80 % des ménages déclarent avoir déjà entendu parler de l’Aire Protégée.</w:t>
      </w:r>
    </w:p>
    <w:p>
      <w:pPr>
        <w:pStyle w:val="Corpsdetexte"/>
      </w:pPr>
      <w:r>
        <w:t xml:space="preserve">A Marovoay, la nécessité de protéger l’environnement ainsi que cette Aire Protégée spécifique est reconnue par 99 % des ménages. Les résultats positifs attribués aux Aires Protégées sont également largement reconnus, avec 98 % des réponses. La perte de biodiversité à Madagascar est perçue par 94 % des répondants. Enfin, 82 % des ménages déclarent avoir entendu parler de l’Aire Protégée.</w:t>
      </w:r>
    </w:p>
    <w:tbl>
      <w:tblPr>
        <w:tblStyle w:val="Table"/>
        <w:tblW w:type="pct" w:w="5000"/>
        <w:tblLayout w:type="fixed"/>
        <w:tblLook w:firstRow="0" w:lastRow="0" w:firstColumn="0" w:lastColumn="0" w:noHBand="0" w:noVBand="0" w:val="0000"/>
      </w:tblPr>
      <w:tblGrid>
        <w:gridCol w:w="7920"/>
      </w:tblGrid>
      <w:tr>
        <w:tc>
          <w:tcPr/>
          <w:bookmarkStart w:id="837" w:name="tbl-connaissance-ap"/>
          <w:p>
            <w:pPr>
              <w:jc w:val="center"/>
            </w:pPr>
            <w:pPr>
              <w:jc w:val="left"/>
              <w:spacing w:before="200"/>
              <w:pStyle w:val="ImageCaption"/>
            </w:pPr>
            <w:r>
              <w:t xml:space="preserve">Table 7.5: Connaissance de l’Aire protégée et demande de protection</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A entendu parler de l'AP</w:t>
                  </w:r>
                </w:p>
              </w:tc>
              <w:tc>
                <w:tcPr/>
                <w:p>
                  <w:pPr>
                    <w:pStyle w:val="Compact"/>
                    <w:jc w:val="right"/>
                    <w:jc w:val="center"/>
                  </w:pPr>
                  <w:r>
                    <w:t xml:space="preserve">80 %</w:t>
                  </w:r>
                </w:p>
              </w:tc>
              <w:tc>
                <w:tcPr/>
                <w:p>
                  <w:pPr>
                    <w:pStyle w:val="Compact"/>
                    <w:jc w:val="right"/>
                    <w:jc w:val="center"/>
                  </w:pPr>
                  <w:r>
                    <w:t xml:space="preserve">82 %</w:t>
                  </w:r>
                </w:p>
              </w:tc>
            </w:tr>
            <w:tr>
              <w:tc>
                <w:tcPr/>
                <w:p>
                  <w:pPr>
                    <w:pStyle w:val="Compact"/>
                    <w:jc w:val="left"/>
                    <w:jc w:val="center"/>
                  </w:pPr>
                  <w:r>
                    <w:t xml:space="preserve">Nécessaire de protéger l'environnement</w:t>
                  </w:r>
                </w:p>
              </w:tc>
              <w:tc>
                <w:tcPr/>
                <w:p>
                  <w:pPr>
                    <w:pStyle w:val="Compact"/>
                    <w:jc w:val="right"/>
                    <w:jc w:val="center"/>
                  </w:pPr>
                  <w:r>
                    <w:t xml:space="preserve">100 %</w:t>
                  </w:r>
                </w:p>
              </w:tc>
              <w:tc>
                <w:tcPr/>
                <w:p>
                  <w:pPr>
                    <w:pStyle w:val="Compact"/>
                    <w:jc w:val="right"/>
                    <w:jc w:val="center"/>
                  </w:pPr>
                  <w:r>
                    <w:t xml:space="preserve">99 %</w:t>
                  </w:r>
                </w:p>
              </w:tc>
            </w:tr>
            <w:tr>
              <w:tc>
                <w:tcPr/>
                <w:p>
                  <w:pPr>
                    <w:pStyle w:val="Compact"/>
                    <w:jc w:val="left"/>
                    <w:jc w:val="center"/>
                  </w:pPr>
                  <w:r>
                    <w:t xml:space="preserve">Nécessaire de protéger cette AP</w:t>
                  </w:r>
                </w:p>
              </w:tc>
              <w:tc>
                <w:tcPr/>
                <w:p>
                  <w:pPr>
                    <w:pStyle w:val="Compact"/>
                    <w:jc w:val="right"/>
                    <w:jc w:val="center"/>
                  </w:pPr>
                  <w:r>
                    <w:t xml:space="preserve">100 %</w:t>
                  </w:r>
                </w:p>
              </w:tc>
              <w:tc>
                <w:tcPr/>
                <w:p>
                  <w:pPr>
                    <w:pStyle w:val="Compact"/>
                    <w:jc w:val="right"/>
                    <w:jc w:val="center"/>
                  </w:pPr>
                  <w:r>
                    <w:t xml:space="preserve">99 %</w:t>
                  </w:r>
                </w:p>
              </w:tc>
            </w:tr>
            <w:tr>
              <w:tc>
                <w:tcPr/>
                <w:p>
                  <w:pPr>
                    <w:pStyle w:val="Compact"/>
                    <w:jc w:val="left"/>
                    <w:jc w:val="center"/>
                  </w:pPr>
                  <w:r>
                    <w:t xml:space="preserve">Perte de biodiversité à Madagascar</w:t>
                  </w:r>
                </w:p>
              </w:tc>
              <w:tc>
                <w:tcPr/>
                <w:p>
                  <w:pPr>
                    <w:pStyle w:val="Compact"/>
                    <w:jc w:val="right"/>
                    <w:jc w:val="center"/>
                  </w:pPr>
                  <w:r>
                    <w:t xml:space="preserve">98 %</w:t>
                  </w:r>
                </w:p>
              </w:tc>
              <w:tc>
                <w:tcPr/>
                <w:p>
                  <w:pPr>
                    <w:pStyle w:val="Compact"/>
                    <w:jc w:val="right"/>
                    <w:jc w:val="center"/>
                  </w:pPr>
                  <w:r>
                    <w:t xml:space="preserve">94 %</w:t>
                  </w:r>
                </w:p>
              </w:tc>
            </w:tr>
            <w:tr>
              <w:tc>
                <w:tcPr/>
                <w:p>
                  <w:pPr>
                    <w:pStyle w:val="Compact"/>
                    <w:jc w:val="left"/>
                    <w:jc w:val="center"/>
                  </w:pPr>
                  <w:r>
                    <w:t xml:space="preserve">Les AP ont des résultats positifs</w:t>
                  </w:r>
                </w:p>
              </w:tc>
              <w:tc>
                <w:tcPr/>
                <w:p>
                  <w:pPr>
                    <w:pStyle w:val="Compact"/>
                    <w:jc w:val="right"/>
                    <w:jc w:val="center"/>
                  </w:pPr>
                  <w:r>
                    <w:t xml:space="preserve">98 %</w:t>
                  </w:r>
                </w:p>
              </w:tc>
              <w:tc>
                <w:tcPr/>
                <w:p>
                  <w:pPr>
                    <w:pStyle w:val="Compact"/>
                    <w:jc w:val="right"/>
                    <w:jc w:val="center"/>
                  </w:pPr>
                  <w:r>
                    <w:t xml:space="preserve">98 %</w:t>
                  </w:r>
                </w:p>
              </w:tc>
            </w:tr>
            <w:tr>
              <w:tc>
                <w:tcPr>
                  <w:gridSpan w:val="3"/>
                </w:tcPr>
                <w:p>
                  <w:pPr>
                    <w:pStyle w:val="Compact"/>
                    <w:jc w:val="left"/>
                    <w:jc w:val="center"/>
                  </w:pPr>
                  <w:r>
                    <w:rPr>
                      <w:b/>
                      <w:bCs/>
                    </w:rPr>
                    <w:t xml:space="preserve">Source : Enquête auprès des OR 2025</w:t>
                  </w:r>
                </w:p>
              </w:tc>
            </w:tr>
          </w:tbl>
          <w:bookmarkEnd w:id="837"/>
          <w:p/>
        </w:tc>
      </w:tr>
    </w:tbl>
    <w:p>
      <w:pPr>
        <w:pStyle w:val="CaptionedFigure"/>
      </w:pPr>
      <w:r>
        <w:drawing>
          <wp:inline>
            <wp:extent cx="4620126" cy="3696101"/>
            <wp:effectExtent b="0" l="0" r="0" t="0"/>
            <wp:docPr descr="Connaissance de l’Aire protégée et demande de protection (% de Oui)" title="" id="839" name="Picture"/>
            <a:graphic>
              <a:graphicData uri="http://schemas.openxmlformats.org/drawingml/2006/picture">
                <pic:pic>
                  <pic:nvPicPr>
                    <pic:cNvPr descr="07_rapport_environnement_files/figure-docx/fig_connaissance_ap-1.png" id="840" name="Picture"/>
                    <pic:cNvPicPr>
                      <a:picLocks noChangeArrowheads="1" noChangeAspect="1"/>
                    </pic:cNvPicPr>
                  </pic:nvPicPr>
                  <pic:blipFill>
                    <a:blip r:embed="rId83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841"/>
    <w:bookmarkStart w:id="846"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p>
      <w:pPr>
        <w:pStyle w:val="Corpsdetexte"/>
      </w:pPr>
      <w:r>
        <w:t xml:space="preserve">A Alaotra, les actions de l’Aire Protégée sont perçues très positivement par les ménages, en particulier dans le domaine environnemental où 95 % des répondants jugent les effets très positifs et une faible proportion les considère plutôt positifs. Sur le plan économique, 71 % des ménages estiment que les actions de l’AP ont des effets très positifs et 26 % les jugent plutôt positifs. La dimension sociale est également appréciée favorablement, avec 55 % d’avis très positifs et 32 % d’avis plutôt positifs. Les perceptions négatives restent limitées. Les avis plutôt négatifs concernent principalement la dimension sociale (7 %), tandis que les opinions très négatives demeurent marginales dans l’ensemble des dimensions étudiées.</w:t>
      </w:r>
    </w:p>
    <w:p>
      <w:pPr>
        <w:pStyle w:val="Corpsdetexte"/>
      </w:pPr>
      <w:r>
        <w:t xml:space="preserve">A Marovoay, les perceptions positives dominent également dans les trois dimensions évaluées. Les effets environnementaux des actions de l’Aire Protégée sont considérés comme très positifs par 84 % des ménages et plutôt positifs par 14 %. Sur le plan économique, 76 % des répondants expriment une opinion très positive et 19 % une opinion plutôt positive. Les effets sociaux sont jugés très positifs par 65 % des ménages et plutôt positifs par 24 %. Les perceptions négatives restent faibles. Les avis plutôt négatifs concernent surtout la dimension sociale avec 8 % des réponses, tandis que les opinions très négatives sont quasi inexistantes dans les différentes dimensions.</w:t>
      </w:r>
    </w:p>
    <w:tbl>
      <w:tblPr>
        <w:tblStyle w:val="Table"/>
        <w:tblW w:type="pct" w:w="5000"/>
        <w:tblLayout w:type="fixed"/>
        <w:tblLook w:firstRow="0" w:lastRow="0" w:firstColumn="0" w:lastColumn="0" w:noHBand="0" w:noVBand="0" w:val="0000"/>
      </w:tblPr>
      <w:tblGrid>
        <w:gridCol w:w="7920"/>
      </w:tblGrid>
      <w:tr>
        <w:tc>
          <w:tcPr/>
          <w:bookmarkStart w:id="845"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r>
              <w:drawing>
                <wp:inline>
                  <wp:extent cx="5969000" cy="1705428"/>
                  <wp:effectExtent b="0" l="0" r="0" t="0"/>
                  <wp:docPr descr="" title="" id="843" name="Picture"/>
                  <a:graphic>
                    <a:graphicData uri="http://schemas.openxmlformats.org/drawingml/2006/picture">
                      <pic:pic>
                        <pic:nvPicPr>
                          <pic:cNvPr descr="07_rapport_environnement_files/figure-docx/fig-jugement-ap-1.png" id="844" name="Picture"/>
                          <pic:cNvPicPr>
                            <a:picLocks noChangeArrowheads="1" noChangeAspect="1"/>
                          </pic:cNvPicPr>
                        </pic:nvPicPr>
                        <pic:blipFill>
                          <a:blip r:embed="rId842"/>
                          <a:stretch>
                            <a:fillRect/>
                          </a:stretch>
                        </pic:blipFill>
                        <pic:spPr bwMode="auto">
                          <a:xfrm>
                            <a:off x="0" y="0"/>
                            <a:ext cx="5969000" cy="1705428"/>
                          </a:xfrm>
                          <a:prstGeom prst="rect">
                            <a:avLst/>
                          </a:prstGeom>
                          <a:noFill/>
                          <a:ln w="9525">
                            <a:noFill/>
                            <a:headEnd/>
                            <a:tailEnd/>
                          </a:ln>
                        </pic:spPr>
                      </pic:pic>
                    </a:graphicData>
                  </a:graphic>
                </wp:inline>
              </w:drawing>
            </w:r>
          </w:p>
          <w:bookmarkEnd w:id="845"/>
        </w:tc>
      </w:tr>
    </w:tbl>
    <w:bookmarkEnd w:id="846"/>
    <w:bookmarkStart w:id="851"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p>
      <w:pPr>
        <w:pStyle w:val="Corpsdetexte"/>
      </w:pPr>
      <w:r>
        <w:t xml:space="preserve">Il y a une forte demande de présence étatique pour réguler l’accès aux ressources.</w:t>
      </w:r>
    </w:p>
    <w:p>
      <w:pPr>
        <w:pStyle w:val="Corpsdetexte"/>
      </w:pPr>
      <w:r>
        <w:t xml:space="preserve">A Alaotra, la gestion de l’Aire Protégée devrait principalement relever de l’État (Fanjakana) selon 45.5 % des ménages favorables à la protection. Les communautés locales sont également largement citées, avec 34.8 % des réponses. Les autres formes de gestion sont beaucoup moins mentionnées, notamment le partenariat mixte (8.7 %) et les riverains tompontany (7.3 %). Les ONG malgaches (1.8 %), les ONG étrangères (1.2 %) et les COBA (0.6 %) sont très faiblement citées.</w:t>
      </w:r>
    </w:p>
    <w:p>
      <w:pPr>
        <w:pStyle w:val="Corpsdetexte"/>
      </w:pPr>
      <w:r>
        <w:t xml:space="preserve">A Marovoay, l’État (Fanjakana) est également l’acteur le plus fréquemment cité pour assurer la gestion de l’Aire Protégée, avec 56.9 % des réponses. Les communautés locales occupent la deuxième position avec 27.9 % des ménages. Les autres acteurs sont beaucoup moins mentionnés, notamment les ONG étrangères (6.6 %), les partenariats mixtes (3.4 %) et les riverains tompontany (3.4 %). Les COBA (1 %) et les ONG malgaches (0.8 %) restent marginalement citées.</w:t>
      </w:r>
    </w:p>
    <w:tbl>
      <w:tblPr>
        <w:tblStyle w:val="Table"/>
        <w:tblW w:type="pct" w:w="5000"/>
        <w:tblLayout w:type="fixed"/>
        <w:tblLook w:firstRow="0" w:lastRow="0" w:firstColumn="0" w:lastColumn="0" w:noHBand="0" w:noVBand="0" w:val="0000"/>
      </w:tblPr>
      <w:tblGrid>
        <w:gridCol w:w="7920"/>
      </w:tblGrid>
      <w:tr>
        <w:tc>
          <w:tcPr/>
          <w:bookmarkStart w:id="850" w:name="fig-gestionnaire"/>
          <w:p>
            <w:pPr>
              <w:jc w:val="center"/>
            </w:pPr>
            <w:pPr>
              <w:jc w:val="left"/>
              <w:spacing w:before="200"/>
              <w:pStyle w:val="ImageCaption"/>
            </w:pPr>
            <w:r>
              <w:t xml:space="preserve">Figure 7.18: Qui devrait gérer l’AP ? (parmi ceux favorables à la protection)</w:t>
            </w:r>
          </w:p>
          <w:p>
            <w:pPr>
              <w:pStyle w:val="Compact"/>
              <w:jc w:val="center"/>
            </w:pPr>
            <w:r>
              <w:drawing>
                <wp:inline>
                  <wp:extent cx="5969000" cy="1865312"/>
                  <wp:effectExtent b="0" l="0" r="0" t="0"/>
                  <wp:docPr descr="" title="" id="848" name="Picture"/>
                  <a:graphic>
                    <a:graphicData uri="http://schemas.openxmlformats.org/drawingml/2006/picture">
                      <pic:pic>
                        <pic:nvPicPr>
                          <pic:cNvPr descr="07_rapport_environnement_files/figure-docx/fig-gestionnaire-1.png" id="849" name="Picture"/>
                          <pic:cNvPicPr>
                            <a:picLocks noChangeArrowheads="1" noChangeAspect="1"/>
                          </pic:cNvPicPr>
                        </pic:nvPicPr>
                        <pic:blipFill>
                          <a:blip r:embed="rId847"/>
                          <a:stretch>
                            <a:fillRect/>
                          </a:stretch>
                        </pic:blipFill>
                        <pic:spPr bwMode="auto">
                          <a:xfrm>
                            <a:off x="0" y="0"/>
                            <a:ext cx="5969000" cy="1865312"/>
                          </a:xfrm>
                          <a:prstGeom prst="rect">
                            <a:avLst/>
                          </a:prstGeom>
                          <a:noFill/>
                          <a:ln w="9525">
                            <a:noFill/>
                            <a:headEnd/>
                            <a:tailEnd/>
                          </a:ln>
                        </pic:spPr>
                      </pic:pic>
                    </a:graphicData>
                  </a:graphic>
                </wp:inline>
              </w:drawing>
            </w:r>
          </w:p>
          <w:bookmarkEnd w:id="850"/>
        </w:tc>
      </w:tr>
    </w:tbl>
    <w:bookmarkEnd w:id="851"/>
    <w:bookmarkStart w:id="856"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p>
      <w:pPr>
        <w:pStyle w:val="Corpsdetexte"/>
      </w:pPr>
      <w:r>
        <w:t xml:space="preserve">A Alaotra, plus de la moitié des ménages favorables à la protection souhaitent avant tout interdire tous les feux, mesure citée par 91 % des répondants. Les savoirs et pratiques traditionnels sont également largement valorisés, avec 73 % des réponses. L’interdiction de l’accès des bêtes est mentionnée par 69 % des ménages, suivie par la restriction de l’accès des hommes (64 %). Le développement des AGR et l’interdiction des prélèvements sont chacun cités par 61 % des répondants.Les mesures soutenues par moins de la moitié des ménages concernent principalement la limitation des prélèvements liés à la chasse ou à la cueillette (49 %) ainsi que la limitation des feux (47 %). L’encouragement du tourisme et la restriction des recherches scientifiques sont chacun mentionnés par 45 % des ménages. La restriction de l’accès des bêtes pour le pâturage et la restriction du tourisme sont citées par 42 % des répondants, tandis que l’interdiction de l’accès des hommes est mentionnée par 36 % des ménages. Ces résultats montrent que les mesures les plus soutenues sont celles liées au contrôle des feux, des accès et des prélèvements.</w:t>
      </w:r>
    </w:p>
    <w:p>
      <w:pPr>
        <w:pStyle w:val="Corpsdetexte"/>
      </w:pPr>
      <w:r>
        <w:t xml:space="preserve">A Marovoay, plus de la moitié des ménages favorables à la protection souhaitent principalement interdire tous les feux, mesure mentionnée par 77 % des répondants. Les savoirs et pratiques traditionnels sont cités par 54 % des ménages, suivis de la restriction de l’accès des hommes (50 %). Les autres mesures sont soutenues par moins de la moitié des ménages. L’interdiction de l’accès des bêtes est mentionnée par 49 % des répondants et le développement des AGR par 46 %. La restriction des feux concerne 41 % des ménages, tandis que l’interdiction des prélèvements et la limitation des prélèvements liés à la chasse ou à la cueillette sont chacune citées par 40 % des répondants. L’encouragement du tourisme est mentionné par 38 % des ménages, la restriction de l’accès des bêtes pour le pâturage par 35 %, la restriction des recherches scientifiques par 34 % et la restriction du tourisme par 32 %. Enfin, l’interdiction de l’accès des hommes est citée par 43 % des répondants. Ces résultats montrent que les mesures privilégiées concernent principalement la gestion des feux et le contrôle des usages de l’Aire Protégée.</w:t>
      </w:r>
    </w:p>
    <w:tbl>
      <w:tblPr>
        <w:tblStyle w:val="Table"/>
        <w:tblW w:type="pct" w:w="5000"/>
        <w:tblLayout w:type="fixed"/>
        <w:tblLook w:firstRow="0" w:lastRow="0" w:firstColumn="0" w:lastColumn="0" w:noHBand="0" w:noVBand="0" w:val="0000"/>
      </w:tblPr>
      <w:tblGrid>
        <w:gridCol w:w="7920"/>
      </w:tblGrid>
      <w:tr>
        <w:tc>
          <w:tcPr/>
          <w:bookmarkStart w:id="855"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r>
              <w:drawing>
                <wp:inline>
                  <wp:extent cx="5969000" cy="2238375"/>
                  <wp:effectExtent b="0" l="0" r="0" t="0"/>
                  <wp:docPr descr="" title="" id="853" name="Picture"/>
                  <a:graphic>
                    <a:graphicData uri="http://schemas.openxmlformats.org/drawingml/2006/picture">
                      <pic:pic>
                        <pic:nvPicPr>
                          <pic:cNvPr descr="07_rapport_environnement_files/figure-docx/fig-mesures-protection-1.png" id="854" name="Picture"/>
                          <pic:cNvPicPr>
                            <a:picLocks noChangeArrowheads="1" noChangeAspect="1"/>
                          </pic:cNvPicPr>
                        </pic:nvPicPr>
                        <pic:blipFill>
                          <a:blip r:embed="rId852"/>
                          <a:stretch>
                            <a:fillRect/>
                          </a:stretch>
                        </pic:blipFill>
                        <pic:spPr bwMode="auto">
                          <a:xfrm>
                            <a:off x="0" y="0"/>
                            <a:ext cx="5969000" cy="2238375"/>
                          </a:xfrm>
                          <a:prstGeom prst="rect">
                            <a:avLst/>
                          </a:prstGeom>
                          <a:noFill/>
                          <a:ln w="9525">
                            <a:noFill/>
                            <a:headEnd/>
                            <a:tailEnd/>
                          </a:ln>
                        </pic:spPr>
                      </pic:pic>
                    </a:graphicData>
                  </a:graphic>
                </wp:inline>
              </w:drawing>
            </w:r>
          </w:p>
          <w:bookmarkEnd w:id="855"/>
        </w:tc>
      </w:tr>
    </w:tbl>
    <w:bookmarkEnd w:id="856"/>
    <w:bookmarkStart w:id="861"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p>
      <w:pPr>
        <w:pStyle w:val="Corpsdetexte"/>
      </w:pPr>
      <w:r>
        <w:t xml:space="preserve">A Alaotra, la priorité la plus fréquemment citée par les ménages concerne la lutte simultanée contre la pauvreté et la protection de l’environnement, mentionnée par 41.1 % des répondants. L’option privilégiant uniquement la lutte contre la pauvreté arrive en deuxième position avec 22.3 % des réponses. La priorité accordée à l’environnement est citée par 17.8 % des ménages, tandis que 9.7 % privilégient la pauvreté et le développement. La protection exclusive de l’environnement est mentionnée par 8.9 % des répondants. Enfin, une proportion très marginale des ménages (0.2 %) déclare ne privilégier ni l’un ni l’autre. Ces résultats montrent que les ménages accordent principalement de l’importance à une approche combinant protection environnementale et amélioration des conditions de vie.</w:t>
      </w:r>
    </w:p>
    <w:p>
      <w:pPr>
        <w:pStyle w:val="Corpsdetexte"/>
      </w:pPr>
      <w:r>
        <w:t xml:space="preserve">A Marovoay, la priorité accordée à l’environnement constitue l’option la plus fréquemment mentionnée, avec 36.8 % des ménages concernés. La combinaison entre lutte contre la pauvreté et protection de l’environnement arrive en deuxième position avec 26 % des réponses, suivie de l’option privilégiant uniquement la pauvreté (24.1 %). La priorité donnée à la pauvreté et au développement est citée par 11.8 % des ménages. En revanche, la protection exclusive de l’environnement est très faiblement mentionnée, avec seulement 1.3 % des réponses. Ces résultats traduisent une forte importance accordée aux enjeux environnementaux, tout en maintenant une attention portée aux questions de pauvreté et de développement.</w:t>
      </w:r>
    </w:p>
    <w:tbl>
      <w:tblPr>
        <w:tblStyle w:val="Table"/>
        <w:tblW w:type="pct" w:w="5000"/>
        <w:tblLayout w:type="fixed"/>
        <w:tblLook w:firstRow="0" w:lastRow="0" w:firstColumn="0" w:lastColumn="0" w:noHBand="0" w:noVBand="0" w:val="0000"/>
      </w:tblPr>
      <w:tblGrid>
        <w:gridCol w:w="7920"/>
      </w:tblGrid>
      <w:tr>
        <w:tc>
          <w:tcPr/>
          <w:bookmarkStart w:id="860"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r>
              <w:drawing>
                <wp:inline>
                  <wp:extent cx="5969000" cy="1492250"/>
                  <wp:effectExtent b="0" l="0" r="0" t="0"/>
                  <wp:docPr descr="" title="" id="858" name="Picture"/>
                  <a:graphic>
                    <a:graphicData uri="http://schemas.openxmlformats.org/drawingml/2006/picture">
                      <pic:pic>
                        <pic:nvPicPr>
                          <pic:cNvPr descr="07_rapport_environnement_files/figure-docx/fig-priorite-1.png" id="859" name="Picture"/>
                          <pic:cNvPicPr>
                            <a:picLocks noChangeArrowheads="1" noChangeAspect="1"/>
                          </pic:cNvPicPr>
                        </pic:nvPicPr>
                        <pic:blipFill>
                          <a:blip r:embed="rId857"/>
                          <a:stretch>
                            <a:fillRect/>
                          </a:stretch>
                        </pic:blipFill>
                        <pic:spPr bwMode="auto">
                          <a:xfrm>
                            <a:off x="0" y="0"/>
                            <a:ext cx="5969000" cy="1492250"/>
                          </a:xfrm>
                          <a:prstGeom prst="rect">
                            <a:avLst/>
                          </a:prstGeom>
                          <a:noFill/>
                          <a:ln w="9525">
                            <a:noFill/>
                            <a:headEnd/>
                            <a:tailEnd/>
                          </a:ln>
                        </pic:spPr>
                      </pic:pic>
                    </a:graphicData>
                  </a:graphic>
                </wp:inline>
              </w:drawing>
            </w:r>
          </w:p>
          <w:bookmarkEnd w:id="860"/>
        </w:tc>
      </w:tr>
    </w:tbl>
    <w:bookmarkEnd w:id="861"/>
    <w:bookmarkStart w:id="866"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p>
      <w:pPr>
        <w:pStyle w:val="Corpsdetexte"/>
      </w:pPr>
      <w:r>
        <w:t xml:space="preserve">A Alaotra, les principaux bénéfices tirés des actions de l’Aire Protégée concernent le reboisement et les pépinières, cités par 50 % des ménages. Les dons et aides arrivent en deuxième position avec 29 % des réponses, suivis de l’appui technique (17 %), de la sensibilisation (12 %) et de l’élaboration des plans (12 %). L’achat de produits est mentionné par 4 % des ménages, tandis que les autres formes de bénéfices restent marginales.</w:t>
      </w:r>
      <w:r>
        <w:t xml:space="preserve"> </w:t>
      </w:r>
      <w:r>
        <w:t xml:space="preserve">Concernant les consultations, les ménages déclarent avoir principalement été consultés pour les activités de reboisement et de pépinière (43 %). L’appui technique représente également une part importante des consultations avec 17 % des réponses, suivi de la sensibilisation (16 %). Les dons et aides concernent 9 % des ménages consultés, les autres activités 6 %, les AGR liées à l’élevage 5 % et l’élaboration des plans 4 %. Les consultations sur l’achat de produits restent faibles avec 2 %.</w:t>
      </w:r>
      <w:r>
        <w:t xml:space="preserve"> </w:t>
      </w:r>
      <w:r>
        <w:t xml:space="preserve">En matière d’information, les ménages déclarent avoir surtout été informés sur les activités de reboisement et de pépinière (34 %). Les actions de sensibilisation sont citées par 20 % des répondants, suivies de l’appui technique (11 %), des dons et aides (4 %) et de l’achat de produits (2 %). Les AGR liées à l’élevage, le tourisme et les autres activités sont très faiblement mentionnés, avec environ 1 % des réponses chacun.</w:t>
      </w:r>
    </w:p>
    <w:p>
      <w:pPr>
        <w:pStyle w:val="Corpsdetexte"/>
      </w:pPr>
      <w:r>
        <w:t xml:space="preserve">A Marovoay, les principaux bénéfices perçus concernent l’élaboration des plans, mentionnée par 38 % des ménages. Les activités de reboisement et de pépinière arrivent en deuxième position avec 31 % des réponses, suivies de la sensibilisation (28 %), de l’achat de produits (25 %), des dons et aides (16 %) et de l’appui technique (14 %).</w:t>
      </w:r>
      <w:r>
        <w:t xml:space="preserve"> </w:t>
      </w:r>
      <w:r>
        <w:t xml:space="preserve">Les consultations portent principalement sur les activités de reboisement et de pépinière, citées par 19 % des ménages. La sensibilisation représente 8 % des consultations, tandis que l’appui technique et l’élaboration des plans concernent chacun 5 % des répondants. Les consultations liées aux dons et aides ainsi qu’aux autres activités restent limitées, avec environ 3 % des réponses chacune.</w:t>
      </w:r>
      <w:r>
        <w:t xml:space="preserve"> </w:t>
      </w:r>
      <w:r>
        <w:t xml:space="preserve">Concernant l’information, les ménages déclarent avoir principalement été informés sur les activités de reboisement et de pépinière (29 %). Les actions de sensibilisation sont citées par 17 % des répondants, suivies de l’élaboration des plans (7 %), des dons et aides (6 %) et de l’appui technique (5 %). Le tourisme et les AGR liées à l’élevage restent très faiblement mentionnés, avec respectivement 4 % et 2 % des réponses.</w:t>
      </w:r>
    </w:p>
    <w:tbl>
      <w:tblPr>
        <w:tblStyle w:val="Table"/>
        <w:tblW w:type="pct" w:w="5000"/>
        <w:tblLayout w:type="fixed"/>
        <w:tblLook w:firstRow="0" w:lastRow="0" w:firstColumn="0" w:lastColumn="0" w:noHBand="0" w:noVBand="0" w:val="0000"/>
      </w:tblPr>
      <w:tblGrid>
        <w:gridCol w:w="7920"/>
      </w:tblGrid>
      <w:tr>
        <w:tc>
          <w:tcPr/>
          <w:bookmarkStart w:id="865"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r>
              <w:drawing>
                <wp:inline>
                  <wp:extent cx="5969000" cy="2984500"/>
                  <wp:effectExtent b="0" l="0" r="0" t="0"/>
                  <wp:docPr descr="" title="" id="863" name="Picture"/>
                  <a:graphic>
                    <a:graphicData uri="http://schemas.openxmlformats.org/drawingml/2006/picture">
                      <pic:pic>
                        <pic:nvPicPr>
                          <pic:cNvPr descr="07_rapport_environnement_files/figure-docx/fig-actions-ap-1.png" id="864" name="Picture"/>
                          <pic:cNvPicPr>
                            <a:picLocks noChangeArrowheads="1" noChangeAspect="1"/>
                          </pic:cNvPicPr>
                        </pic:nvPicPr>
                        <pic:blipFill>
                          <a:blip r:embed="rId862"/>
                          <a:stretch>
                            <a:fillRect/>
                          </a:stretch>
                        </pic:blipFill>
                        <pic:spPr bwMode="auto">
                          <a:xfrm>
                            <a:off x="0" y="0"/>
                            <a:ext cx="5969000" cy="2984500"/>
                          </a:xfrm>
                          <a:prstGeom prst="rect">
                            <a:avLst/>
                          </a:prstGeom>
                          <a:noFill/>
                          <a:ln w="9525">
                            <a:noFill/>
                            <a:headEnd/>
                            <a:tailEnd/>
                          </a:ln>
                        </pic:spPr>
                      </pic:pic>
                    </a:graphicData>
                  </a:graphic>
                </wp:inline>
              </w:drawing>
            </w:r>
          </w:p>
          <w:bookmarkEnd w:id="865"/>
        </w:tc>
      </w:tr>
    </w:tbl>
    <w:bookmarkEnd w:id="866"/>
    <w:bookmarkEnd w:id="867"/>
    <w:bookmarkEnd w:id="868"/>
    <w:bookmarkStart w:id="916"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5"/>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5"/>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69" name="Picture"/>
                  <a:graphic>
                    <a:graphicData uri="http://schemas.openxmlformats.org/drawingml/2006/picture">
                      <pic:pic>
                        <pic:nvPicPr>
                          <pic:cNvPr descr="C:\PROGRA~1\Quarto\share\formats\docx\warning.png" id="870"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876" w:name="prévalence-des-cataclysmes"/>
    <w:p>
      <w:pPr>
        <w:pStyle w:val="Titre2"/>
      </w:pPr>
      <w:r>
        <w:t xml:space="preserve">8.1 Prévalence des cataclysmes</w:t>
      </w:r>
    </w:p>
    <w:p>
      <w:pPr>
        <w:pStyle w:val="FirstParagraph"/>
      </w:pPr>
      <w:r>
        <w:t xml:space="preserve">L’exposition aux aléas climatiques et biologiques est très élevée dans les zones rurales enquêtées. Le niveau d’exposition est quasi identique et extrêmement élevé dans les deux zones, touchant près de trois foyers sur quatre.</w:t>
      </w:r>
    </w:p>
    <w:bookmarkStart w:id="871"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p>
      <w:pPr>
        <w:pStyle w:val="Corpsdetexte"/>
      </w:pPr>
      <w:r>
        <w:t xml:space="preserve">Dans l’Alaotra, 73 % des ménages déclarent avoir été touchés par au moins un événement. Les ménages affectés subissent en moyenne 1.8 événements. Le cataclysme le plus fréquemment cité est « Sécheresse ».</w:t>
      </w:r>
    </w:p>
    <w:p>
      <w:pPr>
        <w:pStyle w:val="Corpsdetexte"/>
      </w:pPr>
      <w:r>
        <w:t xml:space="preserve">A Marovoay, 71.1 % des ménages déclarent avoir été touchés par au moins un événement. Les ménages affectés subissent en moyenne 1.5 événements. Le cataclysme le plus fréquemment cité est « Sécheresse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ayant subi au moins une catastrophe</w:t>
            </w:r>
          </w:p>
        </w:tc>
      </w:tr>
      <w:tr>
        <w:trPr>
          <w:tblHeader w:val="on"/>
        </w:trPr>
        <w:tc>
          <w:tcPr/>
          <w:p>
            <w:pPr>
              <w:pStyle w:val="Compact"/>
              <w:jc w:val="left"/>
            </w:pPr>
            <w:r>
              <w:t xml:space="preserve">Observatoire</w:t>
            </w:r>
          </w:p>
        </w:tc>
        <w:tc>
          <w:tcPr/>
          <w:p>
            <w:pPr>
              <w:pStyle w:val="Compact"/>
              <w:jc w:val="right"/>
            </w:pPr>
            <w:r>
              <w:t xml:space="preserve">Ménages touchés</w:t>
            </w:r>
          </w:p>
        </w:tc>
        <w:tc>
          <w:tcPr/>
          <w:p>
            <w:pPr>
              <w:pStyle w:val="Compact"/>
              <w:jc w:val="right"/>
            </w:pPr>
            <w:r>
              <w:t xml:space="preserve">Total ménages</w:t>
            </w:r>
          </w:p>
        </w:tc>
        <w:tc>
          <w:tcPr/>
          <w:p>
            <w:pPr>
              <w:pStyle w:val="Compact"/>
              <w:jc w:val="right"/>
            </w:pPr>
            <w:r>
              <w:t xml:space="preserve">% touchés</w:t>
            </w:r>
          </w:p>
        </w:tc>
      </w:tr>
      <w:tr>
        <w:tc>
          <w:tcPr/>
          <w:p>
            <w:pPr>
              <w:pStyle w:val="Compact"/>
              <w:jc w:val="left"/>
            </w:pPr>
            <w:r>
              <w:t xml:space="preserve">Alaotra</w:t>
            </w:r>
          </w:p>
        </w:tc>
        <w:tc>
          <w:tcPr/>
          <w:p>
            <w:pPr>
              <w:pStyle w:val="Compact"/>
              <w:jc w:val="right"/>
            </w:pPr>
            <w:r>
              <w:t xml:space="preserve">370</w:t>
            </w:r>
          </w:p>
        </w:tc>
        <w:tc>
          <w:tcPr/>
          <w:p>
            <w:pPr>
              <w:pStyle w:val="Compact"/>
              <w:jc w:val="right"/>
            </w:pPr>
            <w:r>
              <w:t xml:space="preserve">507</w:t>
            </w:r>
          </w:p>
        </w:tc>
        <w:tc>
          <w:tcPr/>
          <w:p>
            <w:pPr>
              <w:pStyle w:val="Compact"/>
              <w:jc w:val="right"/>
            </w:pPr>
            <w:r>
              <w:t xml:space="preserve">73.0</w:t>
            </w:r>
          </w:p>
        </w:tc>
      </w:tr>
      <w:tr>
        <w:tc>
          <w:tcPr/>
          <w:p>
            <w:pPr>
              <w:pStyle w:val="Compact"/>
              <w:jc w:val="left"/>
            </w:pPr>
            <w:r>
              <w:t xml:space="preserve">Marovoay</w:t>
            </w:r>
          </w:p>
        </w:tc>
        <w:tc>
          <w:tcPr/>
          <w:p>
            <w:pPr>
              <w:pStyle w:val="Compact"/>
              <w:jc w:val="right"/>
            </w:pPr>
            <w:r>
              <w:t xml:space="preserve">369</w:t>
            </w:r>
          </w:p>
        </w:tc>
        <w:tc>
          <w:tcPr/>
          <w:p>
            <w:pPr>
              <w:pStyle w:val="Compact"/>
              <w:jc w:val="right"/>
            </w:pPr>
            <w:r>
              <w:t xml:space="preserve">519</w:t>
            </w:r>
          </w:p>
        </w:tc>
        <w:tc>
          <w:tcPr/>
          <w:p>
            <w:pPr>
              <w:pStyle w:val="Compact"/>
              <w:jc w:val="right"/>
            </w:pPr>
            <w:r>
              <w:t xml:space="preserve">71.1</w:t>
            </w:r>
          </w:p>
        </w:tc>
      </w:tr>
      <w:tr>
        <w:tc>
          <w:tcPr/>
          <w:p>
            <w:pPr>
              <w:pStyle w:val="Compact"/>
              <w:jc w:val="left"/>
            </w:pPr>
            <w:r>
              <w:t xml:space="preserve">Ensemble</w:t>
            </w:r>
          </w:p>
        </w:tc>
        <w:tc>
          <w:tcPr/>
          <w:p>
            <w:pPr>
              <w:pStyle w:val="Compact"/>
              <w:jc w:val="right"/>
            </w:pPr>
            <w:r>
              <w:t xml:space="preserve">739</w:t>
            </w:r>
          </w:p>
        </w:tc>
        <w:tc>
          <w:tcPr/>
          <w:p>
            <w:pPr>
              <w:pStyle w:val="Compact"/>
              <w:jc w:val="right"/>
            </w:pPr>
            <w:r>
              <w:t xml:space="preserve">1026</w:t>
            </w:r>
          </w:p>
        </w:tc>
        <w:tc>
          <w:tcPr/>
          <w:p>
            <w:pPr>
              <w:pStyle w:val="Compact"/>
              <w:jc w:val="right"/>
            </w:pPr>
            <w:r>
              <w:t xml:space="preserve">72.0</w:t>
            </w:r>
          </w:p>
        </w:tc>
      </w:tr>
    </w:tbl>
    <w:p>
      <w:pPr>
        <w:pStyle w:val="Corpsdetexte"/>
      </w:pPr>
      <w:r>
        <w:t xml:space="preserve">Le taux d’exposition aux cataclysmes est très élevé.</w:t>
      </w:r>
    </w:p>
    <w:bookmarkEnd w:id="871"/>
    <w:bookmarkStart w:id="875" w:name="prévalence-par-type-de-catastrophe"/>
    <w:p>
      <w:pPr>
        <w:pStyle w:val="Titre3"/>
      </w:pPr>
      <w:r>
        <w:t xml:space="preserve">8.1.2 Prévalence par type de catastrophe</w:t>
      </w:r>
    </w:p>
    <w:p>
      <w:pPr>
        <w:pStyle w:val="FirstParagraph"/>
      </w:pPr>
      <w:r>
        <w:t xml:space="preserve">A Alaotra, l’analyse de la répartition des cataclysmes a met en évidence une prédominance marquée de la sécheresse qui affecte 56.4% des ménages. Les risques liés aux nuisibles constituent le second pôle de vulnérabilité avec 15.2% des foyers touchés par d’autres bestioles et 13.4% par les rats. Les maladies des cultures ou de l’élevage, tout comme les facteurs humains incluant les vols et dégradations concernent chacun 13.0% de la population enquêtée. Les aléas climatiques violents tels que les inondations et les cyclones présentent des taux de prévalence respectifs de 9.5% et 5.5%. Les autres catégories d’évènements, notamment la grêle (1.4%), les incendies ou la foudre (0.8%), les oiseaux (0.8%) et les invasions de criquets (0.4%), demeurent plus marginales au cours de la période de référence.</w:t>
      </w:r>
    </w:p>
    <w:p>
      <w:pPr>
        <w:pStyle w:val="Corpsdetexte"/>
      </w:pPr>
      <w:r>
        <w:t xml:space="preserve">A Marovoay, la structure de l’exposition aux risques est également dominée par la sécheresse, signalée par 52.4% des ménages. Les pathologies affectant le capital productif regroupées sous la catégorie des maladies des cultures et de l’élevage représentent un défi majeur touchant 20.0% des foyers. Les dommages imputables aux rats et aux facteurs humains atteignent des niveaux identiques concernant chacun 8.1% de l’échantillon. La zone enregistre par ailleurs des incidents liés aux criquets à hauteur de 3.9% suivis par les autres bestioles (3.5%) ainsi que les cyclones (3.1%) et les inondations (3.1%).</w:t>
      </w:r>
    </w:p>
    <w:p>
      <w:pPr>
        <w:pStyle w:val="Corpsdetexte"/>
      </w:pPr>
      <w:r>
        <w:t xml:space="preserve">La sécheresse est de loin le cataclysme le plus fréquemment cité, suivi des maladies (cultures/élevage), des rats et des facteurs humains (vol, dégradation). Les cyclones et inondations ont touché un nombre plus limité de ménages pour cette campagne.</w:t>
      </w:r>
    </w:p>
    <w:p>
      <w:pPr>
        <w:pStyle w:val="Corpsdetexte"/>
      </w:pPr>
      <w:r>
        <w:drawing>
          <wp:inline>
            <wp:extent cx="4620126" cy="4620126"/>
            <wp:effectExtent b="0" l="0" r="0" t="0"/>
            <wp:docPr descr="" title="" id="873" name="Picture"/>
            <a:graphic>
              <a:graphicData uri="http://schemas.openxmlformats.org/drawingml/2006/picture">
                <pic:pic>
                  <pic:nvPicPr>
                    <pic:cNvPr descr="08_cataclysme_catastrophe_files/figure-docx/g1_prevalence_type-1.png" id="874" name="Picture"/>
                    <pic:cNvPicPr>
                      <a:picLocks noChangeArrowheads="1" noChangeAspect="1"/>
                    </pic:cNvPicPr>
                  </pic:nvPicPr>
                  <pic:blipFill>
                    <a:blip r:embed="rId872"/>
                    <a:stretch>
                      <a:fillRect/>
                    </a:stretch>
                  </pic:blipFill>
                  <pic:spPr bwMode="auto">
                    <a:xfrm>
                      <a:off x="0" y="0"/>
                      <a:ext cx="4620126" cy="4620126"/>
                    </a:xfrm>
                    <a:prstGeom prst="rect">
                      <a:avLst/>
                    </a:prstGeom>
                    <a:noFill/>
                    <a:ln w="9525">
                      <a:noFill/>
                      <a:headEnd/>
                      <a:tailEnd/>
                    </a:ln>
                  </pic:spPr>
                </pic:pic>
              </a:graphicData>
            </a:graphic>
          </wp:inline>
        </w:drawing>
      </w:r>
    </w:p>
    <w:bookmarkEnd w:id="875"/>
    <w:bookmarkEnd w:id="876"/>
    <w:bookmarkStart w:id="890"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bookmarkStart w:id="880"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p>
      <w:pPr>
        <w:pStyle w:val="Corpsdetexte"/>
      </w:pPr>
      <w:r>
        <w:t xml:space="preserve">A Alaotra, l’évaluation des dommages causés aux habitations par les différents aléas révèle une sensibilité particulière aux événements cycloniques pour 45.8% des ménages . Les nuisibles biologiques, spécifiquement les rats, représentent également une menace significative pour l’intégrité du bâti touchant 35.9% des ménages exposés à ce risque. Les impacts liés aux actions humaines (8.3%) ou à d’autres types d’insectes et bestioles (5.6%) demeurent plus restreints.</w:t>
      </w:r>
    </w:p>
    <w:p>
      <w:pPr>
        <w:pStyle w:val="Corpsdetexte"/>
      </w:pPr>
      <w:r>
        <w:t xml:space="preserve">A Marovoay, les cyclones s’avèrent être la cause la plus fréquente de dommages, affectant 60.0% des ménages ayant déclaré ce type de sinistre. La sécheresse influe également sur l’état des habitations pour 20.0% des ménages concernés, tandis que les inondations touchent 14.3% des logements exposés. L’influence des rats (7.3%), des autres bestioles (5.9%) et des facteurs humains incluant les vols ou dégradations (2.6%) sur l’habitat est nettement moins prononcée.</w:t>
      </w:r>
    </w:p>
    <w:p>
      <w:pPr>
        <w:pStyle w:val="Corpsdetexte"/>
      </w:pPr>
      <w:r>
        <w:t xml:space="preserve">Il est à noter que les phénomènes de sécheresse, d’inondation ou de grêle n’ont engendré aucune dégradation déclarée sur les habitats durant cette campagne d’enquête.</w:t>
      </w:r>
    </w:p>
    <w:p>
      <w:pPr>
        <w:pStyle w:val="CaptionedFigure"/>
      </w:pPr>
      <w:r>
        <w:drawing>
          <wp:inline>
            <wp:extent cx="4620126" cy="3696101"/>
            <wp:effectExtent b="0" l="0" r="0" t="0"/>
            <wp:docPr descr="Dégâts sur le logement par type de catastrophe" title="" id="878" name="Picture"/>
            <a:graphic>
              <a:graphicData uri="http://schemas.openxmlformats.org/drawingml/2006/picture">
                <pic:pic>
                  <pic:nvPicPr>
                    <pic:cNvPr descr="08_cataclysme_catastrophe_files/figure-docx/fig_degats_logement-1.png" id="879" name="Picture"/>
                    <pic:cNvPicPr>
                      <a:picLocks noChangeArrowheads="1" noChangeAspect="1"/>
                    </pic:cNvPicPr>
                  </pic:nvPicPr>
                  <pic:blipFill>
                    <a:blip r:embed="rId87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Dégâts sur le logement par type de catastrophe</w:t>
      </w:r>
    </w:p>
    <w:bookmarkEnd w:id="880"/>
    <w:bookmarkStart w:id="881" w:name="dégâts-sur-lélevage"/>
    <w:p>
      <w:pPr>
        <w:pStyle w:val="Titre3"/>
      </w:pPr>
      <w:r>
        <w:t xml:space="preserve">8.2.2 Dégâts sur l’élevage</w:t>
      </w:r>
    </w:p>
    <w:p>
      <w:pPr>
        <w:pStyle w:val="FirstParagraph"/>
      </w:pPr>
      <w:r>
        <w:rPr>
          <w:b/>
          <w:bCs/>
        </w:rPr>
        <w:t xml:space="preserve">A VOIR DANS LE CODE R POURQUOI LA FIGURE NE S’AFFICHE PAS + INTERPRETATION</w:t>
      </w:r>
    </w:p>
    <w:p>
      <w:pPr>
        <w:pStyle w:val="Corpsdetexte"/>
      </w:pPr>
      <w:r>
        <w:t xml:space="preserve">Les dégâts sur l’élevage sont particulièrement importants pour certains aléas : les maladies et la sécheresse peuvent entraîner des pertes significatives (catégorie « Beaucoup » ou « Destruction totale »).</w:t>
      </w:r>
    </w:p>
    <w:bookmarkEnd w:id="881"/>
    <w:bookmarkStart w:id="885" w:name="conséquences-sur-les-personnes"/>
    <w:p>
      <w:pPr>
        <w:pStyle w:val="Titre3"/>
      </w:pPr>
      <w:r>
        <w:t xml:space="preserve">8.2.3 Conséquences sur les personnes</w:t>
      </w:r>
    </w:p>
    <w:p>
      <w:pPr>
        <w:pStyle w:val="FirstParagraph"/>
      </w:pPr>
      <w:r>
        <w:t xml:space="preserve">La conséquence la plus répandue est le manque de vivres, directement lié aux pertes agricoles. Les décès et disparitions, bien que rares, sont signalés pour certains cataclysmes (inondations, cyclones).</w:t>
      </w:r>
    </w:p>
    <w:p>
      <w:pPr>
        <w:pStyle w:val="Corpsdetexte"/>
      </w:pPr>
      <w:r>
        <w:t xml:space="preserve">A Alaotra, les événements cycloniques se distinguent par une incidence élevée sur la santé, affectant 24.0% des ménages exposés sous forme de blessures ou de maladies. Les pathologies liées au capital productif, incluant les cultures et l’élevage, engendrent également des conséquences sanitaires pour 15.3% des ménages concernés. Le manque de vivres, bien que relativement contenu pour la majorité des aléas, atteint 11.9% des cas lors de catastrophes d’origine humaine. Enfin, bien que rares, des décès ou disparitions sont rapportés lors d’inondations (2.4%), de maladies (1.7%), d’attaques de nuisibles (1.5%) et de périodes de sécheresse (1.2%), illustrant la dangerosité potentielle de ces phénomènes malgré une majorité de situations sans dommage corporel direct.</w:t>
      </w:r>
    </w:p>
    <w:p>
      <w:pPr>
        <w:pStyle w:val="Corpsdetexte"/>
      </w:pPr>
      <w:r>
        <w:t xml:space="preserve">A Marovoay, la sécheresse constitue l’aléa le plus critique à cet égard, provoquant un manque de vivres pour 48.5% des ménages touchés. Les inondations et les cyclones présentent des profils de risques mixtes associant des manques de vivre pour respectivement 18.8% et 13.3% des ménages à des impacts sanitaires notables sous forme de blessures ou maladies touchant environ 20.0% des répondants. Les maladies affectant les cultures ou l’élevage ont également des conséquences directes sur les individus, avec 11.8% de cas de blessures ou maladies et 2.9% de décès ou disparitions signalés. Enfin, les dommages liés aux nuisibles ou aux facteurs humains se traduisent essentiellement par des difficultés d’approvisionnement alimentaire, affectant entre 5.3% et 11.8% de la population concernée.</w:t>
      </w:r>
    </w:p>
    <w:p>
      <w:pPr>
        <w:pStyle w:val="CaptionedFigure"/>
      </w:pPr>
      <w:r>
        <w:drawing>
          <wp:inline>
            <wp:extent cx="4620126" cy="2772075"/>
            <wp:effectExtent b="0" l="0" r="0" t="0"/>
            <wp:docPr descr="Conséquences des cataclysmes sur les personnes" title="" id="883" name="Picture"/>
            <a:graphic>
              <a:graphicData uri="http://schemas.openxmlformats.org/drawingml/2006/picture">
                <pic:pic>
                  <pic:nvPicPr>
                    <pic:cNvPr descr="08_cataclysme_catastrophe_files/figure-docx/fig_degats_personnes-1.png" id="884" name="Picture"/>
                    <pic:cNvPicPr>
                      <a:picLocks noChangeArrowheads="1" noChangeAspect="1"/>
                    </pic:cNvPicPr>
                  </pic:nvPicPr>
                  <pic:blipFill>
                    <a:blip r:embed="rId882"/>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Conséquences des cataclysmes sur les personnes</w:t>
      </w:r>
    </w:p>
    <w:bookmarkEnd w:id="885"/>
    <w:bookmarkStart w:id="889" w:name="X8a171b41bcc09a3f8d1a3f452aa03aa06659af0"/>
    <w:p>
      <w:pPr>
        <w:pStyle w:val="Titre3"/>
      </w:pPr>
      <w:r>
        <w:t xml:space="preserve">8.2.4 Profil de sévérité des principaux cataclysmes</w:t>
      </w:r>
    </w:p>
    <w:p>
      <w:pPr>
        <w:pStyle w:val="FirstParagraph"/>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p>
      <w:pPr>
        <w:pStyle w:val="Corpsdetexte"/>
      </w:pPr>
      <w:r>
        <w:t xml:space="preserve">A Alaotra, l’analyse de la sévérité des dégâts sur l’élevage montre que les maladies constituent la menace la plus grave pour l’agriculture et l’élevage. Près de 51.6% des ménages touchés par des maladies des cultures/élevage rapportent des dommages importants ou une destruction totale . Les sinistres d’origine humaine, incluant les vols et dégradations, entraînent également des pertes sévères pour 36.1% des foyers concernés. À l’inverse, l’impact des rats, de la sécheresse et des autres nuisibles biologiques reste marginal. Plus de 90.0% des ménages exposés à ces aléas ne déclarant aucun dégât notable.</w:t>
      </w:r>
    </w:p>
    <w:p>
      <w:pPr>
        <w:pStyle w:val="Corpsdetexte"/>
      </w:pPr>
      <w:r>
        <w:t xml:space="preserve">A Marovoay, le profil de sévérité des catastrophes sur l’agriculture et l’élevage est dominé par l’impact massif des maladies et des facteurs humains. Les pathologies afférentes provoquent des pertes qualifiées de beaucoup ou de destruction totale pour 72.1% des ménages sinistrés. Les actes de malveillance ou vols (facteurs humains) affichent également un niveau de sévérité élevé avec 59.0% de dommages importants. En revanche, la sécheresse et les rats engendrent des préjudices plus limités tandis que les autres bestioles ne causent une destruction totale que dans 5.6% des cas recensés.</w:t>
      </w:r>
    </w:p>
    <w:p>
      <w:pPr>
        <w:pStyle w:val="Corpsdetexte"/>
      </w:pPr>
      <w:r>
        <w:drawing>
          <wp:inline>
            <wp:extent cx="4620126" cy="3696101"/>
            <wp:effectExtent b="0" l="0" r="0" t="0"/>
            <wp:docPr descr="" title="" id="887" name="Picture"/>
            <a:graphic>
              <a:graphicData uri="http://schemas.openxmlformats.org/drawingml/2006/picture">
                <pic:pic>
                  <pic:nvPicPr>
                    <pic:cNvPr descr="08_cataclysme_catastrophe_files/figure-docx/g2_severite_profil-1.png" id="888" name="Picture"/>
                    <pic:cNvPicPr>
                      <a:picLocks noChangeArrowheads="1" noChangeAspect="1"/>
                    </pic:cNvPicPr>
                  </pic:nvPicPr>
                  <pic:blipFill>
                    <a:blip r:embed="rId886"/>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889"/>
    <w:bookmarkEnd w:id="890"/>
    <w:bookmarkStart w:id="894"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p>
      <w:pPr>
        <w:pStyle w:val="Corpsdetexte"/>
      </w:pPr>
      <w:r>
        <w:t xml:space="preserve">A Alaotra, l’analyse de la période de survenance des aléas met en évidence une forte corrélation entre les chocs climatiques majeurs et la période de soudure. Les cyclones et les inondations surviennent ainsi très majoritairement durant cette phase critique avec des taux respectifs de 85.7% et 77.1%. Les phénomènes de grêle (71.4%) sont également prédominants durant les mois de pénurie alimentaire. Bien qu’une légère majorité des cas (55.2%) soit enregistrée pendant la soudure, la sécheresse présente une répartition plus équilibrée. À l’inverse, les risques biologiques et humains sont plus fréquents hors période de soudure notamment pour les attaques de rats (80.9%), les maladies des cultures et de l’élevage (68.2%) et les nuisibles divers (59.7%). Les facteurs humains incluant les vols et dégradations touchent 54.5% des ménages en dehors de la phase de soudure.</w:t>
      </w:r>
    </w:p>
    <w:p>
      <w:pPr>
        <w:pStyle w:val="Corpsdetexte"/>
      </w:pPr>
      <w:r>
        <w:t xml:space="preserve">A Marovoay, la majorité des cataclysmes coïncident avec la période de soudure exacerbant la vulnérabilité des ménages. Les cyclones constituent l’aléa le plus saisonnier avec 81.2% des événements se produisant durant la soudure, suivis par les inondations (75.0%) et les attaques de nuisibles biologiques tels que les rats (66.7%) ou d’autres bestioles (66.7%). La sécheresse, risque majeur dans cette zone, survient également en priorité pendant les mois de soudure pour 64.3% des signalements. Les invasions de criquets et les facteurs humains présentent une distribution relativement homogène entre les deux périodes avec une légère prédominance durant la soudure (respectivement 50.0% et 54.8%). A l’exception, les maladies affectant l’agriculture et l’élevage sont plus fréquents hors période de soudure (54.8%).</w:t>
      </w:r>
    </w:p>
    <w:p>
      <w:pPr>
        <w:pStyle w:val="Corpsdetexte"/>
      </w:pPr>
      <w:r>
        <w:drawing>
          <wp:inline>
            <wp:extent cx="4620126" cy="3696101"/>
            <wp:effectExtent b="0" l="0" r="0" t="0"/>
            <wp:docPr descr="" title="" id="892" name="Picture"/>
            <a:graphic>
              <a:graphicData uri="http://schemas.openxmlformats.org/drawingml/2006/picture">
                <pic:pic>
                  <pic:nvPicPr>
                    <pic:cNvPr descr="08_cataclysme_catastrophe_files/figure-docx/g3_saisonnalite-1.png" id="893" name="Picture"/>
                    <pic:cNvPicPr>
                      <a:picLocks noChangeArrowheads="1" noChangeAspect="1"/>
                    </pic:cNvPicPr>
                  </pic:nvPicPr>
                  <pic:blipFill>
                    <a:blip r:embed="rId891"/>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894"/>
    <w:bookmarkStart w:id="911" w:name="dégâts-agricoles-par-culture"/>
    <w:p>
      <w:pPr>
        <w:pStyle w:val="Titre2"/>
      </w:pPr>
      <w:r>
        <w:t xml:space="preserve">8.4 Dégâts agricoles par culture</w:t>
      </w:r>
    </w:p>
    <w:p>
      <w:pPr>
        <w:pStyle w:val="FirstParagraph"/>
      </w:pPr>
      <w:r>
        <w:t xml:space="preserve">Ce chapitre identifie les:cultures les plus sinistrées, détaille la gravité des dommages subis par les champs et les stocks de riz selon le type d’aléa.</w:t>
      </w:r>
    </w:p>
    <w:p>
      <w:pPr>
        <w:pStyle w:val="Corpsdetexte"/>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898" w:name="cultures-les-plus-touchées"/>
    <w:p>
      <w:pPr>
        <w:pStyle w:val="Titre3"/>
      </w:pPr>
      <w:r>
        <w:t xml:space="preserve">8.4.1 Cultures les plus touchées</w:t>
      </w:r>
    </w:p>
    <w:p>
      <w:pPr>
        <w:pStyle w:val="FirstParagraph"/>
      </w:pPr>
      <w:r>
        <w:t xml:space="preserve">A Alaotra, le riz s’impose comme la culture la plus fréquemment touchée pour 33.9% des ménages déclarant des dégâts. Devant le maïs à 9.1% et le manioc à 6.5%, le haricot constitue le second pôle de fragilité avec 16.9% de signalements . Les brèdes et le haricot vert subissent également des pertes notables concernant respectivement 5.4% et 4.7% des exploitants. Le reste du classement est composé du concombre (2.4%), de l’arachide (1.8%) ainsi que de la carotte et de la mangue, qui enregistrent chacune un taux de sinistralité de 1.7%.</w:t>
      </w:r>
    </w:p>
    <w:p>
      <w:pPr>
        <w:pStyle w:val="Corpsdetexte"/>
      </w:pPr>
      <w:r>
        <w:t xml:space="preserve">A Marovoay, la hiérarchie des cultures touchées par les catastrophes souligne la fragilité structurelle de l’activité principale de la zone. Le riz est la culture la plus sinistrée, affectant 66.7% des ménages enquêtés. Les autres cultures de base présentent une exposition plus restreinte avec des taux de 14.2% pour le maïs et 7.6% pour le manioc. L’impact sur les autres cultures comme l’arachide (2.9%), la banane (1.6%) et la canne à sucre (1.3%) est moins étendu. Les dégâts se répartissent enfin de manière résiduelle sur les légumineuses Black Eyes (1.0%), la courge (1.0%), les brèdes (0.8%) et le concombre (0.8%).</w:t>
      </w:r>
    </w:p>
    <w:p>
      <w:pPr>
        <w:pStyle w:val="CaptionedFigure"/>
      </w:pPr>
      <w:r>
        <w:drawing>
          <wp:inline>
            <wp:extent cx="4620126" cy="3696101"/>
            <wp:effectExtent b="0" l="0" r="0" t="0"/>
            <wp:docPr descr="Top 10 des cultures les plus touchées" title="" id="896" name="Picture"/>
            <a:graphic>
              <a:graphicData uri="http://schemas.openxmlformats.org/drawingml/2006/picture">
                <pic:pic>
                  <pic:nvPicPr>
                    <pic:cNvPr descr="08_cataclysme_catastrophe_files/figure-docx/fig_cultures_touchees-1.png" id="897" name="Picture"/>
                    <pic:cNvPicPr>
                      <a:picLocks noChangeArrowheads="1" noChangeAspect="1"/>
                    </pic:cNvPicPr>
                  </pic:nvPicPr>
                  <pic:blipFill>
                    <a:blip r:embed="rId89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Top 10 des cultures les plus touchées</w:t>
      </w:r>
    </w:p>
    <w:p>
      <w:pPr>
        <w:pStyle w:val="Corpsdetexte"/>
      </w:pPr>
      <w:r>
        <w:t xml:space="preserve">Le riz, culture vivrière dominante, est de loin la culture la plus exposée aux cataclysmes. Le haricot, le maïs et le manioc figurent également parmi les cultures les plus touchées.</w:t>
      </w:r>
    </w:p>
    <w:bookmarkEnd w:id="898"/>
    <w:bookmarkStart w:id="902"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p>
      <w:pPr>
        <w:pStyle w:val="Corpsdetexte"/>
      </w:pPr>
      <w:r>
        <w:t xml:space="preserve">A Alaotra, la sécheresse et les inondations constituent les menaces les plus sévères pour les champs de riz. Près de 71.7% des exploitants touchés par la sécheresse rapportent des dommages qualifiés de beaucoup ou une destruction totale, soit respectivement 58.6% et 13.1%. De même, les inondations engendrent des pertes importantes ou totales pour 53.9% des ménages sinistrés. Bien que moins fréquente, la grêle se distingue par une intensité de dégâts remarquable avec 77.8% des cas étant classés dans la catégorie beaucoup. Les nuisibles biologiques comme les rats ont un impact significatif, affectant un peu de la production pour 58.5% des parcelles et beaucoup pour 12.2% d’entre elles. En revanche, les événements liés aux cyclones se traduisent majoritairement par des dégâts qualifiés de «un peu» pour 70.0% des répondants sans enregistrer de destruction totale sur les champs de riz au cours de cette campagne.</w:t>
      </w:r>
    </w:p>
    <w:p>
      <w:pPr>
        <w:pStyle w:val="Corpsdetexte"/>
      </w:pPr>
      <w:r>
        <w:t xml:space="preserve">A Marovoay, la sécheresse s’avère particulièrement dévastatrice avec 79.0% des ménages affectés déclarant des pertes massives ou une destruction totale de leurs champs. Dans le détail, 66.5% des sinistrés rapportent beaucoup de dégâts et 12.5% une destruction totale. Les attaques de rats présentent également un profil de sévérité élevé, provoquant des dommages sur 94.3% des parcelles exposées, dont 22.9% subissent des pertes qualifiées de beaucoup. Les inondations impactent sévèrement 40.0% des exploitants concernés, tandis que les criquets génèrent essentiellement des dégâts modérés qualifiés de un peu pour 70.6% des sinistrés. Il est à noter que les maladies ont un impact destructeur limité, 90.5% des cas ne donnant lieu à aucun dégât notable sur les champs de riz. Enfin, les cyclones ont entraîné des conséquences relativement contenues sur les cultures en place, avec 75.0% de signalements sans aucun dommage.</w:t>
      </w:r>
    </w:p>
    <w:p>
      <w:pPr>
        <w:pStyle w:val="CaptionedFigure"/>
      </w:pPr>
      <w:r>
        <w:drawing>
          <wp:inline>
            <wp:extent cx="4620126" cy="3234088"/>
            <wp:effectExtent b="0" l="0" r="0" t="0"/>
            <wp:docPr descr="Gravité des dégâts sur les champs de riz" title="" id="900" name="Picture"/>
            <a:graphic>
              <a:graphicData uri="http://schemas.openxmlformats.org/drawingml/2006/picture">
                <pic:pic>
                  <pic:nvPicPr>
                    <pic:cNvPr descr="08_cataclysme_catastrophe_files/figure-docx/fig_degats_champs_riz-1.png" id="901" name="Picture"/>
                    <pic:cNvPicPr>
                      <a:picLocks noChangeArrowheads="1" noChangeAspect="1"/>
                    </pic:cNvPicPr>
                  </pic:nvPicPr>
                  <pic:blipFill>
                    <a:blip r:embed="rId899"/>
                    <a:stretch>
                      <a:fillRect/>
                    </a:stretch>
                  </pic:blipFill>
                  <pic:spPr bwMode="auto">
                    <a:xfrm>
                      <a:off x="0" y="0"/>
                      <a:ext cx="4620126" cy="3234088"/>
                    </a:xfrm>
                    <a:prstGeom prst="rect">
                      <a:avLst/>
                    </a:prstGeom>
                    <a:noFill/>
                    <a:ln w="9525">
                      <a:noFill/>
                      <a:headEnd/>
                      <a:tailEnd/>
                    </a:ln>
                  </pic:spPr>
                </pic:pic>
              </a:graphicData>
            </a:graphic>
          </wp:inline>
        </w:drawing>
      </w:r>
    </w:p>
    <w:p>
      <w:pPr>
        <w:pStyle w:val="ImageCaption"/>
      </w:pPr>
      <w:r>
        <w:t xml:space="preserve">Gravité des dégâts sur les champs de riz</w:t>
      </w:r>
    </w:p>
    <w:bookmarkEnd w:id="902"/>
    <w:bookmarkStart w:id="906" w:name="Xcf77f7ca95e8511826fa9c1eb4f3d1682b70b3d"/>
    <w:p>
      <w:pPr>
        <w:pStyle w:val="Titre3"/>
      </w:pPr>
      <w:r>
        <w:t xml:space="preserve">8.4.3 Dégâts sur les stocks de riz par type de catastrophe</w:t>
      </w:r>
    </w:p>
    <w:p>
      <w:pPr>
        <w:pStyle w:val="FirstParagraph"/>
      </w:pPr>
      <w:r>
        <w:t xml:space="preserve">A Alaotra, l’évaluation de la gravité des préjudices subis par les réserves de riz révèle une vulnérabilité particulièrement marquée face à la grêle et à la sécheresse. Pour les ménages touchés par la grêle, 62.5% signalent des dégâts qualifiés de beaucoup. La sécheresse constitue l’aléa le plus diversifié dans ses impacts provoquant une destruction totale des stocks pour 1.9% des sinistrés, tandis que 17.5% rapportent des pertes importantes et 24.5% des dommages modérés. Les événements cycloniques impactent également les stocks, avec 11.1% de pertes importantes et 22.2% de dégâts légers. Les nuisibles biologiques tels que les rats et autres bestioles engendrent des dommages pour respectivement 17.5% et 11.7% des ménages exposés. En revanche, les facteurs humains, les inondations et les maladies ont des répercussions plus limitées sur le stockage, la grande majorité des cas ne donnant lieu à aucun dégât notable.</w:t>
      </w:r>
    </w:p>
    <w:p>
      <w:pPr>
        <w:pStyle w:val="Corpsdetexte"/>
      </w:pPr>
      <w:r>
        <w:t xml:space="preserve">A Marovoay, la sévérité des pertes sur les stocks de riz est principalement imputable aux attaques de rongeurs. Les rats affectent la majorité des stocks exposés avec 54.3% de dégâts qualifiés de un peu et 5.7% de beaucoup laissant seulement 40.0% des ménages sans dommage. La sécheresse et les inondations ont une incidence nettement moindre sur les réserves après récolte ne touchant respectivement que 6.7% et 10.0% des foyers concernés essentiellement sous forme de dégâts légers ou modérés. Les autres types d’aléas notamment les cyclones, les invasions de criquets, les maladies ainsi que les facteurs humains n’ont engendré aucune perte déclarée sur les stocks de riz au cours de la période de référence.</w:t>
      </w:r>
    </w:p>
    <w:p>
      <w:pPr>
        <w:pStyle w:val="CaptionedFigure"/>
      </w:pPr>
      <w:r>
        <w:drawing>
          <wp:inline>
            <wp:extent cx="4620126" cy="3234088"/>
            <wp:effectExtent b="0" l="0" r="0" t="0"/>
            <wp:docPr descr="Gravité des dégâts sur les stocks de riz" title="" id="904" name="Picture"/>
            <a:graphic>
              <a:graphicData uri="http://schemas.openxmlformats.org/drawingml/2006/picture">
                <pic:pic>
                  <pic:nvPicPr>
                    <pic:cNvPr descr="08_cataclysme_catastrophe_files/figure-docx/fig_degats_stocks_riz-1.png" id="905" name="Picture"/>
                    <pic:cNvPicPr>
                      <a:picLocks noChangeArrowheads="1" noChangeAspect="1"/>
                    </pic:cNvPicPr>
                  </pic:nvPicPr>
                  <pic:blipFill>
                    <a:blip r:embed="rId903"/>
                    <a:stretch>
                      <a:fillRect/>
                    </a:stretch>
                  </pic:blipFill>
                  <pic:spPr bwMode="auto">
                    <a:xfrm>
                      <a:off x="0" y="0"/>
                      <a:ext cx="4620126" cy="3234088"/>
                    </a:xfrm>
                    <a:prstGeom prst="rect">
                      <a:avLst/>
                    </a:prstGeom>
                    <a:noFill/>
                    <a:ln w="9525">
                      <a:noFill/>
                      <a:headEnd/>
                      <a:tailEnd/>
                    </a:ln>
                  </pic:spPr>
                </pic:pic>
              </a:graphicData>
            </a:graphic>
          </wp:inline>
        </w:drawing>
      </w:r>
    </w:p>
    <w:p>
      <w:pPr>
        <w:pStyle w:val="ImageCaption"/>
      </w:pPr>
      <w:r>
        <w:t xml:space="preserve">Gravité des dégâts sur les stocks de riz</w:t>
      </w:r>
    </w:p>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906"/>
    <w:bookmarkStart w:id="910" w:name="Xc5153409833405fb69cd75dc36cbc4fc94497fa"/>
    <w:p>
      <w:pPr>
        <w:pStyle w:val="Titre3"/>
      </w:pPr>
      <w:r>
        <w:t xml:space="preserve">8.4.4 Comparaison dégâts champs vs stocks pour les principales cultures</w:t>
      </w:r>
    </w:p>
    <w:p>
      <w:pPr>
        <w:pStyle w:val="FirstParagraph"/>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p>
      <w:pPr>
        <w:pStyle w:val="Corpsdetexte"/>
      </w:pPr>
      <w:r>
        <w:t xml:space="preserve">A Alaotra, l’analyse comparative de l’incidence des sinistres entre les cultures sur pied et les produits stockés met en évidence une vulnérabilité systématiquement plus élevée des champs par rapport aux stocks. Pour la production rizicole, plus de 90.0% des ménages rapportent des dommages significatifs sur les parcelles en croissance, alors que les pertes sur les stocks concernent environ 40.0% de ces ménages. Une tendance similaire est observée pour les autres cultures majeures telles que le maïs, le haricot et le manioc, où la prévalence des dégâts aux champs se situe entre 80.0% et 90.0%, tandis que les atteintes aux stocks demeurent nettement inférieures, affectant environ 25.0% à 30.0% des cas. Les brèdes affichent également un contraste marqué avec environ 75.0% de sinistralité aux champs contre 20.0% pour le stockage.</w:t>
      </w:r>
    </w:p>
    <w:p>
      <w:pPr>
        <w:pStyle w:val="Corpsdetexte"/>
      </w:pPr>
      <w:r>
        <w:t xml:space="preserve">A Marovoay, la fréquence des dommages agricoles est nettement plus élevée sur les parcelles cultivées que sur les produits récoltés. La riziculture, le maïs et le manioc présentent des taux de sinistralité extrêmement élevés touchant plus de 90.0% des ménages engagés dans ces productions. En revanche, l’impact sur les stocks est beaucoup plus limité dans cette zone s’établissant à environ 15.0% pour le riz et se situant aux alentours de 10.0% pour le maïs et le manioc. Concernant les brèdes, si les dégâts sur les champs affectent près de 65.0% des exploitants, aucune perte n’est signalée au niveau des stocks dans l’échantillon.</w:t>
      </w:r>
    </w:p>
    <w:p>
      <w:pPr>
        <w:pStyle w:val="Corpsdetexte"/>
      </w:pPr>
      <w:r>
        <w:drawing>
          <wp:inline>
            <wp:extent cx="4620126" cy="3696101"/>
            <wp:effectExtent b="0" l="0" r="0" t="0"/>
            <wp:docPr descr="" title="" id="908" name="Picture"/>
            <a:graphic>
              <a:graphicData uri="http://schemas.openxmlformats.org/drawingml/2006/picture">
                <pic:pic>
                  <pic:nvPicPr>
                    <pic:cNvPr descr="08_cataclysme_catastrophe_files/figure-docx/g4_champs_vs_stocks-1.png" id="909" name="Picture"/>
                    <pic:cNvPicPr>
                      <a:picLocks noChangeArrowheads="1" noChangeAspect="1"/>
                    </pic:cNvPicPr>
                  </pic:nvPicPr>
                  <pic:blipFill>
                    <a:blip r:embed="rId907"/>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910"/>
    <w:bookmarkEnd w:id="911"/>
    <w:bookmarkStart w:id="915" w:name="sec-cata-multiyear"/>
    <w:p>
      <w:pPr>
        <w:pStyle w:val="Titre2"/>
      </w:pPr>
      <w:r>
        <w:t xml:space="preserve">8.5 Évolution de la prévalence des catastrophes (2003–2025)</w:t>
      </w:r>
    </w:p>
    <w:p>
      <w:pPr>
        <w:pStyle w:val="FirstParagraph"/>
      </w:pPr>
      <w:r>
        <w:t xml:space="preserve">L’évolution de la prévalence des catastrophes sur la période 2003–2025 met en évidence des fluctuations interannuelles importantes, avec des pics correspondant aux passages cycloniques majeurs et aux épisodes de sécheresse prolongée. La tendance de long terme, difficile à isoler des aléas ponctuels, mérite d’être mise en regard de l’évolution des pratiques d’adaptation décrites dans les chapitres précédents.</w:t>
      </w:r>
    </w:p>
    <w:p>
      <w:pPr>
        <w:pStyle w:val="Corpsdetexte"/>
      </w:pPr>
      <w:r>
        <w:t xml:space="preserve">Le module « catastrophes » (</w:t>
      </w:r>
      <w:r>
        <w:rPr>
          <w:rStyle w:val="VerbatimChar"/>
        </w:rPr>
        <w:t xml:space="preserve">res_cc</w:t>
      </w:r>
      <w:r>
        <w:t xml:space="preserve">) est disponible depuis 2003. On retrace ici la proportion de ménages ayant déclaré au moins un aléa climatique ou biologique au cours de la campagne.</w:t>
      </w:r>
    </w:p>
    <w:p>
      <w:pPr>
        <w:pStyle w:val="Corpsdetexte"/>
      </w:pPr>
      <w:r>
        <w:t xml:space="preserve">A Alaotra, l’analyse de l’exposition des ménages aux aléas met en évidence des fluctuations interannuelles marquées sur les deux dernières décennies. En début de période, le taux de sinistralité s’établit à 55.0% en 2003 et 58.0% en 2004 avant de connaître un repli sensible à 23.0% en 2005. Une phase de très faible prévalence est observée entre 2008 et 2010 ( respectivement 3.0% et 5.0%). À partir de 2011, le pourcentage de ménages touchés s’inscrit dans une tendance haussière irrégulière atteignant 45.0% en 2014. La campagne 2025 marque un sommet pour la zone avec 73.0% des foyers déclarant avoir subi au moins une catastrophe au cours de l’année.</w:t>
      </w:r>
    </w:p>
    <w:p>
      <w:pPr>
        <w:pStyle w:val="Corpsdetexte"/>
      </w:pPr>
      <w:r>
        <w:t xml:space="preserve">A Marovoay, un pic exceptionnel est enregistré en 2004, année au cours de laquelle environ 92.0% des ménages ont été sinistrés. Après cette crise majeure, le taux d’exposition a progressivement diminué pour atteindre ses niveaux les plus bas entre 2008 et 2010 se situant entre 12.0% et 15.0%. Une recrudescence notable des évènements est observée en 2012 affectant 45.0% de l’échantillon suivie d’une redescente à 25.0% en 2014. Pour la dernière période de référence en 2025, le taux de ménages ayant été confrontés à au moins un aléa remonte significativement pour s’établir à 71.1%.</w:t>
      </w:r>
    </w:p>
    <w:p>
      <w:pPr>
        <w:pStyle w:val="CaptionedFigure"/>
      </w:pPr>
      <w:r>
        <w:drawing>
          <wp:inline>
            <wp:extent cx="5969000" cy="2238375"/>
            <wp:effectExtent b="0" l="0" r="0" t="0"/>
            <wp:docPr descr="Évolution du pourcentage de ménages ayant subi au moins une catastrophe (2003–2025)" title="" id="913" name="Picture"/>
            <a:graphic>
              <a:graphicData uri="http://schemas.openxmlformats.org/drawingml/2006/picture">
                <pic:pic>
                  <pic:nvPicPr>
                    <pic:cNvPr descr="08_cataclysme_catastrophe_files/figure-docx/fig_cata_prevalence-1.png" id="914" name="Picture"/>
                    <pic:cNvPicPr>
                      <a:picLocks noChangeArrowheads="1" noChangeAspect="1"/>
                    </pic:cNvPicPr>
                  </pic:nvPicPr>
                  <pic:blipFill>
                    <a:blip r:embed="rId912"/>
                    <a:stretch>
                      <a:fillRect/>
                    </a:stretch>
                  </pic:blipFill>
                  <pic:spPr bwMode="auto">
                    <a:xfrm>
                      <a:off x="0" y="0"/>
                      <a:ext cx="5969000" cy="2238375"/>
                    </a:xfrm>
                    <a:prstGeom prst="rect">
                      <a:avLst/>
                    </a:prstGeom>
                    <a:noFill/>
                    <a:ln w="9525">
                      <a:noFill/>
                      <a:headEnd/>
                      <a:tailEnd/>
                    </a:ln>
                  </pic:spPr>
                </pic:pic>
              </a:graphicData>
            </a:graphic>
          </wp:inline>
        </w:drawing>
      </w:r>
    </w:p>
    <w:p>
      <w:pPr>
        <w:pStyle w:val="ImageCaption"/>
      </w:pPr>
      <w:r>
        <w:t xml:space="preserve">Évolution du pourcentage de ménages ayant subi au moins une catastrophe (2003–2025)</w:t>
      </w:r>
    </w:p>
    <w:bookmarkEnd w:id="915"/>
    <w:bookmarkEnd w:id="916"/>
    <w:bookmarkStart w:id="963"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917" name="Picture"/>
                  <a:graphic>
                    <a:graphicData uri="http://schemas.openxmlformats.org/drawingml/2006/picture">
                      <pic:pic>
                        <pic:nvPicPr>
                          <pic:cNvPr descr="C:\PROGRA~1\Quarto\share\formats\docx\warning.png" id="918"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941" w:name="sec-insertion"/>
    <w:p>
      <w:pPr>
        <w:pStyle w:val="Titre2"/>
      </w:pPr>
      <w:r>
        <w:t xml:space="preserve">9.1 Insertion sociale</w:t>
      </w:r>
    </w:p>
    <w:p>
      <w:pPr>
        <w:pStyle w:val="FirstParagraph"/>
      </w:pPr>
      <w:r>
        <w:t xml:space="preserve">L’insertion sociale des ménages est appréhendée à travers leur adhésion à des organisations et associations locales, en examinant la nature de leur engagement et leur niveau de responsabilité au sein de ces structures.</w:t>
      </w:r>
    </w:p>
    <w:bookmarkStart w:id="920" w:name="appartenance-à-une-organisation"/>
    <w:p>
      <w:pPr>
        <w:pStyle w:val="Titre3"/>
      </w:pPr>
      <w:r>
        <w:t xml:space="preserve">9.1.1 Appartenance à une organisation</w:t>
      </w:r>
    </w:p>
    <w:p>
      <w:pPr>
        <w:pStyle w:val="FirstParagraph"/>
      </w:pPr>
      <w:r>
        <w:t xml:space="preserve">Sur les 1026 ménages enquêtés, 450 (43.9 %) déclarent qu’au moins un de leurs membres appartient à une organisation ou association.</w:t>
      </w:r>
    </w:p>
    <w:p>
      <w:pPr>
        <w:pStyle w:val="Corpsdetexte"/>
      </w:pPr>
      <w:r>
        <w:t xml:space="preserve">La participation est nettement plus élevée à Marovoay qu’à Alaotra avec un taux de participation supérieur de plus de 20 points.</w:t>
      </w:r>
    </w:p>
    <w:p>
      <w:pPr>
        <w:pStyle w:val="Corpsdetexte"/>
      </w:pPr>
      <w:r>
        <w:rPr>
          <w:b/>
          <w:bCs/>
        </w:rPr>
        <w:t xml:space="preserve">Alaotra :</w:t>
      </w:r>
      <w:r>
        <w:t xml:space="preserve"> </w:t>
      </w:r>
      <w:r>
        <w:t xml:space="preserve">Seulement 32.1 % des ménages sont membres.</w:t>
      </w:r>
    </w:p>
    <w:p>
      <w:pPr>
        <w:pStyle w:val="Corpsdetexte"/>
      </w:pPr>
      <w:r>
        <w:rPr>
          <w:b/>
          <w:bCs/>
        </w:rPr>
        <w:t xml:space="preserve">Marovoay :</w:t>
      </w:r>
      <w:r>
        <w:t xml:space="preserve"> </w:t>
      </w:r>
      <w:r>
        <w:t xml:space="preserve">Une majorité de 55.3 % des ménages participent à la vie associative.</w:t>
      </w:r>
    </w:p>
    <w:tbl>
      <w:tblPr>
        <w:tblStyle w:val="Table"/>
        <w:tblW w:type="pct" w:w="5000"/>
        <w:tblLayout w:type="fixed"/>
        <w:tblLook w:firstRow="0" w:lastRow="0" w:firstColumn="0" w:lastColumn="0" w:noHBand="0" w:noVBand="0" w:val="0000"/>
      </w:tblPr>
      <w:tblGrid>
        <w:gridCol w:w="7920"/>
      </w:tblGrid>
      <w:tr>
        <w:tc>
          <w:tcPr/>
          <w:bookmarkStart w:id="919" w:name="tbl-adhesion"/>
          <w:p>
            <w:pPr>
              <w:jc w:val="center"/>
            </w:pPr>
            <w:pPr>
              <w:jc w:val="left"/>
              <w:spacing w:before="200"/>
              <w:pStyle w:val="ImageCaption"/>
            </w:pPr>
            <w:r>
              <w:t xml:space="preserve">Table 9.1: Appartenance à une organisation ou association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ayant au moins un membre dans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Membres (nb)</w:t>
                  </w:r>
                </w:p>
              </w:tc>
              <w:tc>
                <w:tcPr/>
                <w:p>
                  <w:pPr>
                    <w:pStyle w:val="Compact"/>
                    <w:jc w:val="right"/>
                    <w:jc w:val="center"/>
                  </w:pPr>
                  <w:r>
                    <w:t xml:space="preserve">Membres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163</w:t>
                  </w:r>
                </w:p>
              </w:tc>
              <w:tc>
                <w:tcPr/>
                <w:p>
                  <w:pPr>
                    <w:pStyle w:val="Compact"/>
                    <w:jc w:val="right"/>
                    <w:jc w:val="center"/>
                  </w:pPr>
                  <w:r>
                    <w:t xml:space="preserve">32.1</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287</w:t>
                  </w:r>
                </w:p>
              </w:tc>
              <w:tc>
                <w:tcPr/>
                <w:p>
                  <w:pPr>
                    <w:pStyle w:val="Compact"/>
                    <w:jc w:val="right"/>
                    <w:jc w:val="center"/>
                  </w:pPr>
                  <w:r>
                    <w:t xml:space="preserve">55.3</w:t>
                  </w:r>
                </w:p>
              </w:tc>
            </w:tr>
          </w:tbl>
          <w:bookmarkEnd w:id="919"/>
          <w:p/>
        </w:tc>
      </w:tr>
    </w:tbl>
    <w:bookmarkEnd w:id="920"/>
    <w:bookmarkStart w:id="925"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 Une minorité (moins de 5%) atteint 3 ou 4 affiliations.</w:t>
      </w:r>
    </w:p>
    <w:p>
      <w:pPr>
        <w:pStyle w:val="Corpsdetexte"/>
      </w:pPr>
      <w:r>
        <w:t xml:space="preserve">A Alaotra, la grande majorité des ménages membres, soit environ 71 %, ne sont affiliés qu’à une seule structure. L’adhésion à deux organisations concerne près de 22 % des foyers engagés, tandis que la multi-affiliation plus intensive (trois ou quatre organisations) demeure marginale, touchant moins de 8 % des membres.</w:t>
      </w:r>
    </w:p>
    <w:p>
      <w:pPr>
        <w:pStyle w:val="Corpsdetexte"/>
      </w:pPr>
      <w:r>
        <w:t xml:space="preserve">À Marovoay, 73 % des ménages membres sont affiliés à une organisation unique. Le cumul de deux affiliations est légèrement plus fréquent concernant 25 % des ménages membres. En revanche, l’appartenance à trois ou quatre organisations est exceptionnelle, ne représentant environ que 1 % des cas pour chaque catégorie.</w:t>
      </w:r>
    </w:p>
    <w:tbl>
      <w:tblPr>
        <w:tblStyle w:val="Table"/>
        <w:tblW w:type="pct" w:w="5000"/>
        <w:tblLayout w:type="fixed"/>
        <w:tblLook w:firstRow="0" w:lastRow="0" w:firstColumn="0" w:lastColumn="0" w:noHBand="0" w:noVBand="0" w:val="0000"/>
      </w:tblPr>
      <w:tblGrid>
        <w:gridCol w:w="7920"/>
      </w:tblGrid>
      <w:tr>
        <w:tc>
          <w:tcPr/>
          <w:bookmarkStart w:id="924" w:name="fig-nb-org"/>
          <w:p>
            <w:pPr>
              <w:jc w:val="center"/>
            </w:pPr>
            <w:pPr>
              <w:jc w:val="left"/>
              <w:spacing w:before="200"/>
              <w:pStyle w:val="ImageCaption"/>
            </w:pPr>
            <w:r>
              <w:t xml:space="preserve">Figure 9.1: Nombre d’organisations par ménage membre</w:t>
            </w:r>
          </w:p>
          <w:p>
            <w:pPr>
              <w:pStyle w:val="Compact"/>
              <w:jc w:val="center"/>
            </w:pPr>
            <w:r>
              <w:drawing>
                <wp:inline>
                  <wp:extent cx="5969000" cy="1492250"/>
                  <wp:effectExtent b="0" l="0" r="0" t="0"/>
                  <wp:docPr descr="" title="" id="922" name="Picture"/>
                  <a:graphic>
                    <a:graphicData uri="http://schemas.openxmlformats.org/drawingml/2006/picture">
                      <pic:pic>
                        <pic:nvPicPr>
                          <pic:cNvPr descr="09_insertion_projet_files/figure-docx/fig-nb-org-1.png" id="923" name="Picture"/>
                          <pic:cNvPicPr>
                            <a:picLocks noChangeArrowheads="1" noChangeAspect="1"/>
                          </pic:cNvPicPr>
                        </pic:nvPicPr>
                        <pic:blipFill>
                          <a:blip r:embed="rId921"/>
                          <a:stretch>
                            <a:fillRect/>
                          </a:stretch>
                        </pic:blipFill>
                        <pic:spPr bwMode="auto">
                          <a:xfrm>
                            <a:off x="0" y="0"/>
                            <a:ext cx="5969000" cy="1492250"/>
                          </a:xfrm>
                          <a:prstGeom prst="rect">
                            <a:avLst/>
                          </a:prstGeom>
                          <a:noFill/>
                          <a:ln w="9525">
                            <a:noFill/>
                            <a:headEnd/>
                            <a:tailEnd/>
                          </a:ln>
                        </pic:spPr>
                      </pic:pic>
                    </a:graphicData>
                  </a:graphic>
                </wp:inline>
              </w:drawing>
            </w:r>
          </w:p>
          <w:bookmarkEnd w:id="924"/>
        </w:tc>
      </w:tr>
    </w:tbl>
    <w:bookmarkEnd w:id="925"/>
    <w:bookmarkStart w:id="930" w:name="type-dorganisation"/>
    <w:p>
      <w:pPr>
        <w:pStyle w:val="Titre3"/>
      </w:pPr>
      <w:r>
        <w:t xml:space="preserve">9.1.3 Type d’organisation</w:t>
      </w:r>
    </w:p>
    <w:p>
      <w:pPr>
        <w:pStyle w:val="FirstParagraph"/>
      </w:pPr>
      <w:r>
        <w:t xml:space="preserve">Les profils associatifs sont radicalement différents selon la zone. 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p>
      <w:pPr>
        <w:pStyle w:val="Corpsdetexte"/>
      </w:pPr>
      <w:r>
        <w:rPr>
          <w:b/>
          <w:bCs/>
        </w:rPr>
        <w:t xml:space="preserve">Alaotra :</w:t>
      </w:r>
      <w:r>
        <w:t xml:space="preserve"> </w:t>
      </w:r>
      <w:r>
        <w:t xml:space="preserve">Les associations religieuses écrasent le paysage (environ 55 % des adhésions), suivies des associations de femmes.</w:t>
      </w:r>
    </w:p>
    <w:p>
      <w:pPr>
        <w:pStyle w:val="Corpsdetexte"/>
      </w:pPr>
      <w:r>
        <w:rPr>
          <w:b/>
          <w:bCs/>
        </w:rPr>
        <w:t xml:space="preserve">Marovoay :</w:t>
      </w:r>
      <w:r>
        <w:t xml:space="preserve"> </w:t>
      </w:r>
      <w:r>
        <w:t xml:space="preserve">Les associations villageoises d’épargne et de crédit (tontines, voamamy) sont majoritaires (près de 50 %), suivies par les « autres organisations » et les associations de femmes.</w:t>
      </w:r>
    </w:p>
    <w:tbl>
      <w:tblPr>
        <w:tblStyle w:val="Table"/>
        <w:tblW w:type="pct" w:w="5000"/>
        <w:tblLayout w:type="fixed"/>
        <w:tblLook w:firstRow="0" w:lastRow="0" w:firstColumn="0" w:lastColumn="0" w:noHBand="0" w:noVBand="0" w:val="0000"/>
      </w:tblPr>
      <w:tblGrid>
        <w:gridCol w:w="7920"/>
      </w:tblGrid>
      <w:tr>
        <w:tc>
          <w:tcPr/>
          <w:bookmarkStart w:id="929" w:name="fig-type-org"/>
          <w:p>
            <w:pPr>
              <w:jc w:val="center"/>
            </w:pPr>
            <w:pPr>
              <w:jc w:val="left"/>
              <w:spacing w:before="200"/>
              <w:pStyle w:val="ImageCaption"/>
            </w:pPr>
            <w:r>
              <w:t xml:space="preserve">Figure 9.2: Type d’organisation (toutes adhésions)</w:t>
            </w:r>
          </w:p>
          <w:p>
            <w:pPr>
              <w:pStyle w:val="Compact"/>
              <w:jc w:val="center"/>
            </w:pPr>
            <w:r>
              <w:drawing>
                <wp:inline>
                  <wp:extent cx="5969000" cy="2238375"/>
                  <wp:effectExtent b="0" l="0" r="0" t="0"/>
                  <wp:docPr descr="" title="" id="927" name="Picture"/>
                  <a:graphic>
                    <a:graphicData uri="http://schemas.openxmlformats.org/drawingml/2006/picture">
                      <pic:pic>
                        <pic:nvPicPr>
                          <pic:cNvPr descr="09_insertion_projet_files/figure-docx/fig-type-org-1.png" id="928" name="Picture"/>
                          <pic:cNvPicPr>
                            <a:picLocks noChangeArrowheads="1" noChangeAspect="1"/>
                          </pic:cNvPicPr>
                        </pic:nvPicPr>
                        <pic:blipFill>
                          <a:blip r:embed="rId926"/>
                          <a:stretch>
                            <a:fillRect/>
                          </a:stretch>
                        </pic:blipFill>
                        <pic:spPr bwMode="auto">
                          <a:xfrm>
                            <a:off x="0" y="0"/>
                            <a:ext cx="5969000" cy="2238375"/>
                          </a:xfrm>
                          <a:prstGeom prst="rect">
                            <a:avLst/>
                          </a:prstGeom>
                          <a:noFill/>
                          <a:ln w="9525">
                            <a:noFill/>
                            <a:headEnd/>
                            <a:tailEnd/>
                          </a:ln>
                        </pic:spPr>
                      </pic:pic>
                    </a:graphicData>
                  </a:graphic>
                </wp:inline>
              </w:drawing>
            </w:r>
          </w:p>
          <w:bookmarkEnd w:id="929"/>
        </w:tc>
      </w:tr>
    </w:tbl>
    <w:bookmarkEnd w:id="930"/>
    <w:bookmarkStart w:id="935"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p>
      <w:pPr>
        <w:pStyle w:val="Corpsdetexte"/>
      </w:pPr>
      <w:r>
        <w:t xml:space="preserve">Pour Alaotra, le conjoint et le chef de ménage représentent chacun environ 41 à 42 % des affiliations. La participation des autres membres du ménage est notable avec 16.3 % des adhésions. Ce qui témoigne d’une insertion sociale plus large des différents membres de la famille par rapport à l’autre site.</w:t>
      </w:r>
    </w:p>
    <w:p>
      <w:pPr>
        <w:pStyle w:val="Corpsdetexte"/>
      </w:pPr>
      <w:r>
        <w:t xml:space="preserve">Pour Marovoay, l’insertion sociale est presque exclusivement réservée aux adultes à la tête du foyer (plus de 94 % des membres affiliés). Le conjoint est le membre le plus fréquemment membre d’une organisation (49.5 %) suivi de près par le chef de ménage (45.3 %). Ne représentant que 5.2 % des affiliations, la participation des jeunes ou des autres membres de la famille est négligeable.</w:t>
      </w:r>
    </w:p>
    <w:tbl>
      <w:tblPr>
        <w:tblStyle w:val="Table"/>
        <w:tblW w:type="pct" w:w="5000"/>
        <w:tblLayout w:type="fixed"/>
        <w:tblLook w:firstRow="0" w:lastRow="0" w:firstColumn="0" w:lastColumn="0" w:noHBand="0" w:noVBand="0" w:val="0000"/>
      </w:tblPr>
      <w:tblGrid>
        <w:gridCol w:w="7920"/>
      </w:tblGrid>
      <w:tr>
        <w:tc>
          <w:tcPr/>
          <w:bookmarkStart w:id="934" w:name="fig-qui-membre"/>
          <w:p>
            <w:pPr>
              <w:jc w:val="center"/>
            </w:pPr>
            <w:pPr>
              <w:jc w:val="left"/>
              <w:spacing w:before="200"/>
              <w:pStyle w:val="ImageCaption"/>
            </w:pPr>
            <w:r>
              <w:t xml:space="preserve">Figure 9.3: Membre du ménage affilié à l’organisation</w:t>
            </w:r>
          </w:p>
          <w:p>
            <w:pPr>
              <w:pStyle w:val="Compact"/>
              <w:jc w:val="center"/>
            </w:pPr>
            <w:r>
              <w:drawing>
                <wp:inline>
                  <wp:extent cx="5969000" cy="1492250"/>
                  <wp:effectExtent b="0" l="0" r="0" t="0"/>
                  <wp:docPr descr="" title="" id="932" name="Picture"/>
                  <a:graphic>
                    <a:graphicData uri="http://schemas.openxmlformats.org/drawingml/2006/picture">
                      <pic:pic>
                        <pic:nvPicPr>
                          <pic:cNvPr descr="09_insertion_projet_files/figure-docx/fig-qui-membre-1.png" id="933" name="Picture"/>
                          <pic:cNvPicPr>
                            <a:picLocks noChangeArrowheads="1" noChangeAspect="1"/>
                          </pic:cNvPicPr>
                        </pic:nvPicPr>
                        <pic:blipFill>
                          <a:blip r:embed="rId931"/>
                          <a:stretch>
                            <a:fillRect/>
                          </a:stretch>
                        </pic:blipFill>
                        <pic:spPr bwMode="auto">
                          <a:xfrm>
                            <a:off x="0" y="0"/>
                            <a:ext cx="5969000" cy="1492250"/>
                          </a:xfrm>
                          <a:prstGeom prst="rect">
                            <a:avLst/>
                          </a:prstGeom>
                          <a:noFill/>
                          <a:ln w="9525">
                            <a:noFill/>
                            <a:headEnd/>
                            <a:tailEnd/>
                          </a:ln>
                        </pic:spPr>
                      </pic:pic>
                    </a:graphicData>
                  </a:graphic>
                </wp:inline>
              </w:drawing>
            </w:r>
          </w:p>
          <w:bookmarkEnd w:id="934"/>
        </w:tc>
      </w:tr>
    </w:tbl>
    <w:bookmarkEnd w:id="935"/>
    <w:bookmarkStart w:id="940"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p>
      <w:pPr>
        <w:pStyle w:val="Corpsdetexte"/>
      </w:pPr>
      <w:r>
        <w:t xml:space="preserve">A Alaotra, 60% des affiliations correspondent à des membres se déclarant occasionnels. La proportion d’individus occupant des fonctions de responsable s’établit à 21%, tandis que les membres actifs représentent approximativement 19% des adhésions enregistrées.</w:t>
      </w:r>
    </w:p>
    <w:p>
      <w:pPr>
        <w:pStyle w:val="Corpsdetexte"/>
      </w:pPr>
      <w:r>
        <w:t xml:space="preserve">A Marovoay, les membres occasionnels constituent la grande majorité des effectifs, représentant 81.0% des adhésions totales. En revanche, l’encadrement des structures est assuré par une minorité de responsables qui comptent pour 13% des membres, alors que la part des membres actifs est particulièrement réduite avec seulement 6% des cas identifiés.</w:t>
      </w:r>
    </w:p>
    <w:tbl>
      <w:tblPr>
        <w:tblStyle w:val="Table"/>
        <w:tblW w:type="pct" w:w="5000"/>
        <w:tblLayout w:type="fixed"/>
        <w:tblLook w:firstRow="0" w:lastRow="0" w:firstColumn="0" w:lastColumn="0" w:noHBand="0" w:noVBand="0" w:val="0000"/>
      </w:tblPr>
      <w:tblGrid>
        <w:gridCol w:w="7920"/>
      </w:tblGrid>
      <w:tr>
        <w:tc>
          <w:tcPr/>
          <w:bookmarkStart w:id="939" w:name="fig-responsabilite"/>
          <w:p>
            <w:pPr>
              <w:jc w:val="center"/>
            </w:pPr>
            <w:pPr>
              <w:jc w:val="left"/>
              <w:spacing w:before="200"/>
              <w:pStyle w:val="ImageCaption"/>
            </w:pPr>
            <w:r>
              <w:t xml:space="preserve">Figure 9.4: Niveau de responsabilité dans l’organisation</w:t>
            </w:r>
          </w:p>
          <w:p>
            <w:pPr>
              <w:pStyle w:val="Compact"/>
              <w:jc w:val="center"/>
            </w:pPr>
            <w:r>
              <w:drawing>
                <wp:inline>
                  <wp:extent cx="5969000" cy="2238375"/>
                  <wp:effectExtent b="0" l="0" r="0" t="0"/>
                  <wp:docPr descr="" title="" id="937" name="Picture"/>
                  <a:graphic>
                    <a:graphicData uri="http://schemas.openxmlformats.org/drawingml/2006/picture">
                      <pic:pic>
                        <pic:nvPicPr>
                          <pic:cNvPr descr="09_insertion_projet_files/figure-docx/fig-responsabilite-1.png" id="938" name="Picture"/>
                          <pic:cNvPicPr>
                            <a:picLocks noChangeArrowheads="1" noChangeAspect="1"/>
                          </pic:cNvPicPr>
                        </pic:nvPicPr>
                        <pic:blipFill>
                          <a:blip r:embed="rId936"/>
                          <a:stretch>
                            <a:fillRect/>
                          </a:stretch>
                        </pic:blipFill>
                        <pic:spPr bwMode="auto">
                          <a:xfrm>
                            <a:off x="0" y="0"/>
                            <a:ext cx="5969000" cy="2238375"/>
                          </a:xfrm>
                          <a:prstGeom prst="rect">
                            <a:avLst/>
                          </a:prstGeom>
                          <a:noFill/>
                          <a:ln w="9525">
                            <a:noFill/>
                            <a:headEnd/>
                            <a:tailEnd/>
                          </a:ln>
                        </pic:spPr>
                      </pic:pic>
                    </a:graphicData>
                  </a:graphic>
                </wp:inline>
              </w:drawing>
            </w:r>
          </w:p>
          <w:bookmarkEnd w:id="939"/>
        </w:tc>
      </w:tr>
    </w:tbl>
    <w:bookmarkEnd w:id="940"/>
    <w:bookmarkEnd w:id="941"/>
    <w:bookmarkStart w:id="957" w:name="sec-projets"/>
    <w:p>
      <w:pPr>
        <w:pStyle w:val="Titre2"/>
      </w:pPr>
      <w:r>
        <w:t xml:space="preserve">9.2 Accès des ménages aux projets</w:t>
      </w:r>
    </w:p>
    <w:p>
      <w:pPr>
        <w:pStyle w:val="FirstParagraph"/>
      </w:pPr>
      <w:r>
        <w:t xml:space="preserve">L’accès des ménages aux programmes de développement est évalué à travers le bénéfice de projets ou de formations dans divers domaines d’activité, en précisant la nature des interventions et l’origine de leur financement.</w:t>
      </w:r>
    </w:p>
    <w:p>
      <w:pPr>
        <w:pStyle w:val="Corpsdetexte"/>
      </w:pPr>
      <w:r>
        <w:t xml:space="preserve">Le questionnaire demande aux ménages s’ils ont bénéficié de projets ou de formations dans huit domaines : agriculture, élevage et pêche, nutrition, éducation et santé, environnement, tourisme, autres productions et travaux à haute intensité de main d’œuvre (HIMO).</w:t>
      </w:r>
    </w:p>
    <w:bookmarkStart w:id="945" w:name="bénéficiaires-de-projets"/>
    <w:p>
      <w:pPr>
        <w:pStyle w:val="Titre3"/>
      </w:pPr>
      <w:r>
        <w:t xml:space="preserve">9.2.1 Bénéficiaires de projets</w:t>
      </w:r>
    </w:p>
    <w:p>
      <w:pPr>
        <w:pStyle w:val="FirstParagraph"/>
      </w:pPr>
      <w:r>
        <w:t xml:space="preserve">L’accès aux projets de développement reste inégal selon les localités.</w:t>
      </w:r>
    </w:p>
    <w:p>
      <w:pPr>
        <w:pStyle w:val="Corpsdetexte"/>
      </w:pPr>
      <w:r>
        <w:t xml:space="preserve">Dans l’Alaotra, 22.2 % des ménages déclarent avoir bénéficié d’au moins un projet ou d’une formation.</w:t>
      </w:r>
      <w:r>
        <w:t xml:space="preserve"> </w:t>
      </w:r>
      <w:r>
        <w:rPr>
          <w:b/>
          <w:bCs/>
        </w:rPr>
        <w:t xml:space="preserve">A VERIFIER LA VALEUR 20%</w:t>
      </w:r>
    </w:p>
    <w:p>
      <w:pPr>
        <w:pStyle w:val="Corpsdetexte"/>
      </w:pPr>
      <w:r>
        <w:t xml:space="preserve">A Marovoay, 25.8 % des ménages déclarent avoir bénéficié d’au moins un projet ou d’une formation.</w:t>
      </w:r>
      <w:r>
        <w:t xml:space="preserve"> </w:t>
      </w:r>
      <w:r>
        <w:rPr>
          <w:b/>
          <w:bCs/>
        </w:rPr>
        <w:t xml:space="preserve">A VERIFIER LA VALEUR 25%</w:t>
      </w:r>
    </w:p>
    <w:p>
      <w:pPr>
        <w:pStyle w:val="CaptionedFigure"/>
      </w:pPr>
      <w:r>
        <w:drawing>
          <wp:inline>
            <wp:extent cx="4620126" cy="3696101"/>
            <wp:effectExtent b="0" l="0" r="0" t="0"/>
            <wp:docPr descr="Ménages bénéficiaires de projets ou formations" title="" id="943" name="Picture"/>
            <a:graphic>
              <a:graphicData uri="http://schemas.openxmlformats.org/drawingml/2006/picture">
                <pic:pic>
                  <pic:nvPicPr>
                    <pic:cNvPr descr="09_insertion_projet_files/figure-docx/fig_pro1-1.png" id="944" name="Picture"/>
                    <pic:cNvPicPr>
                      <a:picLocks noChangeArrowheads="1" noChangeAspect="1"/>
                    </pic:cNvPicPr>
                  </pic:nvPicPr>
                  <pic:blipFill>
                    <a:blip r:embed="rId94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Ménages bénéficiaires de projets ou formations</w:t>
      </w:r>
    </w:p>
    <w:bookmarkEnd w:id="945"/>
    <w:bookmarkStart w:id="950"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w:t>
      </w:r>
    </w:p>
    <w:p>
      <w:pPr>
        <w:pStyle w:val="Corpsdetexte"/>
      </w:pPr>
      <w:r>
        <w:t xml:space="preserve">A Alaotra, les projets portant sur l’éducation et la santé constituent la principale forme d’assistance, bénéficiant à 56.4% des ménages ayant eu accès à un programme de développement. Le soutien à l’agriculture représente le second axe majeur avec un taux de 43.4%, suivi de près par les actions liées à la nutrition qui touchent 39.4% des bénéficiaires. À l’inverse, les thématiques environnementales (8.6%) et celles relatives à l’élevage ou à la pêche (5.4%) occupent une place secondaire, tandis qu’aucune intervention n’est enregistrée dans le secteur du tourisme ou pour d’autres types de productions.</w:t>
      </w:r>
    </w:p>
    <w:p>
      <w:pPr>
        <w:pStyle w:val="Corpsdetexte"/>
      </w:pPr>
      <w:r>
        <w:t xml:space="preserve">A Marovoay, les interventions en éducation et santé sont les plus fréquentes concernant 40.8% des ménages bénéficiaires, suivies immédiatement par la catégorie des autres projets incluant les activités de type HIMO à hauteur de 39.6%. La nutrition et l’agriculture constituent également des piliers importants de l’assistance avec des taux respectifs de 32.0% et 23.7%. Bien que le secteur touristique demeure totalement inexploré, les domaines de l’environnement (9.3%), de l’élevage ou de la pêche (7.5%) ainsi que les autres productions (6.6%) complètent un éventail d’interventions plus diversifié.</w:t>
      </w:r>
    </w:p>
    <w:tbl>
      <w:tblPr>
        <w:tblStyle w:val="Table"/>
        <w:tblW w:type="pct" w:w="5000"/>
        <w:tblLayout w:type="fixed"/>
        <w:tblLook w:firstRow="0" w:lastRow="0" w:firstColumn="0" w:lastColumn="0" w:noHBand="0" w:noVBand="0" w:val="0000"/>
      </w:tblPr>
      <w:tblGrid>
        <w:gridCol w:w="7920"/>
      </w:tblGrid>
      <w:tr>
        <w:tc>
          <w:tcPr/>
          <w:bookmarkStart w:id="949" w:name="fig-benef-type"/>
          <w:p>
            <w:pPr>
              <w:jc w:val="center"/>
            </w:pPr>
            <w:pPr>
              <w:jc w:val="left"/>
              <w:spacing w:before="200"/>
              <w:pStyle w:val="ImageCaption"/>
            </w:pPr>
            <w:r>
              <w:t xml:space="preserve">Figure 9.5: Taux de ménages bénéficiaires par type de projet</w:t>
            </w:r>
          </w:p>
          <w:p>
            <w:pPr>
              <w:pStyle w:val="Compact"/>
              <w:jc w:val="center"/>
            </w:pPr>
            <w:r>
              <w:drawing>
                <wp:inline>
                  <wp:extent cx="5969000" cy="2238375"/>
                  <wp:effectExtent b="0" l="0" r="0" t="0"/>
                  <wp:docPr descr="" title="" id="947" name="Picture"/>
                  <a:graphic>
                    <a:graphicData uri="http://schemas.openxmlformats.org/drawingml/2006/picture">
                      <pic:pic>
                        <pic:nvPicPr>
                          <pic:cNvPr descr="09_insertion_projet_files/figure-docx/fig-benef-type-1.png" id="948" name="Picture"/>
                          <pic:cNvPicPr>
                            <a:picLocks noChangeArrowheads="1" noChangeAspect="1"/>
                          </pic:cNvPicPr>
                        </pic:nvPicPr>
                        <pic:blipFill>
                          <a:blip r:embed="rId946"/>
                          <a:stretch>
                            <a:fillRect/>
                          </a:stretch>
                        </pic:blipFill>
                        <pic:spPr bwMode="auto">
                          <a:xfrm>
                            <a:off x="0" y="0"/>
                            <a:ext cx="5969000" cy="2238375"/>
                          </a:xfrm>
                          <a:prstGeom prst="rect">
                            <a:avLst/>
                          </a:prstGeom>
                          <a:noFill/>
                          <a:ln w="9525">
                            <a:noFill/>
                            <a:headEnd/>
                            <a:tailEnd/>
                          </a:ln>
                        </pic:spPr>
                      </pic:pic>
                    </a:graphicData>
                  </a:graphic>
                </wp:inline>
              </w:drawing>
            </w:r>
          </w:p>
          <w:bookmarkEnd w:id="949"/>
        </w:tc>
      </w:tr>
    </w:tbl>
    <w:bookmarkEnd w:id="950"/>
    <w:bookmarkStart w:id="956"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p>
      <w:pPr>
        <w:pStyle w:val="Corpsdetexte"/>
      </w:pPr>
      <w:r>
        <w:t xml:space="preserve">A Alaotra, l’État constitue le principal pilier des services sociaux et des programmes de travaux, assurant le financement de 100.0% des ménages engagés dans les projets de type HIMO, environ 95.0% de ceux bénéficiant d’actions en éducation et santé, et 92.0% dans le domaine de la nutrition. À l’inverse, les organisations non gouvernementales et les projets de développement dominent le soutien au secteur productif, finançant 81.0% des bénéficiaires en agriculture et 50.0% des initiatives environnementales. Le secteur de l’élevage et de la pêche présente une configuration mixte où l’État intervient à hauteur de 60.0% contre 40.0% pour les ONG. La contribution des structures confessionnelles demeure négligeable, avec une présence marginale uniquement relevée dans le secteur agricole.</w:t>
      </w:r>
    </w:p>
    <w:p>
      <w:pPr>
        <w:pStyle w:val="Corpsdetexte"/>
      </w:pPr>
      <w:r>
        <w:t xml:space="preserve">A Marovoay, les ONG et projets de développement financent ainsi environ 86.0% des ménages bénéficiaires dans les catégories de l’élevage et de la pêche ainsi que pour les projets de type HIMO. Cette domination des organismes internationaux et associatifs se retrouve également dans les autres productions (83.0%) et dans l’agriculture (78.0%). L’État conserve sa mission prioritaire dans les secteurs sociaux en prenant en charge 92.0% des bénéficiaires en éducation et santé et 88.0% en nutrition. Le domaine de l’environnement affiche une structure plus équilibrée avec 45.0% de financements étatiques et 33.0% issus des ONG. L’implication de l’Église reste extrêmement limitée, ne représentant qu’une source mineure de l’ordre de 3.0% pour les projets divers.</w:t>
      </w:r>
    </w:p>
    <w:tbl>
      <w:tblPr>
        <w:tblStyle w:val="Table"/>
        <w:tblW w:type="pct" w:w="5000"/>
        <w:tblLayout w:type="fixed"/>
        <w:tblLook w:firstRow="0" w:lastRow="0" w:firstColumn="0" w:lastColumn="0" w:noHBand="0" w:noVBand="0" w:val="0000"/>
      </w:tblPr>
      <w:tblGrid>
        <w:gridCol w:w="7920"/>
      </w:tblGrid>
      <w:tr>
        <w:tc>
          <w:tcPr/>
          <w:bookmarkStart w:id="954" w:name="fig-source-projet"/>
          <w:p>
            <w:pPr>
              <w:jc w:val="center"/>
            </w:pPr>
            <w:pPr>
              <w:jc w:val="left"/>
              <w:spacing w:before="200"/>
              <w:pStyle w:val="ImageCaption"/>
            </w:pPr>
            <w:r>
              <w:t xml:space="preserve">Figure 9.6: Source des projets pour les ménages bénéficiaires</w:t>
            </w:r>
          </w:p>
          <w:p>
            <w:pPr>
              <w:pStyle w:val="Compact"/>
              <w:jc w:val="center"/>
            </w:pPr>
            <w:r>
              <w:drawing>
                <wp:inline>
                  <wp:extent cx="5969000" cy="2984500"/>
                  <wp:effectExtent b="0" l="0" r="0" t="0"/>
                  <wp:docPr descr="" title="" id="952" name="Picture"/>
                  <a:graphic>
                    <a:graphicData uri="http://schemas.openxmlformats.org/drawingml/2006/picture">
                      <pic:pic>
                        <pic:nvPicPr>
                          <pic:cNvPr descr="09_insertion_projet_files/figure-docx/fig-source-projet-1.png" id="953" name="Picture"/>
                          <pic:cNvPicPr>
                            <a:picLocks noChangeArrowheads="1" noChangeAspect="1"/>
                          </pic:cNvPicPr>
                        </pic:nvPicPr>
                        <pic:blipFill>
                          <a:blip r:embed="rId951"/>
                          <a:stretch>
                            <a:fillRect/>
                          </a:stretch>
                        </pic:blipFill>
                        <pic:spPr bwMode="auto">
                          <a:xfrm>
                            <a:off x="0" y="0"/>
                            <a:ext cx="5969000" cy="2984500"/>
                          </a:xfrm>
                          <a:prstGeom prst="rect">
                            <a:avLst/>
                          </a:prstGeom>
                          <a:noFill/>
                          <a:ln w="9525">
                            <a:noFill/>
                            <a:headEnd/>
                            <a:tailEnd/>
                          </a:ln>
                        </pic:spPr>
                      </pic:pic>
                    </a:graphicData>
                  </a:graphic>
                </wp:inline>
              </w:drawing>
            </w:r>
          </w:p>
          <w:bookmarkEnd w:id="954"/>
        </w:tc>
      </w:tr>
    </w:tbl>
    <w:p>
      <w:pPr>
        <w:pStyle w:val="Corpsdetexte"/>
      </w:pPr>
      <w:r>
        <w:t xml:space="preserve">A Alaotra révèle une prédominance marquée des financements publics. L’État constitue le principal pilier de l’aide au développement dans cette zone, intervenant auprès de 71.8% des bénéficiaires recensés. Les organisations non gouvernementales représentent la seconde source de soutien, touchant 32.2% de ces ménages. La contribution des structures confessionnelles demeure quant à elle marginale, avec un seul cas enregistré dans l’échantillon.</w:t>
      </w:r>
    </w:p>
    <w:p>
      <w:pPr>
        <w:pStyle w:val="Corpsdetexte"/>
      </w:pPr>
      <w:r>
        <w:t xml:space="preserve">A Marovoay, l’État assure le financement des interventions pour 66.9% des ménages bénéficiaires. En parallèle, les organisations non gouvernementales jouent un rôle significatif en appuyant 43.0% des ménages assistés. Les institutions religieuses ne constituent qu’une source de financement exceptionnelle, ne concernant qu’un seul ménage de l’échantillon.</w:t>
      </w:r>
    </w:p>
    <w:tbl>
      <w:tblPr>
        <w:tblStyle w:val="Table"/>
        <w:tblW w:type="pct" w:w="5000"/>
        <w:tblLayout w:type="fixed"/>
        <w:tblLook w:firstRow="0" w:lastRow="0" w:firstColumn="0" w:lastColumn="0" w:noHBand="0" w:noVBand="0" w:val="0000"/>
      </w:tblPr>
      <w:tblGrid>
        <w:gridCol w:w="7920"/>
      </w:tblGrid>
      <w:tr>
        <w:tc>
          <w:tcPr/>
          <w:bookmarkStart w:id="955" w:name="tbl-source-global"/>
          <w:p>
            <w:pPr>
              <w:jc w:val="center"/>
            </w:pPr>
            <w:pPr>
              <w:jc w:val="left"/>
              <w:spacing w:before="200"/>
              <w:pStyle w:val="ImageCaption"/>
            </w:pPr>
            <w:r>
              <w:t xml:space="preserve">Table 9.2: Source des projets (tous types confondus)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jc w:val="center"/>
                  </w:pPr>
                  <w:r>
                    <w:t xml:space="preserve">Source des projets pour les ménages bénéficiaires</w:t>
                  </w:r>
                </w:p>
              </w:tc>
            </w:tr>
            <w:tr>
              <w:trPr>
                <w:tblHeader w:val="on"/>
              </w:trPr>
              <w:tc>
                <w:tcPr/>
                <w:p>
                  <w:pPr>
                    <w:pStyle w:val="Compact"/>
                    <w:jc w:val="left"/>
                    <w:jc w:val="center"/>
                  </w:pPr>
                  <w:r>
                    <w:t xml:space="preserve">Observatory</w:t>
                  </w:r>
                </w:p>
              </w:tc>
              <w:tc>
                <w:tcPr/>
                <w:p>
                  <w:pPr>
                    <w:pStyle w:val="Compact"/>
                    <w:jc w:val="right"/>
                    <w:jc w:val="center"/>
                  </w:pPr>
                  <w:r>
                    <w:t xml:space="preserve">Total bénéficiaires</w:t>
                  </w:r>
                </w:p>
              </w:tc>
              <w:tc>
                <w:tcPr/>
                <w:p>
                  <w:pPr>
                    <w:pStyle w:val="Compact"/>
                    <w:jc w:val="right"/>
                    <w:jc w:val="center"/>
                  </w:pPr>
                  <w:r>
                    <w:t xml:space="preserve">État (nb)</w:t>
                  </w:r>
                </w:p>
              </w:tc>
              <w:tc>
                <w:tcPr/>
                <w:p>
                  <w:pPr>
                    <w:pStyle w:val="Compact"/>
                    <w:jc w:val="right"/>
                    <w:jc w:val="center"/>
                  </w:pPr>
                  <w:r>
                    <w:t xml:space="preserve">État (%)</w:t>
                  </w:r>
                </w:p>
              </w:tc>
              <w:tc>
                <w:tcPr/>
                <w:p>
                  <w:pPr>
                    <w:pStyle w:val="Compact"/>
                    <w:jc w:val="right"/>
                    <w:jc w:val="center"/>
                  </w:pPr>
                  <w:r>
                    <w:t xml:space="preserve">ONG/Projet (nb)</w:t>
                  </w:r>
                </w:p>
              </w:tc>
              <w:tc>
                <w:tcPr/>
                <w:p>
                  <w:pPr>
                    <w:pStyle w:val="Compact"/>
                    <w:jc w:val="right"/>
                    <w:jc w:val="center"/>
                  </w:pPr>
                  <w:r>
                    <w:t xml:space="preserve">ONG/Projet (%)</w:t>
                  </w:r>
                </w:p>
              </w:tc>
              <w:tc>
                <w:tcPr/>
                <w:p>
                  <w:pPr>
                    <w:pStyle w:val="Compact"/>
                    <w:jc w:val="right"/>
                    <w:jc w:val="center"/>
                  </w:pPr>
                  <w:r>
                    <w:t xml:space="preserve">Église (nb)</w:t>
                  </w:r>
                </w:p>
              </w:tc>
            </w:tr>
            <w:tr>
              <w:tc>
                <w:tcPr/>
                <w:p>
                  <w:pPr>
                    <w:pStyle w:val="Compact"/>
                    <w:jc w:val="left"/>
                    <w:jc w:val="center"/>
                  </w:pPr>
                  <w:r>
                    <w:t xml:space="preserve">Alaotra</w:t>
                  </w:r>
                </w:p>
              </w:tc>
              <w:tc>
                <w:tcPr/>
                <w:p>
                  <w:pPr>
                    <w:pStyle w:val="Compact"/>
                    <w:jc w:val="right"/>
                    <w:jc w:val="center"/>
                  </w:pPr>
                  <w:r>
                    <w:t xml:space="preserve">149</w:t>
                  </w:r>
                </w:p>
              </w:tc>
              <w:tc>
                <w:tcPr/>
                <w:p>
                  <w:pPr>
                    <w:pStyle w:val="Compact"/>
                    <w:jc w:val="right"/>
                    <w:jc w:val="center"/>
                  </w:pPr>
                  <w:r>
                    <w:t xml:space="preserve">107</w:t>
                  </w:r>
                </w:p>
              </w:tc>
              <w:tc>
                <w:tcPr/>
                <w:p>
                  <w:pPr>
                    <w:pStyle w:val="Compact"/>
                    <w:jc w:val="right"/>
                    <w:jc w:val="center"/>
                  </w:pPr>
                  <w:r>
                    <w:t xml:space="preserve">71.8</w:t>
                  </w:r>
                </w:p>
              </w:tc>
              <w:tc>
                <w:tcPr/>
                <w:p>
                  <w:pPr>
                    <w:pStyle w:val="Compact"/>
                    <w:jc w:val="right"/>
                    <w:jc w:val="center"/>
                  </w:pPr>
                  <w:r>
                    <w:t xml:space="preserve">48</w:t>
                  </w:r>
                </w:p>
              </w:tc>
              <w:tc>
                <w:tcPr/>
                <w:p>
                  <w:pPr>
                    <w:pStyle w:val="Compact"/>
                    <w:jc w:val="right"/>
                    <w:jc w:val="center"/>
                  </w:pPr>
                  <w:r>
                    <w:t xml:space="preserve">32.2</w:t>
                  </w:r>
                </w:p>
              </w:tc>
              <w:tc>
                <w:tcPr/>
                <w:p>
                  <w:pPr>
                    <w:pStyle w:val="Compact"/>
                    <w:jc w:val="right"/>
                    <w:jc w:val="center"/>
                  </w:pPr>
                  <w:r>
                    <w:t xml:space="preserve">1</w:t>
                  </w:r>
                </w:p>
              </w:tc>
            </w:tr>
            <w:tr>
              <w:tc>
                <w:tcPr/>
                <w:p>
                  <w:pPr>
                    <w:pStyle w:val="Compact"/>
                    <w:jc w:val="left"/>
                    <w:jc w:val="center"/>
                  </w:pPr>
                  <w:r>
                    <w:t xml:space="preserve">Marovoay</w:t>
                  </w:r>
                </w:p>
              </w:tc>
              <w:tc>
                <w:tcPr/>
                <w:p>
                  <w:pPr>
                    <w:pStyle w:val="Compact"/>
                    <w:jc w:val="right"/>
                    <w:jc w:val="center"/>
                  </w:pPr>
                  <w:r>
                    <w:t xml:space="preserve">172</w:t>
                  </w:r>
                </w:p>
              </w:tc>
              <w:tc>
                <w:tcPr/>
                <w:p>
                  <w:pPr>
                    <w:pStyle w:val="Compact"/>
                    <w:jc w:val="right"/>
                    <w:jc w:val="center"/>
                  </w:pPr>
                  <w:r>
                    <w:t xml:space="preserve">115</w:t>
                  </w:r>
                </w:p>
              </w:tc>
              <w:tc>
                <w:tcPr/>
                <w:p>
                  <w:pPr>
                    <w:pStyle w:val="Compact"/>
                    <w:jc w:val="right"/>
                    <w:jc w:val="center"/>
                  </w:pPr>
                  <w:r>
                    <w:t xml:space="preserve">66.9</w:t>
                  </w:r>
                </w:p>
              </w:tc>
              <w:tc>
                <w:tcPr/>
                <w:p>
                  <w:pPr>
                    <w:pStyle w:val="Compact"/>
                    <w:jc w:val="right"/>
                    <w:jc w:val="center"/>
                  </w:pPr>
                  <w:r>
                    <w:t xml:space="preserve">74</w:t>
                  </w:r>
                </w:p>
              </w:tc>
              <w:tc>
                <w:tcPr/>
                <w:p>
                  <w:pPr>
                    <w:pStyle w:val="Compact"/>
                    <w:jc w:val="right"/>
                    <w:jc w:val="center"/>
                  </w:pPr>
                  <w:r>
                    <w:t xml:space="preserve">43.0</w:t>
                  </w:r>
                </w:p>
              </w:tc>
              <w:tc>
                <w:tcPr/>
                <w:p>
                  <w:pPr>
                    <w:pStyle w:val="Compact"/>
                    <w:jc w:val="right"/>
                    <w:jc w:val="center"/>
                  </w:pPr>
                  <w:r>
                    <w:t xml:space="preserve">1</w:t>
                  </w:r>
                </w:p>
              </w:tc>
            </w:tr>
          </w:tbl>
          <w:bookmarkEnd w:id="955"/>
          <w:p/>
        </w:tc>
      </w:tr>
    </w:tbl>
    <w:bookmarkEnd w:id="956"/>
    <w:bookmarkEnd w:id="957"/>
    <w:bookmarkStart w:id="962"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Dans l’Alaotra, 32.1 %</w:t>
      </w:r>
      <w:r>
        <w:t xml:space="preserve"> </w:t>
      </w:r>
      <w:r>
        <w:rPr>
          <w:b/>
          <w:bCs/>
        </w:rPr>
        <w:t xml:space="preserve">(??27.5%)</w:t>
      </w:r>
      <w:r>
        <w:t xml:space="preserve"> </w:t>
      </w:r>
      <w:r>
        <w:t xml:space="preserve">des ménages sont membres d’une organisation.</w:t>
      </w:r>
    </w:p>
    <w:p>
      <w:pPr>
        <w:pStyle w:val="Corpsdetexte"/>
      </w:pPr>
      <w:r>
        <w:t xml:space="preserve">A Marovoay, 55.3 %</w:t>
      </w:r>
      <w:r>
        <w:t xml:space="preserve"> </w:t>
      </w:r>
      <w:r>
        <w:rPr>
          <w:b/>
          <w:bCs/>
        </w:rPr>
        <w:t xml:space="preserve">(??35.4% )</w:t>
      </w:r>
      <w:r>
        <w:t xml:space="preserve"> </w:t>
      </w:r>
      <w:r>
        <w:t xml:space="preserve">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958" w:name="tbl-croisement"/>
          <w:p>
            <w:pPr>
              <w:jc w:val="center"/>
            </w:pPr>
            <w:pPr>
              <w:jc w:val="left"/>
              <w:spacing w:before="200"/>
              <w:pStyle w:val="ImageCaption"/>
            </w:pPr>
            <w:r>
              <w:t xml:space="preserve">Table 9.3: Accès aux projets selon l’appartenance à une organisation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 de ménages bénéficiaires de projets selon l'appartenance à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 (non membres)</w:t>
                  </w:r>
                </w:p>
              </w:tc>
              <w:tc>
                <w:tcPr/>
                <w:p>
                  <w:pPr>
                    <w:pStyle w:val="Compact"/>
                    <w:jc w:val="right"/>
                    <w:jc w:val="center"/>
                  </w:pPr>
                  <w:r>
                    <w:t xml:space="preserve">N (membres)</w:t>
                  </w:r>
                </w:p>
              </w:tc>
              <w:tc>
                <w:tcPr/>
                <w:p>
                  <w:pPr>
                    <w:pStyle w:val="Compact"/>
                    <w:jc w:val="right"/>
                    <w:jc w:val="center"/>
                  </w:pPr>
                  <w:r>
                    <w:t xml:space="preserve">Bénéf. (%) non membres</w:t>
                  </w:r>
                </w:p>
              </w:tc>
              <w:tc>
                <w:tcPr/>
                <w:p>
                  <w:pPr>
                    <w:pStyle w:val="Compact"/>
                    <w:jc w:val="right"/>
                    <w:jc w:val="center"/>
                  </w:pPr>
                  <w:r>
                    <w:t xml:space="preserve">Bénéf. (%) membres</w:t>
                  </w:r>
                </w:p>
              </w:tc>
            </w:tr>
            <w:tr>
              <w:tc>
                <w:tcPr/>
                <w:p>
                  <w:pPr>
                    <w:pStyle w:val="Compact"/>
                    <w:jc w:val="left"/>
                    <w:jc w:val="center"/>
                  </w:pPr>
                  <w:r>
                    <w:t xml:space="preserve">Alaotra</w:t>
                  </w:r>
                </w:p>
              </w:tc>
              <w:tc>
                <w:tcPr/>
                <w:p>
                  <w:pPr>
                    <w:pStyle w:val="Compact"/>
                    <w:jc w:val="right"/>
                    <w:jc w:val="center"/>
                  </w:pPr>
                  <w:r>
                    <w:t xml:space="preserve">307</w:t>
                  </w:r>
                </w:p>
              </w:tc>
              <w:tc>
                <w:tcPr/>
                <w:p>
                  <w:pPr>
                    <w:pStyle w:val="Compact"/>
                    <w:jc w:val="right"/>
                    <w:jc w:val="center"/>
                  </w:pPr>
                  <w:r>
                    <w:t xml:space="preserve">153</w:t>
                  </w:r>
                </w:p>
              </w:tc>
              <w:tc>
                <w:tcPr/>
                <w:p>
                  <w:pPr>
                    <w:pStyle w:val="Compact"/>
                    <w:jc w:val="right"/>
                    <w:jc w:val="center"/>
                  </w:pPr>
                  <w:r>
                    <w:t xml:space="preserve">19.5</w:t>
                  </w:r>
                </w:p>
              </w:tc>
              <w:tc>
                <w:tcPr/>
                <w:p>
                  <w:pPr>
                    <w:pStyle w:val="Compact"/>
                    <w:jc w:val="right"/>
                    <w:jc w:val="center"/>
                  </w:pPr>
                  <w:r>
                    <w:t xml:space="preserve">27.5</w:t>
                  </w:r>
                </w:p>
              </w:tc>
            </w:tr>
            <w:tr>
              <w:tc>
                <w:tcPr/>
                <w:p>
                  <w:pPr>
                    <w:pStyle w:val="Compact"/>
                    <w:jc w:val="left"/>
                    <w:jc w:val="center"/>
                  </w:pPr>
                  <w:r>
                    <w:t xml:space="preserve">Marovoay</w:t>
                  </w:r>
                </w:p>
              </w:tc>
              <w:tc>
                <w:tcPr/>
                <w:p>
                  <w:pPr>
                    <w:pStyle w:val="Compact"/>
                    <w:jc w:val="right"/>
                    <w:jc w:val="center"/>
                  </w:pPr>
                  <w:r>
                    <w:t xml:space="preserve">223</w:t>
                  </w:r>
                </w:p>
              </w:tc>
              <w:tc>
                <w:tcPr/>
                <w:p>
                  <w:pPr>
                    <w:pStyle w:val="Compact"/>
                    <w:jc w:val="right"/>
                    <w:jc w:val="center"/>
                  </w:pPr>
                  <w:r>
                    <w:t xml:space="preserve">277</w:t>
                  </w:r>
                </w:p>
              </w:tc>
              <w:tc>
                <w:tcPr/>
                <w:p>
                  <w:pPr>
                    <w:pStyle w:val="Compact"/>
                    <w:jc w:val="right"/>
                    <w:jc w:val="center"/>
                  </w:pPr>
                  <w:r>
                    <w:t xml:space="preserve">13.9</w:t>
                  </w:r>
                </w:p>
              </w:tc>
              <w:tc>
                <w:tcPr/>
                <w:p>
                  <w:pPr>
                    <w:pStyle w:val="Compact"/>
                    <w:jc w:val="right"/>
                    <w:jc w:val="center"/>
                  </w:pPr>
                  <w:r>
                    <w:t xml:space="preserve">35.4</w:t>
                  </w:r>
                </w:p>
              </w:tc>
            </w:tr>
          </w:tbl>
          <w:bookmarkEnd w:id="958"/>
          <w:p/>
        </w:tc>
      </w:tr>
    </w:tbl>
    <w:p>
      <w:pPr>
        <w:pStyle w:val="CaptionedFigure"/>
      </w:pPr>
      <w:r>
        <w:drawing>
          <wp:inline>
            <wp:extent cx="4620126" cy="3696101"/>
            <wp:effectExtent b="0" l="0" r="0" t="0"/>
            <wp:docPr descr="Accès aux projets selon l’appartenance à une organisation" title="" id="960" name="Picture"/>
            <a:graphic>
              <a:graphicData uri="http://schemas.openxmlformats.org/drawingml/2006/picture">
                <pic:pic>
                  <pic:nvPicPr>
                    <pic:cNvPr descr="09_insertion_projet_files/figure-docx/fig_croisement-1.png" id="961" name="Picture"/>
                    <pic:cNvPicPr>
                      <a:picLocks noChangeArrowheads="1" noChangeAspect="1"/>
                    </pic:cNvPicPr>
                  </pic:nvPicPr>
                  <pic:blipFill>
                    <a:blip r:embed="rId95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Accès aux projets selon l’appartenance à une organisation</w:t>
      </w:r>
    </w:p>
    <w:bookmarkEnd w:id="962"/>
    <w:bookmarkEnd w:id="963"/>
    <w:bookmarkStart w:id="965" w:name="bibliographie"/>
    <w:p>
      <w:pPr>
        <w:pStyle w:val="Titre1"/>
      </w:pPr>
      <w:r>
        <w:t xml:space="preserve">Bibliographie</w:t>
      </w:r>
    </w:p>
    <w:bookmarkStart w:id="964" w:name="refs"/>
    <w:bookmarkEnd w:id="964"/>
    <w:bookmarkEnd w:id="965"/>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68" Target="numbering.xml"/>
  <Relationship Type="http://schemas.openxmlformats.org/officeDocument/2006/relationships/styles" Id="rId167" Target="styles.xml"/>
  <Relationship Type="http://schemas.openxmlformats.org/officeDocument/2006/relationships/settings" Id="rId166" Target="settings.xml"/>
  <Relationship Type="http://schemas.openxmlformats.org/officeDocument/2006/relationships/webSettings" Id="rId165" Target="webSettings.xml"/>
  <Relationship Type="http://schemas.openxmlformats.org/officeDocument/2006/relationships/fontTable" Id="rId164" Target="fontTable.xml"/>
  <Relationship Type="http://schemas.openxmlformats.org/officeDocument/2006/relationships/theme" Id="rId163" Target="theme/theme1.xml"/>
  <Relationship Type="http://schemas.openxmlformats.org/officeDocument/2006/relationships/footnotes" Id="rId162" Target="footnotes.xml"/>
  <Relationship Type="http://schemas.openxmlformats.org/officeDocument/2006/relationships/comments" Id="rId161" Target="comments.xml"/>
  <Relationship Id="rId117" Target="media/image110.png" Type="http://schemas.openxmlformats.org/officeDocument/2006/relationships/image"/>
  <Relationship Id="rId21" Target="media/image14.png" Type="http://schemas.openxmlformats.org/officeDocument/2006/relationships/image"/>
  <Relationship Id="rId42" Target="media/image35.png" Type="http://schemas.openxmlformats.org/officeDocument/2006/relationships/image"/>
  <Relationship Id="rId63" Target="media/image56.png" Type="http://schemas.openxmlformats.org/officeDocument/2006/relationships/image"/>
  <Relationship Id="rId84" Target="media/image77.png" Type="http://schemas.openxmlformats.org/officeDocument/2006/relationships/image"/>
  <Relationship Id="rId138" Target="media/image131.png" Type="http://schemas.openxmlformats.org/officeDocument/2006/relationships/image"/>
  <Relationship Id="rId159" Target="media/image143.png" Type="http://schemas.openxmlformats.org/officeDocument/2006/relationships/image"/>
  <Relationship Id="rId107" Target="media/image100.png" Type="http://schemas.openxmlformats.org/officeDocument/2006/relationships/image"/>
  <Relationship Id="rId11" Target="media/image4.png" Type="http://schemas.openxmlformats.org/officeDocument/2006/relationships/image"/>
  <Relationship Id="rId32" Target="media/image25.png" Type="http://schemas.openxmlformats.org/officeDocument/2006/relationships/image"/>
  <Relationship Id="rId53" Target="media/image46.png" Type="http://schemas.openxmlformats.org/officeDocument/2006/relationships/image"/>
  <Relationship Id="rId74" Target="media/image67.png" Type="http://schemas.openxmlformats.org/officeDocument/2006/relationships/image"/>
  <Relationship Id="rId128" Target="media/image121.png" Type="http://schemas.openxmlformats.org/officeDocument/2006/relationships/image"/>
  <Relationship Id="rId149" Target="media/image142.png" Type="http://schemas.openxmlformats.org/officeDocument/2006/relationships/image"/>
  <Relationship Id="rId95" Target="media/image88.png" Type="http://schemas.openxmlformats.org/officeDocument/2006/relationships/image"/>
  <Relationship Id="rId160" Target="media/image144.png" Type="http://schemas.openxmlformats.org/officeDocument/2006/relationships/image"/>
  <Relationship Id="rId22" Target="media/image15.png" Type="http://schemas.openxmlformats.org/officeDocument/2006/relationships/image"/>
  <Relationship Id="rId43" Target="media/image36.png" Type="http://schemas.openxmlformats.org/officeDocument/2006/relationships/image"/>
  <Relationship Id="rId64" Target="media/image57.png" Type="http://schemas.openxmlformats.org/officeDocument/2006/relationships/image"/>
  <Relationship Id="rId118" Target="media/image111.png" Type="http://schemas.openxmlformats.org/officeDocument/2006/relationships/image"/>
  <Relationship Id="rId139" Target="media/image132.png" Type="http://schemas.openxmlformats.org/officeDocument/2006/relationships/image"/>
  <Relationship Id="rId85" Target="media/image78.png" Type="http://schemas.openxmlformats.org/officeDocument/2006/relationships/image"/>
  <Relationship Id="rId12" Target="media/image5.png" Type="http://schemas.openxmlformats.org/officeDocument/2006/relationships/image"/>
  <Relationship Id="rId17" Target="media/image10.png" Type="http://schemas.openxmlformats.org/officeDocument/2006/relationships/image"/>
  <Relationship Id="rId33" Target="media/image26.png" Type="http://schemas.openxmlformats.org/officeDocument/2006/relationships/image"/>
  <Relationship Id="rId38" Target="media/image31.png" Type="http://schemas.openxmlformats.org/officeDocument/2006/relationships/image"/>
  <Relationship Id="rId59" Target="media/image52.png" Type="http://schemas.openxmlformats.org/officeDocument/2006/relationships/image"/>
  <Relationship Id="rId103" Target="media/image96.png" Type="http://schemas.openxmlformats.org/officeDocument/2006/relationships/image"/>
  <Relationship Id="rId108" Target="media/image101.png" Type="http://schemas.openxmlformats.org/officeDocument/2006/relationships/image"/>
  <Relationship Id="rId124" Target="media/image117.png" Type="http://schemas.openxmlformats.org/officeDocument/2006/relationships/image"/>
  <Relationship Id="rId129" Target="media/image122.png" Type="http://schemas.openxmlformats.org/officeDocument/2006/relationships/image"/>
  <Relationship Id="rId54" Target="media/image47.png" Type="http://schemas.openxmlformats.org/officeDocument/2006/relationships/image"/>
  <Relationship Id="rId70" Target="media/image63.png" Type="http://schemas.openxmlformats.org/officeDocument/2006/relationships/image"/>
  <Relationship Id="rId75" Target="media/image68.png" Type="http://schemas.openxmlformats.org/officeDocument/2006/relationships/image"/>
  <Relationship Id="rId91" Target="media/image84.png" Type="http://schemas.openxmlformats.org/officeDocument/2006/relationships/image"/>
  <Relationship Id="rId96" Target="media/image89.png" Type="http://schemas.openxmlformats.org/officeDocument/2006/relationships/image"/>
  <Relationship Id="rId140" Target="media/image133.png" Type="http://schemas.openxmlformats.org/officeDocument/2006/relationships/image"/>
  <Relationship Id="rId145" Target="media/image138.png" Type="http://schemas.openxmlformats.org/officeDocument/2006/relationships/image"/>
  <Relationship Id="rId6" Target="media/image1.jpg" Type="http://schemas.openxmlformats.org/officeDocument/2006/relationships/image"/>
  <Relationship Id="rId23" Target="media/image16.png" Type="http://schemas.openxmlformats.org/officeDocument/2006/relationships/image"/>
  <Relationship Id="rId28" Target="media/image21.png" Type="http://schemas.openxmlformats.org/officeDocument/2006/relationships/image"/>
  <Relationship Id="rId49" Target="media/image42.png" Type="http://schemas.openxmlformats.org/officeDocument/2006/relationships/image"/>
  <Relationship Id="rId114" Target="media/image107.png" Type="http://schemas.openxmlformats.org/officeDocument/2006/relationships/image"/>
  <Relationship Id="rId119" Target="media/image112.png" Type="http://schemas.openxmlformats.org/officeDocument/2006/relationships/image"/>
  <Relationship Id="rId44" Target="media/image37.png" Type="http://schemas.openxmlformats.org/officeDocument/2006/relationships/image"/>
  <Relationship Id="rId60" Target="media/image53.png" Type="http://schemas.openxmlformats.org/officeDocument/2006/relationships/image"/>
  <Relationship Id="rId65" Target="media/image58.png" Type="http://schemas.openxmlformats.org/officeDocument/2006/relationships/image"/>
  <Relationship Id="rId81" Target="media/image74.png" Type="http://schemas.openxmlformats.org/officeDocument/2006/relationships/image"/>
  <Relationship Id="rId86" Target="media/image79.png" Type="http://schemas.openxmlformats.org/officeDocument/2006/relationships/image"/>
  <Relationship Id="rId130" Target="media/image123.png" Type="http://schemas.openxmlformats.org/officeDocument/2006/relationships/image"/>
  <Relationship Id="rId135" Target="media/image128.png" Type="http://schemas.openxmlformats.org/officeDocument/2006/relationships/image"/>
  <Relationship Id="rId13" Target="media/image6.png" Type="http://schemas.openxmlformats.org/officeDocument/2006/relationships/image"/>
  <Relationship Id="rId18" Target="media/image11.png" Type="http://schemas.openxmlformats.org/officeDocument/2006/relationships/image"/>
  <Relationship Id="rId39" Target="media/image32.png" Type="http://schemas.openxmlformats.org/officeDocument/2006/relationships/image"/>
  <Relationship Id="rId109" Target="media/image102.png" Type="http://schemas.openxmlformats.org/officeDocument/2006/relationships/image"/>
  <Relationship Id="rId34" Target="media/image27.png" Type="http://schemas.openxmlformats.org/officeDocument/2006/relationships/image"/>
  <Relationship Id="rId50" Target="media/image43.png" Type="http://schemas.openxmlformats.org/officeDocument/2006/relationships/image"/>
  <Relationship Id="rId55" Target="media/image48.png" Type="http://schemas.openxmlformats.org/officeDocument/2006/relationships/image"/>
  <Relationship Id="rId76" Target="media/image69.png" Type="http://schemas.openxmlformats.org/officeDocument/2006/relationships/image"/>
  <Relationship Id="rId97" Target="media/image90.png" Type="http://schemas.openxmlformats.org/officeDocument/2006/relationships/image"/>
  <Relationship Id="rId104" Target="media/image97.png" Type="http://schemas.openxmlformats.org/officeDocument/2006/relationships/image"/>
  <Relationship Id="rId120" Target="media/image113.png" Type="http://schemas.openxmlformats.org/officeDocument/2006/relationships/image"/>
  <Relationship Id="rId125" Target="media/image118.png" Type="http://schemas.openxmlformats.org/officeDocument/2006/relationships/image"/>
  <Relationship Id="rId141" Target="media/image134.png" Type="http://schemas.openxmlformats.org/officeDocument/2006/relationships/image"/>
  <Relationship Id="rId146" Target="media/image139.png" Type="http://schemas.openxmlformats.org/officeDocument/2006/relationships/image"/>
  <Relationship Id="rId71" Target="media/image64.png" Type="http://schemas.openxmlformats.org/officeDocument/2006/relationships/image"/>
  <Relationship Id="rId92" Target="media/image85.png" Type="http://schemas.openxmlformats.org/officeDocument/2006/relationships/image"/>
  <Relationship Id="rId29" Target="media/image22.png" Type="http://schemas.openxmlformats.org/officeDocument/2006/relationships/image"/>
  <Relationship Id="rId24" Target="media/image17.png" Type="http://schemas.openxmlformats.org/officeDocument/2006/relationships/image"/>
  <Relationship Id="rId40" Target="media/image33.png" Type="http://schemas.openxmlformats.org/officeDocument/2006/relationships/image"/>
  <Relationship Id="rId45" Target="media/image38.png" Type="http://schemas.openxmlformats.org/officeDocument/2006/relationships/image"/>
  <Relationship Id="rId66" Target="media/image59.png" Type="http://schemas.openxmlformats.org/officeDocument/2006/relationships/image"/>
  <Relationship Id="rId87" Target="media/image80.png" Type="http://schemas.openxmlformats.org/officeDocument/2006/relationships/image"/>
  <Relationship Id="rId110" Target="media/image103.png" Type="http://schemas.openxmlformats.org/officeDocument/2006/relationships/image"/>
  <Relationship Id="rId115" Target="media/image108.png" Type="http://schemas.openxmlformats.org/officeDocument/2006/relationships/image"/>
  <Relationship Id="rId131" Target="media/image124.png" Type="http://schemas.openxmlformats.org/officeDocument/2006/relationships/image"/>
  <Relationship Id="rId136" Target="media/image129.png" Type="http://schemas.openxmlformats.org/officeDocument/2006/relationships/image"/>
  <Relationship Id="rId61" Target="media/image54.png" Type="http://schemas.openxmlformats.org/officeDocument/2006/relationships/image"/>
  <Relationship Id="rId82" Target="media/image75.png" Type="http://schemas.openxmlformats.org/officeDocument/2006/relationships/image"/>
  <Relationship Id="rId19" Target="media/image12.png" Type="http://schemas.openxmlformats.org/officeDocument/2006/relationships/image"/>
  <Relationship Id="rId14" Target="media/image7.png" Type="http://schemas.openxmlformats.org/officeDocument/2006/relationships/image"/>
  <Relationship Id="rId30" Target="media/image23.png" Type="http://schemas.openxmlformats.org/officeDocument/2006/relationships/image"/>
  <Relationship Id="rId35" Target="media/image28.png" Type="http://schemas.openxmlformats.org/officeDocument/2006/relationships/image"/>
  <Relationship Id="rId56" Target="media/image49.png" Type="http://schemas.openxmlformats.org/officeDocument/2006/relationships/image"/>
  <Relationship Id="rId77" Target="media/image70.png" Type="http://schemas.openxmlformats.org/officeDocument/2006/relationships/image"/>
  <Relationship Id="rId100" Target="media/image93.png" Type="http://schemas.openxmlformats.org/officeDocument/2006/relationships/image"/>
  <Relationship Id="rId105" Target="media/image98.png" Type="http://schemas.openxmlformats.org/officeDocument/2006/relationships/image"/>
  <Relationship Id="rId126" Target="media/image119.png" Type="http://schemas.openxmlformats.org/officeDocument/2006/relationships/image"/>
  <Relationship Id="rId147" Target="media/image140.png" Type="http://schemas.openxmlformats.org/officeDocument/2006/relationships/image"/>
  <Relationship Id="rId51" Target="media/image44.png" Type="http://schemas.openxmlformats.org/officeDocument/2006/relationships/image"/>
  <Relationship Id="rId72" Target="media/image65.png" Type="http://schemas.openxmlformats.org/officeDocument/2006/relationships/image"/>
  <Relationship Id="rId93" Target="media/image86.png" Type="http://schemas.openxmlformats.org/officeDocument/2006/relationships/image"/>
  <Relationship Id="rId98" Target="media/image91.png" Type="http://schemas.openxmlformats.org/officeDocument/2006/relationships/image"/>
  <Relationship Id="rId121" Target="media/image114.png" Type="http://schemas.openxmlformats.org/officeDocument/2006/relationships/image"/>
  <Relationship Id="rId142" Target="media/image135.png" Type="http://schemas.openxmlformats.org/officeDocument/2006/relationships/image"/>
  <Relationship Id="rId25" Target="media/image18.png" Type="http://schemas.openxmlformats.org/officeDocument/2006/relationships/image"/>
  <Relationship Id="rId46" Target="media/image39.png" Type="http://schemas.openxmlformats.org/officeDocument/2006/relationships/image"/>
  <Relationship Id="rId67" Target="media/image60.png" Type="http://schemas.openxmlformats.org/officeDocument/2006/relationships/image"/>
  <Relationship Id="rId116" Target="media/image109.png" Type="http://schemas.openxmlformats.org/officeDocument/2006/relationships/image"/>
  <Relationship Id="rId137" Target="media/image130.png" Type="http://schemas.openxmlformats.org/officeDocument/2006/relationships/image"/>
  <Relationship Id="rId20" Target="media/image13.png" Type="http://schemas.openxmlformats.org/officeDocument/2006/relationships/image"/>
  <Relationship Id="rId41" Target="media/image34.png" Type="http://schemas.openxmlformats.org/officeDocument/2006/relationships/image"/>
  <Relationship Id="rId62" Target="media/image55.png" Type="http://schemas.openxmlformats.org/officeDocument/2006/relationships/image"/>
  <Relationship Id="rId83" Target="media/image76.png" Type="http://schemas.openxmlformats.org/officeDocument/2006/relationships/image"/>
  <Relationship Id="rId88" Target="media/image81.png" Type="http://schemas.openxmlformats.org/officeDocument/2006/relationships/image"/>
  <Relationship Id="rId111" Target="media/image104.png" Type="http://schemas.openxmlformats.org/officeDocument/2006/relationships/image"/>
  <Relationship Id="rId132" Target="media/image125.png" Type="http://schemas.openxmlformats.org/officeDocument/2006/relationships/image"/>
  <Relationship Id="rId15" Target="media/image8.png" Type="http://schemas.openxmlformats.org/officeDocument/2006/relationships/image"/>
  <Relationship Id="rId36" Target="media/image29.png" Type="http://schemas.openxmlformats.org/officeDocument/2006/relationships/image"/>
  <Relationship Id="rId57" Target="media/image50.png" Type="http://schemas.openxmlformats.org/officeDocument/2006/relationships/image"/>
  <Relationship Id="rId106" Target="media/image99.png" Type="http://schemas.openxmlformats.org/officeDocument/2006/relationships/image"/>
  <Relationship Id="rId127" Target="media/image120.png" Type="http://schemas.openxmlformats.org/officeDocument/2006/relationships/image"/>
  <Relationship Id="rId10" Target="media/image3.png" Type="http://schemas.openxmlformats.org/officeDocument/2006/relationships/image"/>
  <Relationship Id="rId31" Target="media/image24.png" Type="http://schemas.openxmlformats.org/officeDocument/2006/relationships/image"/>
  <Relationship Id="rId52" Target="media/image45.png" Type="http://schemas.openxmlformats.org/officeDocument/2006/relationships/image"/>
  <Relationship Id="rId73" Target="media/image66.png" Type="http://schemas.openxmlformats.org/officeDocument/2006/relationships/image"/>
  <Relationship Id="rId78" Target="media/image71.png" Type="http://schemas.openxmlformats.org/officeDocument/2006/relationships/image"/>
  <Relationship Id="rId94" Target="media/image87.png" Type="http://schemas.openxmlformats.org/officeDocument/2006/relationships/image"/>
  <Relationship Id="rId99" Target="media/image92.png" Type="http://schemas.openxmlformats.org/officeDocument/2006/relationships/image"/>
  <Relationship Id="rId101" Target="media/image94.png" Type="http://schemas.openxmlformats.org/officeDocument/2006/relationships/image"/>
  <Relationship Id="rId122" Target="media/image115.png" Type="http://schemas.openxmlformats.org/officeDocument/2006/relationships/image"/>
  <Relationship Id="rId143" Target="media/image136.png" Type="http://schemas.openxmlformats.org/officeDocument/2006/relationships/image"/>
  <Relationship Id="rId148" Target="media/image141.png" Type="http://schemas.openxmlformats.org/officeDocument/2006/relationships/image"/>
  <Relationship Id="rId9" Target="media/image2.png" Type="http://schemas.openxmlformats.org/officeDocument/2006/relationships/image"/>
  <Relationship Id="rId26" Target="media/image19.png" Type="http://schemas.openxmlformats.org/officeDocument/2006/relationships/image"/>
  <Relationship Id="rId47" Target="media/image40.png" Type="http://schemas.openxmlformats.org/officeDocument/2006/relationships/image"/>
  <Relationship Id="rId68" Target="media/image61.png" Type="http://schemas.openxmlformats.org/officeDocument/2006/relationships/image"/>
  <Relationship Id="rId89" Target="media/image82.png" Type="http://schemas.openxmlformats.org/officeDocument/2006/relationships/image"/>
  <Relationship Id="rId112" Target="media/image105.png" Type="http://schemas.openxmlformats.org/officeDocument/2006/relationships/image"/>
  <Relationship Id="rId133" Target="media/image126.png" Type="http://schemas.openxmlformats.org/officeDocument/2006/relationships/image"/>
  <Relationship Id="rId16" Target="media/image9.png" Type="http://schemas.openxmlformats.org/officeDocument/2006/relationships/image"/>
  <Relationship Id="rId37" Target="media/image30.png" Type="http://schemas.openxmlformats.org/officeDocument/2006/relationships/image"/>
  <Relationship Id="rId58" Target="media/image51.png" Type="http://schemas.openxmlformats.org/officeDocument/2006/relationships/image"/>
  <Relationship Id="rId79" Target="media/image72.png" Type="http://schemas.openxmlformats.org/officeDocument/2006/relationships/image"/>
  <Relationship Id="rId102" Target="media/image95.png" Type="http://schemas.openxmlformats.org/officeDocument/2006/relationships/image"/>
  <Relationship Id="rId123" Target="media/image116.png" Type="http://schemas.openxmlformats.org/officeDocument/2006/relationships/image"/>
  <Relationship Id="rId144" Target="media/image137.png" Type="http://schemas.openxmlformats.org/officeDocument/2006/relationships/image"/>
  <Relationship Id="rId90" Target="media/image83.png" Type="http://schemas.openxmlformats.org/officeDocument/2006/relationships/image"/>
  <Relationship Id="rId27" Target="media/image20.png" Type="http://schemas.openxmlformats.org/officeDocument/2006/relationships/image"/>
  <Relationship Id="rId48" Target="media/image41.png" Type="http://schemas.openxmlformats.org/officeDocument/2006/relationships/image"/>
  <Relationship Id="rId69" Target="media/image62.png" Type="http://schemas.openxmlformats.org/officeDocument/2006/relationships/image"/>
  <Relationship Id="rId113" Target="media/image106.png" Type="http://schemas.openxmlformats.org/officeDocument/2006/relationships/image"/>
  <Relationship Id="rId134" Target="media/image127.png" Type="http://schemas.openxmlformats.org/officeDocument/2006/relationships/image"/>
  <Relationship Id="rId80" Target="media/image73.png" Type="http://schemas.openxmlformats.org/officeDocument/2006/relationships/image"/>
  <Relationship Type="http://schemas.openxmlformats.org/officeDocument/2006/relationships/image" Id="rId181" Target="media/rId181.png"/>
  <Relationship Type="http://schemas.openxmlformats.org/officeDocument/2006/relationships/image" Id="rId191" Target="media/rId191.png"/>
  <Relationship Type="http://schemas.openxmlformats.org/officeDocument/2006/relationships/image" Id="rId244" Target="media/rId244.png"/>
  <Relationship Type="http://schemas.openxmlformats.org/officeDocument/2006/relationships/image" Id="rId284" Target="media/rId284.png"/>
  <Relationship Type="http://schemas.openxmlformats.org/officeDocument/2006/relationships/image" Id="rId278" Target="media/rId278.png"/>
  <Relationship Type="http://schemas.openxmlformats.org/officeDocument/2006/relationships/image" Id="rId248" Target="media/rId248.png"/>
  <Relationship Type="http://schemas.openxmlformats.org/officeDocument/2006/relationships/image" Id="rId226" Target="media/rId226.png"/>
  <Relationship Type="http://schemas.openxmlformats.org/officeDocument/2006/relationships/image" Id="rId230" Target="media/rId230.png"/>
  <Relationship Type="http://schemas.openxmlformats.org/officeDocument/2006/relationships/image" Id="rId235" Target="media/rId235.png"/>
  <Relationship Type="http://schemas.openxmlformats.org/officeDocument/2006/relationships/image" Id="rId222" Target="media/rId222.png"/>
  <Relationship Type="http://schemas.openxmlformats.org/officeDocument/2006/relationships/image" Id="rId239" Target="media/rId239.png"/>
  <Relationship Type="http://schemas.openxmlformats.org/officeDocument/2006/relationships/image" Id="rId307" Target="media/rId307.png"/>
  <Relationship Type="http://schemas.openxmlformats.org/officeDocument/2006/relationships/image" Id="rId301" Target="media/rId301.png"/>
  <Relationship Type="http://schemas.openxmlformats.org/officeDocument/2006/relationships/image" Id="rId304" Target="media/rId304.png"/>
  <Relationship Type="http://schemas.openxmlformats.org/officeDocument/2006/relationships/image" Id="rId298" Target="media/rId298.png"/>
  <Relationship Type="http://schemas.openxmlformats.org/officeDocument/2006/relationships/image" Id="rId213" Target="media/rId213.png"/>
  <Relationship Type="http://schemas.openxmlformats.org/officeDocument/2006/relationships/image" Id="rId200" Target="media/rId200.png"/>
  <Relationship Type="http://schemas.openxmlformats.org/officeDocument/2006/relationships/image" Id="rId209" Target="media/rId209.png"/>
  <Relationship Type="http://schemas.openxmlformats.org/officeDocument/2006/relationships/image" Id="rId289" Target="media/rId289.png"/>
  <Relationship Type="http://schemas.openxmlformats.org/officeDocument/2006/relationships/image" Id="rId258" Target="media/rId258.png"/>
  <Relationship Type="http://schemas.openxmlformats.org/officeDocument/2006/relationships/image" Id="rId262" Target="media/rId262.png"/>
  <Relationship Type="http://schemas.openxmlformats.org/officeDocument/2006/relationships/image" Id="rId266" Target="media/rId266.png"/>
  <Relationship Type="http://schemas.openxmlformats.org/officeDocument/2006/relationships/image" Id="rId254" Target="media/rId254.png"/>
  <Relationship Type="http://schemas.openxmlformats.org/officeDocument/2006/relationships/image" Id="rId270" Target="media/rId270.png"/>
  <Relationship Type="http://schemas.openxmlformats.org/officeDocument/2006/relationships/image" Id="rId204" Target="media/rId204.png"/>
  <Relationship Type="http://schemas.openxmlformats.org/officeDocument/2006/relationships/image" Id="rId217" Target="media/rId217.png"/>
  <Relationship Type="http://schemas.openxmlformats.org/officeDocument/2006/relationships/image" Id="rId341" Target="media/rId341.png"/>
  <Relationship Type="http://schemas.openxmlformats.org/officeDocument/2006/relationships/image" Id="rId353" Target="media/rId353.png"/>
  <Relationship Type="http://schemas.openxmlformats.org/officeDocument/2006/relationships/image" Id="rId334" Target="media/rId334.png"/>
  <Relationship Type="http://schemas.openxmlformats.org/officeDocument/2006/relationships/image" Id="rId365" Target="media/rId365.png"/>
  <Relationship Type="http://schemas.openxmlformats.org/officeDocument/2006/relationships/image" Id="rId324" Target="media/rId324.png"/>
  <Relationship Type="http://schemas.openxmlformats.org/officeDocument/2006/relationships/image" Id="rId329" Target="media/rId329.png"/>
  <Relationship Type="http://schemas.openxmlformats.org/officeDocument/2006/relationships/image" Id="rId319" Target="media/rId319.png"/>
  <Relationship Type="http://schemas.openxmlformats.org/officeDocument/2006/relationships/image" Id="rId314" Target="media/rId314.png"/>
  <Relationship Type="http://schemas.openxmlformats.org/officeDocument/2006/relationships/image" Id="rId347" Target="media/rId347.png"/>
  <Relationship Type="http://schemas.openxmlformats.org/officeDocument/2006/relationships/image" Id="rId360" Target="media/rId360.png"/>
  <Relationship Type="http://schemas.openxmlformats.org/officeDocument/2006/relationships/image" Id="rId431" Target="media/rId431.png"/>
  <Relationship Type="http://schemas.openxmlformats.org/officeDocument/2006/relationships/image" Id="rId393" Target="media/rId393.png"/>
  <Relationship Type="http://schemas.openxmlformats.org/officeDocument/2006/relationships/image" Id="rId400" Target="media/rId400.png"/>
  <Relationship Type="http://schemas.openxmlformats.org/officeDocument/2006/relationships/image" Id="rId372" Target="media/rId372.png"/>
  <Relationship Type="http://schemas.openxmlformats.org/officeDocument/2006/relationships/image" Id="rId376" Target="media/rId376.png"/>
  <Relationship Type="http://schemas.openxmlformats.org/officeDocument/2006/relationships/image" Id="rId388" Target="media/rId388.png"/>
  <Relationship Type="http://schemas.openxmlformats.org/officeDocument/2006/relationships/image" Id="rId397" Target="media/rId397.png"/>
  <Relationship Type="http://schemas.openxmlformats.org/officeDocument/2006/relationships/image" Id="rId385" Target="media/rId385.png"/>
  <Relationship Type="http://schemas.openxmlformats.org/officeDocument/2006/relationships/image" Id="rId426" Target="media/rId426.png"/>
  <Relationship Type="http://schemas.openxmlformats.org/officeDocument/2006/relationships/image" Id="rId413" Target="media/rId413.png"/>
  <Relationship Type="http://schemas.openxmlformats.org/officeDocument/2006/relationships/image" Id="rId419" Target="media/rId419.png"/>
  <Relationship Type="http://schemas.openxmlformats.org/officeDocument/2006/relationships/image" Id="rId416" Target="media/rId416.png"/>
  <Relationship Type="http://schemas.openxmlformats.org/officeDocument/2006/relationships/image" Id="rId382" Target="media/rId382.png"/>
  <Relationship Type="http://schemas.openxmlformats.org/officeDocument/2006/relationships/image" Id="rId423" Target="media/rId423.png"/>
  <Relationship Type="http://schemas.openxmlformats.org/officeDocument/2006/relationships/image" Id="rId404" Target="media/rId404.png"/>
  <Relationship Type="http://schemas.openxmlformats.org/officeDocument/2006/relationships/image" Id="rId410" Target="media/rId410.png"/>
  <Relationship Type="http://schemas.openxmlformats.org/officeDocument/2006/relationships/image" Id="rId407" Target="media/rId407.png"/>
  <Relationship Type="http://schemas.openxmlformats.org/officeDocument/2006/relationships/image" Id="rId462" Target="media/rId462.png"/>
  <Relationship Type="http://schemas.openxmlformats.org/officeDocument/2006/relationships/image" Id="rId466" Target="media/rId466.png"/>
  <Relationship Type="http://schemas.openxmlformats.org/officeDocument/2006/relationships/image" Id="rId490" Target="media/rId490.png"/>
  <Relationship Type="http://schemas.openxmlformats.org/officeDocument/2006/relationships/image" Id="rId500" Target="media/rId500.png"/>
  <Relationship Type="http://schemas.openxmlformats.org/officeDocument/2006/relationships/image" Id="rId508" Target="media/rId508.png"/>
  <Relationship Type="http://schemas.openxmlformats.org/officeDocument/2006/relationships/image" Id="rId457" Target="media/rId457.png"/>
  <Relationship Type="http://schemas.openxmlformats.org/officeDocument/2006/relationships/image" Id="rId452" Target="media/rId452.png"/>
  <Relationship Type="http://schemas.openxmlformats.org/officeDocument/2006/relationships/image" Id="rId482" Target="media/rId482.png"/>
  <Relationship Type="http://schemas.openxmlformats.org/officeDocument/2006/relationships/image" Id="rId486" Target="media/rId486.png"/>
  <Relationship Type="http://schemas.openxmlformats.org/officeDocument/2006/relationships/image" Id="rId438" Target="media/rId438.png"/>
  <Relationship Type="http://schemas.openxmlformats.org/officeDocument/2006/relationships/image" Id="rId476" Target="media/rId476.png"/>
  <Relationship Type="http://schemas.openxmlformats.org/officeDocument/2006/relationships/image" Id="rId504" Target="media/rId504.png"/>
  <Relationship Type="http://schemas.openxmlformats.org/officeDocument/2006/relationships/image" Id="rId515" Target="media/rId515.png"/>
  <Relationship Type="http://schemas.openxmlformats.org/officeDocument/2006/relationships/image" Id="rId472" Target="media/rId472.png"/>
  <Relationship Type="http://schemas.openxmlformats.org/officeDocument/2006/relationships/image" Id="rId496" Target="media/rId496.png"/>
  <Relationship Type="http://schemas.openxmlformats.org/officeDocument/2006/relationships/image" Id="rId444" Target="media/rId444.png"/>
  <Relationship Type="http://schemas.openxmlformats.org/officeDocument/2006/relationships/image" Id="rId448" Target="media/rId448.png"/>
  <Relationship Type="http://schemas.openxmlformats.org/officeDocument/2006/relationships/image" Id="rId649" Target="media/rId649.png"/>
  <Relationship Type="http://schemas.openxmlformats.org/officeDocument/2006/relationships/image" Id="rId653" Target="media/rId653.png"/>
  <Relationship Type="http://schemas.openxmlformats.org/officeDocument/2006/relationships/image" Id="rId585" Target="media/rId585.png"/>
  <Relationship Type="http://schemas.openxmlformats.org/officeDocument/2006/relationships/image" Id="rId528" Target="media/rId528.png"/>
  <Relationship Type="http://schemas.openxmlformats.org/officeDocument/2006/relationships/image" Id="rId594" Target="media/rId594.png"/>
  <Relationship Type="http://schemas.openxmlformats.org/officeDocument/2006/relationships/image" Id="rId537" Target="media/rId537.png"/>
  <Relationship Type="http://schemas.openxmlformats.org/officeDocument/2006/relationships/image" Id="rId627" Target="media/rId627.png"/>
  <Relationship Type="http://schemas.openxmlformats.org/officeDocument/2006/relationships/image" Id="rId657" Target="media/rId657.png"/>
  <Relationship Type="http://schemas.openxmlformats.org/officeDocument/2006/relationships/image" Id="rId632" Target="media/rId632.png"/>
  <Relationship Type="http://schemas.openxmlformats.org/officeDocument/2006/relationships/image" Id="rId561" Target="media/rId561.png"/>
  <Relationship Type="http://schemas.openxmlformats.org/officeDocument/2006/relationships/image" Id="rId638" Target="media/rId638.png"/>
  <Relationship Type="http://schemas.openxmlformats.org/officeDocument/2006/relationships/image" Id="rId615" Target="media/rId615.png"/>
  <Relationship Type="http://schemas.openxmlformats.org/officeDocument/2006/relationships/image" Id="rId574" Target="media/rId574.png"/>
  <Relationship Type="http://schemas.openxmlformats.org/officeDocument/2006/relationships/image" Id="rId619" Target="media/rId619.png"/>
  <Relationship Type="http://schemas.openxmlformats.org/officeDocument/2006/relationships/image" Id="rId603" Target="media/rId603.png"/>
  <Relationship Type="http://schemas.openxmlformats.org/officeDocument/2006/relationships/image" Id="rId599" Target="media/rId599.png"/>
  <Relationship Type="http://schemas.openxmlformats.org/officeDocument/2006/relationships/image" Id="rId548" Target="media/rId548.png"/>
  <Relationship Type="http://schemas.openxmlformats.org/officeDocument/2006/relationships/image" Id="rId557" Target="media/rId557.png"/>
  <Relationship Type="http://schemas.openxmlformats.org/officeDocument/2006/relationships/image" Id="rId661" Target="media/rId661.png"/>
  <Relationship Type="http://schemas.openxmlformats.org/officeDocument/2006/relationships/image" Id="rId533" Target="media/rId533.png"/>
  <Relationship Type="http://schemas.openxmlformats.org/officeDocument/2006/relationships/image" Id="rId524" Target="media/rId524.png"/>
  <Relationship Type="http://schemas.openxmlformats.org/officeDocument/2006/relationships/image" Id="rId589" Target="media/rId589.png"/>
  <Relationship Type="http://schemas.openxmlformats.org/officeDocument/2006/relationships/image" Id="rId610" Target="media/rId610.png"/>
  <Relationship Type="http://schemas.openxmlformats.org/officeDocument/2006/relationships/image" Id="rId553" Target="media/rId553.png"/>
  <Relationship Type="http://schemas.openxmlformats.org/officeDocument/2006/relationships/image" Id="rId570" Target="media/rId570.png"/>
  <Relationship Type="http://schemas.openxmlformats.org/officeDocument/2006/relationships/image" Id="rId566" Target="media/rId566.png"/>
  <Relationship Type="http://schemas.openxmlformats.org/officeDocument/2006/relationships/image" Id="rId677" Target="media/rId677.png"/>
  <Relationship Type="http://schemas.openxmlformats.org/officeDocument/2006/relationships/image" Id="rId674" Target="media/rId674.png"/>
  <Relationship Type="http://schemas.openxmlformats.org/officeDocument/2006/relationships/image" Id="rId579" Target="media/rId579.png"/>
  <Relationship Type="http://schemas.openxmlformats.org/officeDocument/2006/relationships/image" Id="rId643" Target="media/rId643.png"/>
  <Relationship Type="http://schemas.openxmlformats.org/officeDocument/2006/relationships/image" Id="rId545" Target="media/rId545.png"/>
  <Relationship Type="http://schemas.openxmlformats.org/officeDocument/2006/relationships/image" Id="rId541" Target="media/rId541.png"/>
  <Relationship Type="http://schemas.openxmlformats.org/officeDocument/2006/relationships/image" Id="rId700" Target="media/rId700.png"/>
  <Relationship Type="http://schemas.openxmlformats.org/officeDocument/2006/relationships/image" Id="rId737" Target="media/rId737.png"/>
  <Relationship Type="http://schemas.openxmlformats.org/officeDocument/2006/relationships/image" Id="rId734" Target="media/rId734.png"/>
  <Relationship Type="http://schemas.openxmlformats.org/officeDocument/2006/relationships/image" Id="rId685" Target="media/rId685.png"/>
  <Relationship Type="http://schemas.openxmlformats.org/officeDocument/2006/relationships/image" Id="rId722" Target="media/rId722.png"/>
  <Relationship Type="http://schemas.openxmlformats.org/officeDocument/2006/relationships/image" Id="rId719" Target="media/rId719.png"/>
  <Relationship Type="http://schemas.openxmlformats.org/officeDocument/2006/relationships/image" Id="rId689" Target="media/rId689.png"/>
  <Relationship Type="http://schemas.openxmlformats.org/officeDocument/2006/relationships/image" Id="rId693" Target="media/rId693.png"/>
  <Relationship Type="http://schemas.openxmlformats.org/officeDocument/2006/relationships/image" Id="rId708" Target="media/rId708.png"/>
  <Relationship Type="http://schemas.openxmlformats.org/officeDocument/2006/relationships/image" Id="rId715" Target="media/rId715.png"/>
  <Relationship Type="http://schemas.openxmlformats.org/officeDocument/2006/relationships/image" Id="rId725" Target="media/rId725.png"/>
  <Relationship Type="http://schemas.openxmlformats.org/officeDocument/2006/relationships/image" Id="rId730" Target="media/rId730.png"/>
  <Relationship Type="http://schemas.openxmlformats.org/officeDocument/2006/relationships/image" Id="rId862" Target="media/rId862.png"/>
  <Relationship Type="http://schemas.openxmlformats.org/officeDocument/2006/relationships/image" Id="rId754" Target="media/rId754.png"/>
  <Relationship Type="http://schemas.openxmlformats.org/officeDocument/2006/relationships/image" Id="rId774" Target="media/rId774.png"/>
  <Relationship Type="http://schemas.openxmlformats.org/officeDocument/2006/relationships/image" Id="rId770" Target="media/rId770.png"/>
  <Relationship Type="http://schemas.openxmlformats.org/officeDocument/2006/relationships/image" Id="rId779" Target="media/rId779.png"/>
  <Relationship Type="http://schemas.openxmlformats.org/officeDocument/2006/relationships/image" Id="rId823" Target="media/rId823.png"/>
  <Relationship Type="http://schemas.openxmlformats.org/officeDocument/2006/relationships/image" Id="rId749" Target="media/rId749.png"/>
  <Relationship Type="http://schemas.openxmlformats.org/officeDocument/2006/relationships/image" Id="rId797" Target="media/rId797.png"/>
  <Relationship Type="http://schemas.openxmlformats.org/officeDocument/2006/relationships/image" Id="rId847" Target="media/rId847.png"/>
  <Relationship Type="http://schemas.openxmlformats.org/officeDocument/2006/relationships/image" Id="rId842" Target="media/rId842.png"/>
  <Relationship Type="http://schemas.openxmlformats.org/officeDocument/2006/relationships/image" Id="rId852" Target="media/rId852.png"/>
  <Relationship Type="http://schemas.openxmlformats.org/officeDocument/2006/relationships/image" Id="rId788" Target="media/rId788.png"/>
  <Relationship Type="http://schemas.openxmlformats.org/officeDocument/2006/relationships/image" Id="rId857" Target="media/rId857.png"/>
  <Relationship Type="http://schemas.openxmlformats.org/officeDocument/2006/relationships/image" Id="rId827" Target="media/rId827.png"/>
  <Relationship Type="http://schemas.openxmlformats.org/officeDocument/2006/relationships/image" Id="rId808" Target="media/rId808.png"/>
  <Relationship Type="http://schemas.openxmlformats.org/officeDocument/2006/relationships/image" Id="rId831" Target="media/rId831.png"/>
  <Relationship Type="http://schemas.openxmlformats.org/officeDocument/2006/relationships/image" Id="rId764" Target="media/rId764.png"/>
  <Relationship Type="http://schemas.openxmlformats.org/officeDocument/2006/relationships/image" Id="rId744" Target="media/rId744.png"/>
  <Relationship Type="http://schemas.openxmlformats.org/officeDocument/2006/relationships/image" Id="rId802" Target="media/rId802.png"/>
  <Relationship Type="http://schemas.openxmlformats.org/officeDocument/2006/relationships/image" Id="rId818" Target="media/rId818.png"/>
  <Relationship Type="http://schemas.openxmlformats.org/officeDocument/2006/relationships/image" Id="rId793" Target="media/rId793.png"/>
  <Relationship Type="http://schemas.openxmlformats.org/officeDocument/2006/relationships/image" Id="rId838" Target="media/rId838.png"/>
  <Relationship Type="http://schemas.openxmlformats.org/officeDocument/2006/relationships/image" Id="rId814" Target="media/rId814.png"/>
  <Relationship Type="http://schemas.openxmlformats.org/officeDocument/2006/relationships/image" Id="rId760" Target="media/rId760.png"/>
  <Relationship Type="http://schemas.openxmlformats.org/officeDocument/2006/relationships/image" Id="rId912" Target="media/rId912.png"/>
  <Relationship Type="http://schemas.openxmlformats.org/officeDocument/2006/relationships/image" Id="rId895" Target="media/rId895.png"/>
  <Relationship Type="http://schemas.openxmlformats.org/officeDocument/2006/relationships/image" Id="rId899" Target="media/rId899.png"/>
  <Relationship Type="http://schemas.openxmlformats.org/officeDocument/2006/relationships/image" Id="rId877" Target="media/rId877.png"/>
  <Relationship Type="http://schemas.openxmlformats.org/officeDocument/2006/relationships/image" Id="rId882" Target="media/rId882.png"/>
  <Relationship Type="http://schemas.openxmlformats.org/officeDocument/2006/relationships/image" Id="rId903" Target="media/rId903.png"/>
  <Relationship Type="http://schemas.openxmlformats.org/officeDocument/2006/relationships/image" Id="rId872" Target="media/rId872.png"/>
  <Relationship Type="http://schemas.openxmlformats.org/officeDocument/2006/relationships/image" Id="rId886" Target="media/rId886.png"/>
  <Relationship Type="http://schemas.openxmlformats.org/officeDocument/2006/relationships/image" Id="rId891" Target="media/rId891.png"/>
  <Relationship Type="http://schemas.openxmlformats.org/officeDocument/2006/relationships/image" Id="rId907" Target="media/rId907.png"/>
  <Relationship Type="http://schemas.openxmlformats.org/officeDocument/2006/relationships/image" Id="rId946" Target="media/rId946.png"/>
  <Relationship Type="http://schemas.openxmlformats.org/officeDocument/2006/relationships/image" Id="rId921" Target="media/rId921.png"/>
  <Relationship Type="http://schemas.openxmlformats.org/officeDocument/2006/relationships/image" Id="rId931" Target="media/rId931.png"/>
  <Relationship Type="http://schemas.openxmlformats.org/officeDocument/2006/relationships/image" Id="rId936" Target="media/rId936.png"/>
  <Relationship Type="http://schemas.openxmlformats.org/officeDocument/2006/relationships/image" Id="rId951" Target="media/rId951.png"/>
  <Relationship Type="http://schemas.openxmlformats.org/officeDocument/2006/relationships/image" Id="rId926" Target="media/rId926.png"/>
  <Relationship Type="http://schemas.openxmlformats.org/officeDocument/2006/relationships/image" Id="rId959" Target="media/rId959.png"/>
  <Relationship Type="http://schemas.openxmlformats.org/officeDocument/2006/relationships/image" Id="rId942" Target="media/rId942.png"/>
  <Relationship Type="http://schemas.openxmlformats.org/officeDocument/2006/relationships/image" Id="rId295" Target="media/rId295.png"/>
  <Relationship Type="http://schemas.openxmlformats.org/officeDocument/2006/relationships/image" Id="rId177" Target="media/rId177.png"/>
  <Relationship Type="http://schemas.openxmlformats.org/officeDocument/2006/relationships/image" Id="rId173" Target="media/rId173.png"/>
  <Relationship Type="http://schemas.openxmlformats.org/officeDocument/2006/relationships/image" Id="rId169" Target="media/rId169.png"/>
  <Relationship Id="rId960" Type="http://schemas.openxmlformats.org/officeDocument/2006/relationships/image" Target="media/cover_page.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des Observatoires ruraux d’Alaotra et Marovoay</dc:title>
  <dc:creator>Veromanitra Ramizason; Bezaka Rivolala; Thierry Razanakoto; Holimalala Randriamanampisoa; Florent Bédécarrats</dc:creator>
  <dc:language>fr</dc:language>
  <cp:keywords/>
  <dcterms:created xsi:type="dcterms:W3CDTF">2026-06-11T05:21:13Z</dcterms:created>
  <dcterms:modified xsi:type="dcterms:W3CDTF">2026-06-11T05:21:13Z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2026-06-11</vt:lpwstr>
  </property>
  <property fmtid="{D5CDD505-2E9C-101B-9397-08002B2CF9AE}" pid="9" name="engines">
    <vt:lpwstr/>
  </property>
  <property fmtid="{D5CDD505-2E9C-101B-9397-08002B2CF9AE}" pid="10" name="fig-cap-location">
    <vt:lpwstr>top</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Rapport consolidé d’enquêtes</vt:lpwstr>
  </property>
  <property fmtid="{D5CDD505-2E9C-101B-9397-08002B2CF9AE}" pid="16" name="template-partials">
    <vt:lpwstr/>
  </property>
  <property fmtid="{D5CDD505-2E9C-101B-9397-08002B2CF9AE}" pid="17" name="toc-title">
    <vt:lpwstr>Table des matières</vt:lpwstr>
  </property>
</Properties>
</file>