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191.png" ContentType="image/png"/>
  <Override PartName="/word/media/rId244.png" ContentType="image/png"/>
  <Override PartName="/word/media/rId284.png" ContentType="image/png"/>
  <Override PartName="/word/media/rId278.png" ContentType="image/png"/>
  <Override PartName="/word/media/rId248.png" ContentType="image/png"/>
  <Override PartName="/word/media/rId226.png" ContentType="image/png"/>
  <Override PartName="/word/media/rId230.png" ContentType="image/png"/>
  <Override PartName="/word/media/rId235.png" ContentType="image/png"/>
  <Override PartName="/word/media/rId222.png" ContentType="image/png"/>
  <Override PartName="/word/media/rId239.png" ContentType="image/png"/>
  <Override PartName="/word/media/rId307.png" ContentType="image/png"/>
  <Override PartName="/word/media/rId301.png" ContentType="image/png"/>
  <Override PartName="/word/media/rId304.png" ContentType="image/png"/>
  <Override PartName="/word/media/rId298.png" ContentType="image/png"/>
  <Override PartName="/word/media/rId213.png" ContentType="image/png"/>
  <Override PartName="/word/media/rId200.png" ContentType="image/png"/>
  <Override PartName="/word/media/rId209.png" ContentType="image/png"/>
  <Override PartName="/word/media/rId289.png" ContentType="image/png"/>
  <Override PartName="/word/media/rId258.png" ContentType="image/png"/>
  <Override PartName="/word/media/rId262.png" ContentType="image/png"/>
  <Override PartName="/word/media/rId266.png" ContentType="image/png"/>
  <Override PartName="/word/media/rId254.png" ContentType="image/png"/>
  <Override PartName="/word/media/rId270.png" ContentType="image/png"/>
  <Override PartName="/word/media/rId204.png" ContentType="image/png"/>
  <Override PartName="/word/media/rId217.png" ContentType="image/png"/>
  <Override PartName="/word/media/rId341.png" ContentType="image/png"/>
  <Override PartName="/word/media/rId353.png" ContentType="image/png"/>
  <Override PartName="/word/media/rId334.png" ContentType="image/png"/>
  <Override PartName="/word/media/rId365.png" ContentType="image/png"/>
  <Override PartName="/word/media/rId324.png" ContentType="image/png"/>
  <Override PartName="/word/media/rId329.png" ContentType="image/png"/>
  <Override PartName="/word/media/rId319.png" ContentType="image/png"/>
  <Override PartName="/word/media/rId314.png" ContentType="image/png"/>
  <Override PartName="/word/media/rId347.png" ContentType="image/png"/>
  <Override PartName="/word/media/rId360.png" ContentType="image/png"/>
  <Override PartName="/word/media/rId431.png" ContentType="image/png"/>
  <Override PartName="/word/media/rId393.png" ContentType="image/png"/>
  <Override PartName="/word/media/rId400.png" ContentType="image/png"/>
  <Override PartName="/word/media/rId372.png" ContentType="image/png"/>
  <Override PartName="/word/media/rId376.png" ContentType="image/png"/>
  <Override PartName="/word/media/rId388.png" ContentType="image/png"/>
  <Override PartName="/word/media/rId397.png" ContentType="image/png"/>
  <Override PartName="/word/media/rId385.png" ContentType="image/png"/>
  <Override PartName="/word/media/rId426.png" ContentType="image/png"/>
  <Override PartName="/word/media/rId413.png" ContentType="image/png"/>
  <Override PartName="/word/media/rId419.png" ContentType="image/png"/>
  <Override PartName="/word/media/rId416.png" ContentType="image/png"/>
  <Override PartName="/word/media/rId382.png" ContentType="image/png"/>
  <Override PartName="/word/media/rId423.png" ContentType="image/png"/>
  <Override PartName="/word/media/rId404.png" ContentType="image/png"/>
  <Override PartName="/word/media/rId410.png" ContentType="image/png"/>
  <Override PartName="/word/media/rId407.png" ContentType="image/png"/>
  <Override PartName="/word/media/rId462.png" ContentType="image/png"/>
  <Override PartName="/word/media/rId466.png" ContentType="image/png"/>
  <Override PartName="/word/media/rId490.png" ContentType="image/png"/>
  <Override PartName="/word/media/rId500.png" ContentType="image/png"/>
  <Override PartName="/word/media/rId508.png" ContentType="image/png"/>
  <Override PartName="/word/media/rId457.png" ContentType="image/png"/>
  <Override PartName="/word/media/rId452.png" ContentType="image/png"/>
  <Override PartName="/word/media/rId482.png" ContentType="image/png"/>
  <Override PartName="/word/media/rId486.png" ContentType="image/png"/>
  <Override PartName="/word/media/rId438.png" ContentType="image/png"/>
  <Override PartName="/word/media/rId476.png" ContentType="image/png"/>
  <Override PartName="/word/media/rId504.png" ContentType="image/png"/>
  <Override PartName="/word/media/rId515.png" ContentType="image/png"/>
  <Override PartName="/word/media/rId472.png" ContentType="image/png"/>
  <Override PartName="/word/media/rId496.png" ContentType="image/png"/>
  <Override PartName="/word/media/rId444.png" ContentType="image/png"/>
  <Override PartName="/word/media/rId448.png" ContentType="image/png"/>
  <Override PartName="/word/media/rId649.png" ContentType="image/png"/>
  <Override PartName="/word/media/rId653.png" ContentType="image/png"/>
  <Override PartName="/word/media/rId585.png" ContentType="image/png"/>
  <Override PartName="/word/media/rId528.png" ContentType="image/png"/>
  <Override PartName="/word/media/rId594.png" ContentType="image/png"/>
  <Override PartName="/word/media/rId537.png" ContentType="image/png"/>
  <Override PartName="/word/media/rId627.png" ContentType="image/png"/>
  <Override PartName="/word/media/rId657.png" ContentType="image/png"/>
  <Override PartName="/word/media/rId632.png" ContentType="image/png"/>
  <Override PartName="/word/media/rId561.png" ContentType="image/png"/>
  <Override PartName="/word/media/rId638.png" ContentType="image/png"/>
  <Override PartName="/word/media/rId615.png" ContentType="image/png"/>
  <Override PartName="/word/media/rId574.png" ContentType="image/png"/>
  <Override PartName="/word/media/rId619.png" ContentType="image/png"/>
  <Override PartName="/word/media/rId603.png" ContentType="image/png"/>
  <Override PartName="/word/media/rId599.png" ContentType="image/png"/>
  <Override PartName="/word/media/rId548.png" ContentType="image/png"/>
  <Override PartName="/word/media/rId557.png" ContentType="image/png"/>
  <Override PartName="/word/media/rId661.png" ContentType="image/png"/>
  <Override PartName="/word/media/rId533.png" ContentType="image/png"/>
  <Override PartName="/word/media/rId524.png" ContentType="image/png"/>
  <Override PartName="/word/media/rId589.png" ContentType="image/png"/>
  <Override PartName="/word/media/rId610.png" ContentType="image/png"/>
  <Override PartName="/word/media/rId553.png" ContentType="image/png"/>
  <Override PartName="/word/media/rId570.png" ContentType="image/png"/>
  <Override PartName="/word/media/rId566.png" ContentType="image/png"/>
  <Override PartName="/word/media/rId677.png" ContentType="image/png"/>
  <Override PartName="/word/media/rId674.png" ContentType="image/png"/>
  <Override PartName="/word/media/rId579.png" ContentType="image/png"/>
  <Override PartName="/word/media/rId643.png" ContentType="image/png"/>
  <Override PartName="/word/media/rId545.png" ContentType="image/png"/>
  <Override PartName="/word/media/rId541.png" ContentType="image/png"/>
  <Override PartName="/word/media/rId700.png" ContentType="image/png"/>
  <Override PartName="/word/media/rId737.png" ContentType="image/png"/>
  <Override PartName="/word/media/rId734.png" ContentType="image/png"/>
  <Override PartName="/word/media/rId685.png" ContentType="image/png"/>
  <Override PartName="/word/media/rId722.png" ContentType="image/png"/>
  <Override PartName="/word/media/rId719.png" ContentType="image/png"/>
  <Override PartName="/word/media/rId689.png" ContentType="image/png"/>
  <Override PartName="/word/media/rId693.png" ContentType="image/png"/>
  <Override PartName="/word/media/rId708.png" ContentType="image/png"/>
  <Override PartName="/word/media/rId715.png" ContentType="image/png"/>
  <Override PartName="/word/media/rId725.png" ContentType="image/png"/>
  <Override PartName="/word/media/rId730.png" ContentType="image/png"/>
  <Override PartName="/word/media/rId862.png" ContentType="image/png"/>
  <Override PartName="/word/media/rId754.png" ContentType="image/png"/>
  <Override PartName="/word/media/rId774.png" ContentType="image/png"/>
  <Override PartName="/word/media/rId770.png" ContentType="image/png"/>
  <Override PartName="/word/media/rId779.png" ContentType="image/png"/>
  <Override PartName="/word/media/rId823.png" ContentType="image/png"/>
  <Override PartName="/word/media/rId749.png" ContentType="image/png"/>
  <Override PartName="/word/media/rId797.png" ContentType="image/png"/>
  <Override PartName="/word/media/rId847.png" ContentType="image/png"/>
  <Override PartName="/word/media/rId842.png" ContentType="image/png"/>
  <Override PartName="/word/media/rId852.png" ContentType="image/png"/>
  <Override PartName="/word/media/rId788.png" ContentType="image/png"/>
  <Override PartName="/word/media/rId857.png" ContentType="image/png"/>
  <Override PartName="/word/media/rId827.png" ContentType="image/png"/>
  <Override PartName="/word/media/rId808.png" ContentType="image/png"/>
  <Override PartName="/word/media/rId831.png" ContentType="image/png"/>
  <Override PartName="/word/media/rId764.png" ContentType="image/png"/>
  <Override PartName="/word/media/rId744.png" ContentType="image/png"/>
  <Override PartName="/word/media/rId802.png" ContentType="image/png"/>
  <Override PartName="/word/media/rId818.png" ContentType="image/png"/>
  <Override PartName="/word/media/rId793.png" ContentType="image/png"/>
  <Override PartName="/word/media/rId838.png" ContentType="image/png"/>
  <Override PartName="/word/media/rId814.png" ContentType="image/png"/>
  <Override PartName="/word/media/rId760.png" ContentType="image/png"/>
  <Override PartName="/word/media/rId912.png" ContentType="image/png"/>
  <Override PartName="/word/media/rId895.png" ContentType="image/png"/>
  <Override PartName="/word/media/rId899.png" ContentType="image/png"/>
  <Override PartName="/word/media/rId877.png" ContentType="image/png"/>
  <Override PartName="/word/media/rId882.png" ContentType="image/png"/>
  <Override PartName="/word/media/rId903.png" ContentType="image/png"/>
  <Override PartName="/word/media/rId872.png" ContentType="image/png"/>
  <Override PartName="/word/media/rId886.png" ContentType="image/png"/>
  <Override PartName="/word/media/rId891.png" ContentType="image/png"/>
  <Override PartName="/word/media/rId907.png" ContentType="image/png"/>
  <Override PartName="/word/media/rId946.png" ContentType="image/png"/>
  <Override PartName="/word/media/rId921.png" ContentType="image/png"/>
  <Override PartName="/word/media/rId931.png" ContentType="image/png"/>
  <Override PartName="/word/media/rId936.png" ContentType="image/png"/>
  <Override PartName="/word/media/rId951.png" ContentType="image/png"/>
  <Override PartName="/word/media/rId926.png" ContentType="image/png"/>
  <Override PartName="/word/media/rId959.png" ContentType="image/png"/>
  <Override PartName="/word/media/rId942.png" ContentType="image/png"/>
  <Override PartName="/word/media/rId295.png" ContentType="image/png"/>
  <Override PartName="/word/media/rId177.png" ContentType="image/png"/>
  <Override PartName="/word/media/rId173.png" ContentType="image/png"/>
  <Override PartName="/word/media/rId169.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2026-07-08</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960"/>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72"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170" name="Picture"/>
            <a:graphic>
              <a:graphicData uri="http://schemas.openxmlformats.org/drawingml/2006/picture">
                <pic:pic>
                  <pic:nvPicPr>
                    <pic:cNvPr descr="images/carte_historique_nat_or.png" id="171" name="Picture"/>
                    <pic:cNvPicPr>
                      <a:picLocks noChangeArrowheads="1" noChangeAspect="1"/>
                    </pic:cNvPicPr>
                  </pic:nvPicPr>
                  <pic:blipFill>
                    <a:blip r:embed="rId169"/>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72"/>
    <w:bookmarkStart w:id="197"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1\Positron\RESOUR~1\app\quarto\share\formats\docx\warning.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6"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rpsdetexte"/>
      </w:pPr>
      <w:r>
        <w:t xml:space="preserve">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entre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p>
    <w:p>
      <w:pPr>
        <w:numPr>
          <w:ilvl w:val="0"/>
          <w:numId w:val="1003"/>
        </w:numPr>
      </w:pPr>
      <w:r>
        <w:t xml:space="preserve">la suppression du module dédié aux dépenses (D), qui était très long à administrer et qui avait peu été exploité dans le passé ;</w:t>
      </w:r>
    </w:p>
    <w:p>
      <w:pPr>
        <w:numPr>
          <w:ilvl w:val="0"/>
          <w:numId w:val="1003"/>
        </w:numPr>
      </w:pPr>
      <w:r>
        <w:t xml:space="preserve">l’introduction de nouveaux modules sur les évènements climatiques extrêmes (CC), la sécurité alimentaire (SA-SSA),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r>
        <w:rPr>
          <w:b/>
          <w:bCs/>
        </w:rPr>
        <w:t xml:space="preserve">?@sec-representativite</w:t>
      </w:r>
      <w:r>
        <w:t xml:space="preserve">.</w:t>
      </w:r>
    </w:p>
    <w:bookmarkEnd w:id="176"/>
    <w:bookmarkStart w:id="180"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PROGRA~1\Positron\RESOUR~1\app\quarto\share\formats\docx\note.png" id="179"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80"/>
    <w:bookmarkStart w:id="184"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182" name="Picture"/>
            <a:graphic>
              <a:graphicData uri="http://schemas.openxmlformats.org/drawingml/2006/picture">
                <pic:pic>
                  <pic:nvPicPr>
                    <pic:cNvPr descr="01_description_files/figure-docx/carte_site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4"/>
    <w:bookmarkStart w:id="190" w:name="ménages-enquêtés"/>
    <w:p>
      <w:pPr>
        <w:pStyle w:val="Titre2"/>
      </w:pPr>
      <w:r>
        <w:t xml:space="preserve">1.4 Ménages enquêtés</w:t>
      </w:r>
    </w:p>
    <w:p>
      <w:pPr>
        <w:pStyle w:val="FirstParagraph"/>
      </w:pPr>
      <w:r>
        <w:t xml:space="preserve">A Alaotra, 507 ménages sont enquêtés pour 1 975 individus.</w:t>
      </w:r>
    </w:p>
    <w:p>
      <w:pPr>
        <w:pStyle w:val="Corpsdetexte"/>
      </w:pPr>
      <w:r>
        <w:t xml:space="preserve">:::: {.content-hidden when-profile=</w:t>
      </w:r>
      <w:r>
        <w:t xml:space="preserve">“alaotra”</w:t>
      </w:r>
      <w:r>
        <w:t xml:space="preserve">}</w:t>
      </w:r>
      <w:r>
        <w:t xml:space="preserve"> </w:t>
      </w:r>
      <w:r>
        <w:t xml:space="preserve">::: obs-marovoay</w:t>
      </w:r>
      <w:r>
        <w:t xml:space="preserve"> </w:t>
      </w:r>
      <w:r>
        <w:t xml:space="preserve">A Marovoay, 519 ménages ont été enquêtés pour 2 297 individus.</w:t>
      </w:r>
      <w:r>
        <w:t xml:space="preserve"> </w:t>
      </w:r>
      <w:r>
        <w:t xml:space="preserve">:::</w:t>
      </w:r>
      <w:r>
        <w:t xml:space="preserve"> </w:t>
      </w:r>
      <w:r>
        <w:t xml:space="preserve">::::</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r>
            <w:tr>
              <w:tc>
                <w:tcPr>
                  <w:gridSpan w:val="3"/>
                </w:tcPr>
                <w:p>
                  <w:pPr>
                    <w:pStyle w:val="Compact"/>
                    <w:jc w:val="left"/>
                    <w:jc w:val="center"/>
                  </w:pPr>
                  <w:r>
                    <w:t xml:space="preserve">Source : Enquête auprès des OR 2025</w:t>
                  </w:r>
                </w:p>
              </w:tc>
            </w:tr>
          </w:tbl>
          <w:bookmarkEnd w:id="185"/>
          <w:p/>
        </w:tc>
      </w:tr>
    </w:tbl>
    <w:bookmarkStart w:id="187"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6"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t xml:space="preserve">Source : Synthèse Dénombrement OR 2025 &amp; Enquête auprès des OR 2025</w:t>
                  </w:r>
                </w:p>
              </w:tc>
            </w:tr>
          </w:tbl>
          <w:bookmarkEnd w:id="186"/>
          <w:p/>
        </w:tc>
      </w:tr>
    </w:tbl>
    <w:bookmarkEnd w:id="187"/>
    <w:bookmarkStart w:id="189"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8"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t xml:space="preserve">Source : Enquête auprès des OR 2025</w:t>
                  </w:r>
                </w:p>
              </w:tc>
            </w:tr>
          </w:tbl>
          <w:bookmarkEnd w:id="188"/>
          <w:p/>
        </w:tc>
      </w:tr>
    </w:tbl>
    <w:bookmarkEnd w:id="189"/>
    <w:bookmarkEnd w:id="190"/>
    <w:bookmarkStart w:id="196"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4"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131785"/>
                  <wp:effectExtent b="0" l="0" r="0" t="0"/>
                  <wp:docPr descr="" title="" id="192" name="Picture"/>
                  <a:graphic>
                    <a:graphicData uri="http://schemas.openxmlformats.org/drawingml/2006/picture">
                      <pic:pic>
                        <pic:nvPicPr>
                          <pic:cNvPr descr="01_description_files/figure-docx/fig-chronogramme-1.png" id="193" name="Picture"/>
                          <pic:cNvPicPr>
                            <a:picLocks noChangeArrowheads="1" noChangeAspect="1"/>
                          </pic:cNvPicPr>
                        </pic:nvPicPr>
                        <pic:blipFill>
                          <a:blip r:embed="rId191"/>
                          <a:stretch>
                            <a:fillRect/>
                          </a:stretch>
                        </pic:blipFill>
                        <pic:spPr bwMode="auto">
                          <a:xfrm>
                            <a:off x="0" y="0"/>
                            <a:ext cx="5969000" cy="2131785"/>
                          </a:xfrm>
                          <a:prstGeom prst="rect">
                            <a:avLst/>
                          </a:prstGeom>
                          <a:noFill/>
                          <a:ln w="9525">
                            <a:noFill/>
                            <a:headEnd/>
                            <a:tailEnd/>
                          </a:ln>
                        </pic:spPr>
                      </pic:pic>
                    </a:graphicData>
                  </a:graphic>
                </wp:inline>
              </w:drawing>
            </w:r>
          </w:p>
          <w:bookmarkEnd w:id="194"/>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5"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519</w:t>
                  </w:r>
                </w:p>
              </w:tc>
            </w:tr>
            <w:tr>
              <w:tc>
                <w:tcPr>
                  <w:gridSpan w:val="5"/>
                </w:tcPr>
                <w:p>
                  <w:pPr>
                    <w:pStyle w:val="Compact"/>
                    <w:jc w:val="left"/>
                    <w:jc w:val="center"/>
                  </w:pPr>
                  <w:r>
                    <w:t xml:space="preserve">Source : Enquête auprès des OR 2025</w:t>
                  </w:r>
                </w:p>
              </w:tc>
            </w:tr>
          </w:tbl>
          <w:bookmarkEnd w:id="195"/>
          <w:p/>
        </w:tc>
      </w:tr>
    </w:tbl>
    <w:p>
      <w:pPr>
        <w:pStyle w:val="Corpsdetexte"/>
      </w:pPr>
      <w:r>
        <w:t xml:space="preserve">L’enquête a mobilisé 20 enquêteurs (10 par observatoire), encadrés par 6 superviseurs (3 par observatoire). La saisie des questionnaires a été assurée par 4 opérateurs.</w:t>
      </w:r>
    </w:p>
    <w:bookmarkEnd w:id="196"/>
    <w:bookmarkEnd w:id="197"/>
    <w:bookmarkStart w:id="311"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c:\PROGRA~1\Positron\RESOUR~1\app\quarto\share\formats\docx\warning.png" id="19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21" w:name="description-des-ménages"/>
    <w:p>
      <w:pPr>
        <w:pStyle w:val="Titre2"/>
      </w:pPr>
      <w:r>
        <w:t xml:space="preserve">2.1 Description des ménages</w:t>
      </w:r>
    </w:p>
    <w:bookmarkStart w:id="203"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p>
      <w:pPr>
        <w:pStyle w:val="CaptionedFigure"/>
      </w:pPr>
      <w:r>
        <w:drawing>
          <wp:inline>
            <wp:extent cx="4620126" cy="4620126"/>
            <wp:effectExtent b="0" l="0" r="0" t="0"/>
            <wp:docPr descr="Taille moyenne des ménages par hameau selon les observatoires" title="" id="201" name="Picture"/>
            <a:graphic>
              <a:graphicData uri="http://schemas.openxmlformats.org/drawingml/2006/picture">
                <pic:pic>
                  <pic:nvPicPr>
                    <pic:cNvPr descr="02_structure_menages_files/figure-docx/fig_men_hameau-1.png" id="202" name="Picture"/>
                    <pic:cNvPicPr>
                      <a:picLocks noChangeArrowheads="1" noChangeAspect="1"/>
                    </pic:cNvPicPr>
                  </pic:nvPicPr>
                  <pic:blipFill>
                    <a:blip r:embed="rId200"/>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Taille moyenne des ménages par hameau selon les observatoires</w:t>
      </w:r>
    </w:p>
    <w:bookmarkEnd w:id="203"/>
    <w:bookmarkStart w:id="208"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7"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p>
      <w:pPr>
        <w:pStyle w:val="CaptionedFigure"/>
      </w:pPr>
      <w:r>
        <w:drawing>
          <wp:inline>
            <wp:extent cx="4620126" cy="3234088"/>
            <wp:effectExtent b="0" l="0" r="0" t="0"/>
            <wp:docPr descr="Pyramide des âges des membres des ménages enquêtés par observatoire" title="" id="205" name="Picture"/>
            <a:graphic>
              <a:graphicData uri="http://schemas.openxmlformats.org/drawingml/2006/picture">
                <pic:pic>
                  <pic:nvPicPr>
                    <pic:cNvPr descr="02_structure_menages_files/figure-docx/fig_pyramide-1.png" id="206" name="Picture"/>
                    <pic:cNvPicPr>
                      <a:picLocks noChangeArrowheads="1" noChangeAspect="1"/>
                    </pic:cNvPicPr>
                  </pic:nvPicPr>
                  <pic:blipFill>
                    <a:blip r:embed="rId204"/>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7"/>
    <w:bookmarkEnd w:id="208"/>
    <w:bookmarkStart w:id="212"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La répartition de ces catégories diffère sensiblement entre les deux observatoires.</w:t>
      </w:r>
      <w:r>
        <w:t xml:space="preserve"> </w:t>
      </w:r>
      <w:r>
        <w:t xml:space="preserve">L’Alaotra reste une zone de peuplement stable, tandis que Marovoay illustre une dynamique migratoire historique forte, où les descendants de migrants sont désormais aussi nombreux que les natifs.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p>
      <w:pPr>
        <w:pStyle w:val="Corpsdetexte"/>
      </w:pPr>
      <w:r>
        <w:drawing>
          <wp:inline>
            <wp:extent cx="4620126" cy="3696101"/>
            <wp:effectExtent b="0" l="0" r="0" t="0"/>
            <wp:docPr descr="" title="" id="210" name="Picture"/>
            <a:graphic>
              <a:graphicData uri="http://schemas.openxmlformats.org/drawingml/2006/picture">
                <pic:pic>
                  <pic:nvPicPr>
                    <pic:cNvPr descr="02_structure_menages_files/figure-docx/fig_origine-1.png" id="211" name="Picture"/>
                    <pic:cNvPicPr>
                      <a:picLocks noChangeArrowheads="1" noChangeAspect="1"/>
                    </pic:cNvPicPr>
                  </pic:nvPicPr>
                  <pic:blipFill>
                    <a:blip r:embed="rId209"/>
                    <a:stretch>
                      <a:fillRect/>
                    </a:stretch>
                  </pic:blipFill>
                  <pic:spPr bwMode="auto">
                    <a:xfrm>
                      <a:off x="0" y="0"/>
                      <a:ext cx="4620126" cy="3696101"/>
                    </a:xfrm>
                    <a:prstGeom prst="rect">
                      <a:avLst/>
                    </a:prstGeom>
                    <a:noFill/>
                    <a:ln w="9525">
                      <a:noFill/>
                      <a:headEnd/>
                      <a:tailEnd/>
                    </a:ln>
                  </pic:spPr>
                </pic:pic>
              </a:graphicData>
            </a:graphic>
          </wp:inline>
        </w:drawing>
      </w:r>
    </w:p>
    <w:bookmarkEnd w:id="212"/>
    <w:bookmarkStart w:id="216" w:name="région-dorigine"/>
    <w:p>
      <w:pPr>
        <w:pStyle w:val="Titre3"/>
      </w:pPr>
      <w:r>
        <w:t xml:space="preserve">2.1.4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t xml:space="preserve">À Alaotra, les chefs de ménage et leurs conjoints non natifs de la localité proviennent majoritairement de l’extérieur de la commune de résidence, avec respectivement 62.5% et 54.3%. Les personnes originaires de la même commune représentent ensuite 21.9% des chefs de ménage et 32.4% des conjoints. Enfin, les non natifs issus du même fokontany constituent 15.6% des chefs de ménage et 13.3% des conjoints.</w:t>
      </w:r>
    </w:p>
    <w:p>
      <w:pPr>
        <w:pStyle w:val="Corpsdetexte"/>
      </w:pPr>
      <w:r>
        <w:t xml:space="preserve">À Marovoay, l’origine principale des chefs de ménage et de leurs conjoints non natifs de la localité se situe également hors de la commune de résidence, avec 89.1% des chefs de ménage et 74.5% des conjoints concernés. Par ailleurs, 19.1% des conjoints non natifs proviennent de la même commune.</w:t>
      </w:r>
    </w:p>
    <w:p>
      <w:pPr>
        <w:pStyle w:val="Corpsdetexte"/>
      </w:pPr>
      <w:r>
        <w:drawing>
          <wp:inline>
            <wp:extent cx="4620126" cy="3696101"/>
            <wp:effectExtent b="0" l="0" r="0" t="0"/>
            <wp:docPr descr="" title="" id="214" name="Picture"/>
            <a:graphic>
              <a:graphicData uri="http://schemas.openxmlformats.org/drawingml/2006/picture">
                <pic:pic>
                  <pic:nvPicPr>
                    <pic:cNvPr descr="02_structure_menages_files/figure-docx/fig_homeland-1.png" id="215" name="Picture"/>
                    <pic:cNvPicPr>
                      <a:picLocks noChangeArrowheads="1" noChangeAspect="1"/>
                    </pic:cNvPicPr>
                  </pic:nvPicPr>
                  <pic:blipFill>
                    <a:blip r:embed="rId213"/>
                    <a:stretch>
                      <a:fillRect/>
                    </a:stretch>
                  </pic:blipFill>
                  <pic:spPr bwMode="auto">
                    <a:xfrm>
                      <a:off x="0" y="0"/>
                      <a:ext cx="4620126" cy="3696101"/>
                    </a:xfrm>
                    <a:prstGeom prst="rect">
                      <a:avLst/>
                    </a:prstGeom>
                    <a:noFill/>
                    <a:ln w="9525">
                      <a:noFill/>
                      <a:headEnd/>
                      <a:tailEnd/>
                    </a:ln>
                  </pic:spPr>
                </pic:pic>
              </a:graphicData>
            </a:graphic>
          </wp:inline>
        </w:drawing>
      </w:r>
    </w:p>
    <w:bookmarkEnd w:id="216"/>
    <w:bookmarkStart w:id="22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p>
      <w:pPr>
        <w:pStyle w:val="Corpsdetexte"/>
      </w:pPr>
      <w:r>
        <w:drawing>
          <wp:inline>
            <wp:extent cx="4620126" cy="3696101"/>
            <wp:effectExtent b="0" l="0" r="0" t="0"/>
            <wp:docPr descr="" title="" id="218" name="Picture"/>
            <a:graphic>
              <a:graphicData uri="http://schemas.openxmlformats.org/drawingml/2006/picture">
                <pic:pic>
                  <pic:nvPicPr>
                    <pic:cNvPr descr="02_structure_menages_files/figure-docx/fig_raison-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bookmarkEnd w:id="220"/>
    <w:bookmarkEnd w:id="221"/>
    <w:bookmarkStart w:id="253"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25"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p>
      <w:pPr>
        <w:pStyle w:val="CaptionedFigure"/>
      </w:pPr>
      <w:r>
        <w:drawing>
          <wp:inline>
            <wp:extent cx="4620126" cy="4620126"/>
            <wp:effectExtent b="0" l="0" r="0" t="0"/>
            <wp:docPr descr="Statut matrimonial des chefs de ménage" title="" id="223" name="Picture"/>
            <a:graphic>
              <a:graphicData uri="http://schemas.openxmlformats.org/drawingml/2006/picture">
                <pic:pic>
                  <pic:nvPicPr>
                    <pic:cNvPr descr="02_structure_menages_files/figure-docx/fig_cm_statut-1.png" id="224" name="Picture"/>
                    <pic:cNvPicPr>
                      <a:picLocks noChangeArrowheads="1" noChangeAspect="1"/>
                    </pic:cNvPicPr>
                  </pic:nvPicPr>
                  <pic:blipFill>
                    <a:blip r:embed="rId222"/>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chefs de ménage</w:t>
      </w:r>
    </w:p>
    <w:bookmarkEnd w:id="225"/>
    <w:bookmarkStart w:id="234"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9"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p>
      <w:pPr>
        <w:pStyle w:val="Corpsdetexte"/>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p>
      <w:pPr>
        <w:pStyle w:val="CaptionedFigure"/>
      </w:pPr>
      <w:r>
        <w:drawing>
          <wp:inline>
            <wp:extent cx="4620126" cy="3696101"/>
            <wp:effectExtent b="0" l="0" r="0" t="0"/>
            <wp:docPr descr="Niveau d’éducation des chefs de ménage" title="" id="227" name="Picture"/>
            <a:graphic>
              <a:graphicData uri="http://schemas.openxmlformats.org/drawingml/2006/picture">
                <pic:pic>
                  <pic:nvPicPr>
                    <pic:cNvPr descr="02_structure_menages_files/figure-docx/fig_cm_educ-1.png" id="228" name="Picture"/>
                    <pic:cNvPicPr>
                      <a:picLocks noChangeArrowheads="1" noChangeAspect="1"/>
                    </pic:cNvPicPr>
                  </pic:nvPicPr>
                  <pic:blipFill>
                    <a:blip r:embed="rId22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229"/>
    <w:bookmarkStart w:id="233"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p>
      <w:pPr>
        <w:pStyle w:val="CaptionedFigure"/>
      </w:pPr>
      <w:r>
        <w:drawing>
          <wp:inline>
            <wp:extent cx="4620126" cy="3696101"/>
            <wp:effectExtent b="0" l="0" r="0" t="0"/>
            <wp:docPr descr="Niveau d’éducation des CM par sexe" title="" id="231" name="Picture"/>
            <a:graphic>
              <a:graphicData uri="http://schemas.openxmlformats.org/drawingml/2006/picture">
                <pic:pic>
                  <pic:nvPicPr>
                    <pic:cNvPr descr="02_structure_menages_files/figure-docx/fig_cm_educ_sex-1.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233"/>
    <w:bookmarkEnd w:id="234"/>
    <w:bookmarkStart w:id="243"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8"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p>
      <w:pPr>
        <w:pStyle w:val="Corpsdetexte"/>
      </w:pPr>
      <w:r>
        <w:t xml:space="preserve">A Marovoay, 74 % des CM savent lire aisément.</w:t>
      </w:r>
      <w:r>
        <w:t xml:space="preserve"> </w:t>
      </w:r>
      <w:r>
        <w:t xml:space="preserve">Les niveaux de lecture et d’écriture varient sensiblement selon les localités et le sexe.</w:t>
      </w:r>
      <w:r>
        <w:t xml:space="preserve"> </w:t>
      </w:r>
      <w:r>
        <w:t xml:space="preserve">L’écart entre hommes et femmes en matière d’alphabétisation traduit un accès inégal à l’éducation qui se répercute sur la capacité des ménages féminins à accéder à l’information et aux services.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t xml:space="preserve">Source : Enquête auprès des OR 2025</w:t>
            </w:r>
          </w:p>
        </w:tc>
      </w:tr>
    </w:tbl>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p>
      <w:pPr>
        <w:pStyle w:val="CaptionedFigure"/>
      </w:pPr>
      <w:r>
        <w:drawing>
          <wp:inline>
            <wp:extent cx="4620126" cy="3696101"/>
            <wp:effectExtent b="0" l="0" r="0" t="0"/>
            <wp:docPr descr="Aptitude à la lecture des CM selon le sexe" title="" id="236" name="Picture"/>
            <a:graphic>
              <a:graphicData uri="http://schemas.openxmlformats.org/drawingml/2006/picture">
                <pic:pic>
                  <pic:nvPicPr>
                    <pic:cNvPr descr="02_structure_menages_files/figure-docx/fig_cm_read_sex-1.png" id="237" name="Picture"/>
                    <pic:cNvPicPr>
                      <a:picLocks noChangeArrowheads="1" noChangeAspect="1"/>
                    </pic:cNvPicPr>
                  </pic:nvPicPr>
                  <pic:blipFill>
                    <a:blip r:embed="rId2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8"/>
    <w:bookmarkStart w:id="242"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t xml:space="preserve">Source : Enquête auprès des OR 2025</w:t>
            </w:r>
          </w:p>
        </w:tc>
      </w:tr>
    </w:tbl>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p>
      <w:pPr>
        <w:pStyle w:val="CaptionedFigure"/>
      </w:pPr>
      <w:r>
        <w:drawing>
          <wp:inline>
            <wp:extent cx="4620126" cy="3696101"/>
            <wp:effectExtent b="0" l="0" r="0" t="0"/>
            <wp:docPr descr="Aptitude à l’écriture des CM selon le sexe" title="" id="240" name="Picture"/>
            <a:graphic>
              <a:graphicData uri="http://schemas.openxmlformats.org/drawingml/2006/picture">
                <pic:pic>
                  <pic:nvPicPr>
                    <pic:cNvPr descr="02_structure_menages_files/figure-docx/fig_cm_write_sex-1.png" id="241" name="Picture"/>
                    <pic:cNvPicPr>
                      <a:picLocks noChangeArrowheads="1" noChangeAspect="1"/>
                    </pic:cNvPicPr>
                  </pic:nvPicPr>
                  <pic:blipFill>
                    <a:blip r:embed="rId2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42"/>
    <w:bookmarkEnd w:id="243"/>
    <w:bookmarkStart w:id="252"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et au transport occupent 8.9 % des CM tandis que l’élevage, la pêche et l’exploitation des ressources naturelles sont cités comme activité principale par 6.1 % d’entre eux.</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47"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2772075"/>
                  <wp:effectExtent b="0" l="0" r="0" t="0"/>
                  <wp:docPr descr="" title="" id="245" name="Picture"/>
                  <a:graphic>
                    <a:graphicData uri="http://schemas.openxmlformats.org/drawingml/2006/picture">
                      <pic:pic>
                        <pic:nvPicPr>
                          <pic:cNvPr descr="02_structure_menages_files/figure-docx/fig-cm-act-1.png" id="246" name="Picture"/>
                          <pic:cNvPicPr>
                            <a:picLocks noChangeArrowheads="1" noChangeAspect="1"/>
                          </pic:cNvPicPr>
                        </pic:nvPicPr>
                        <pic:blipFill>
                          <a:blip r:embed="rId244"/>
                          <a:stretch>
                            <a:fillRect/>
                          </a:stretch>
                        </pic:blipFill>
                        <pic:spPr bwMode="auto">
                          <a:xfrm>
                            <a:off x="0" y="0"/>
                            <a:ext cx="4620126" cy="2772075"/>
                          </a:xfrm>
                          <a:prstGeom prst="rect">
                            <a:avLst/>
                          </a:prstGeom>
                          <a:noFill/>
                          <a:ln w="9525">
                            <a:noFill/>
                            <a:headEnd/>
                            <a:tailEnd/>
                          </a:ln>
                        </pic:spPr>
                      </pic:pic>
                    </a:graphicData>
                  </a:graphic>
                </wp:inline>
              </w:drawing>
            </w:r>
          </w:p>
          <w:bookmarkEnd w:id="247"/>
        </w:tc>
      </w:tr>
    </w:tbl>
    <w:bookmarkStart w:id="251"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p>
      <w:pPr>
        <w:pStyle w:val="CaptionedFigure"/>
      </w:pPr>
      <w:r>
        <w:drawing>
          <wp:inline>
            <wp:extent cx="4620126" cy="3696101"/>
            <wp:effectExtent b="0" l="0" r="0" t="0"/>
            <wp:docPr descr="Activités principales des CM par observatoire et sexe" title="" id="249" name="Picture"/>
            <a:graphic>
              <a:graphicData uri="http://schemas.openxmlformats.org/drawingml/2006/picture">
                <pic:pic>
                  <pic:nvPicPr>
                    <pic:cNvPr descr="02_structure_menages_files/figure-docx/fig_cm_act_sex-1.png" id="250" name="Picture"/>
                    <pic:cNvPicPr>
                      <a:picLocks noChangeArrowheads="1" noChangeAspect="1"/>
                    </pic:cNvPicPr>
                  </pic:nvPicPr>
                  <pic:blipFill>
                    <a:blip r:embed="rId2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51"/>
    <w:bookmarkEnd w:id="252"/>
    <w:bookmarkEnd w:id="253"/>
    <w:bookmarkStart w:id="294"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57"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p>
      <w:pPr>
        <w:pStyle w:val="CaptionedFigure"/>
      </w:pPr>
      <w:r>
        <w:drawing>
          <wp:inline>
            <wp:extent cx="4620126" cy="4620126"/>
            <wp:effectExtent b="0" l="0" r="0" t="0"/>
            <wp:docPr descr="Statut matrimonial des autres membres (12 ans et plus)" title="" id="255" name="Picture"/>
            <a:graphic>
              <a:graphicData uri="http://schemas.openxmlformats.org/drawingml/2006/picture">
                <pic:pic>
                  <pic:nvPicPr>
                    <pic:cNvPr descr="02_structure_menages_files/figure-docx/fig_other_statut-1.png" id="256" name="Picture"/>
                    <pic:cNvPicPr>
                      <a:picLocks noChangeArrowheads="1" noChangeAspect="1"/>
                    </pic:cNvPicPr>
                  </pic:nvPicPr>
                  <pic:blipFill>
                    <a:blip r:embed="rId254"/>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autres membres (12 ans et plus)</w:t>
      </w:r>
    </w:p>
    <w:bookmarkEnd w:id="257"/>
    <w:bookmarkStart w:id="275"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61"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p>
      <w:pPr>
        <w:pStyle w:val="CaptionedFigure"/>
      </w:pPr>
      <w:r>
        <w:drawing>
          <wp:inline>
            <wp:extent cx="4620126" cy="3696101"/>
            <wp:effectExtent b="0" l="0" r="0" t="0"/>
            <wp:docPr descr="Niveau d’éducation des autres membres" title="" id="259" name="Picture"/>
            <a:graphic>
              <a:graphicData uri="http://schemas.openxmlformats.org/drawingml/2006/picture">
                <pic:pic>
                  <pic:nvPicPr>
                    <pic:cNvPr descr="02_structure_menages_files/figure-docx/fig_other_educ-1.png" id="260" name="Picture"/>
                    <pic:cNvPicPr>
                      <a:picLocks noChangeArrowheads="1" noChangeAspect="1"/>
                    </pic:cNvPicPr>
                  </pic:nvPicPr>
                  <pic:blipFill>
                    <a:blip r:embed="rId25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261"/>
    <w:bookmarkStart w:id="265"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p>
      <w:pPr>
        <w:pStyle w:val="Corpsdetexte"/>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p>
      <w:pPr>
        <w:pStyle w:val="CaptionedFigure"/>
      </w:pPr>
      <w:r>
        <w:drawing>
          <wp:inline>
            <wp:extent cx="4620126" cy="3696101"/>
            <wp:effectExtent b="0" l="0" r="0" t="0"/>
            <wp:docPr descr="Niveau d’éducation des autres membres par sexe" title="" id="263" name="Picture"/>
            <a:graphic>
              <a:graphicData uri="http://schemas.openxmlformats.org/drawingml/2006/picture">
                <pic:pic>
                  <pic:nvPicPr>
                    <pic:cNvPr descr="02_structure_menages_files/figure-docx/fig_other_educ_sex-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65"/>
    <w:bookmarkStart w:id="274"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69" w:name="savoir-lire-1"/>
    <w:p>
      <w:pPr>
        <w:pStyle w:val="Titre5"/>
      </w:pPr>
      <w:r>
        <w:t xml:space="preserve">2.3.2.3.1 Savoir lire</w:t>
      </w:r>
    </w:p>
    <w:p>
      <w:pPr>
        <w:pStyle w:val="FirstParagraph"/>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p>
      <w:pPr>
        <w:pStyle w:val="Corpsdetexte"/>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p>
      <w:pPr>
        <w:pStyle w:val="CaptionedFigure"/>
      </w:pPr>
      <w:r>
        <w:drawing>
          <wp:inline>
            <wp:extent cx="4620126" cy="3696101"/>
            <wp:effectExtent b="0" l="0" r="0" t="0"/>
            <wp:docPr descr="Aptitude à la lecture des autres membres selon le sexe" title="" id="267" name="Picture"/>
            <a:graphic>
              <a:graphicData uri="http://schemas.openxmlformats.org/drawingml/2006/picture">
                <pic:pic>
                  <pic:nvPicPr>
                    <pic:cNvPr descr="02_structure_menages_files/figure-docx/fig_other_read_sex-1.png" id="268" name="Picture"/>
                    <pic:cNvPicPr>
                      <a:picLocks noChangeArrowheads="1" noChangeAspect="1"/>
                    </pic:cNvPicPr>
                  </pic:nvPicPr>
                  <pic:blipFill>
                    <a:blip r:embed="rId26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69"/>
    <w:bookmarkStart w:id="273"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p>
      <w:pPr>
        <w:pStyle w:val="Corpsdetexte"/>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t xml:space="preserve">Source : Enquête auprès des OR 2025</w:t>
            </w:r>
          </w:p>
        </w:tc>
      </w:tr>
    </w:tbl>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p>
      <w:pPr>
        <w:pStyle w:val="CaptionedFigure"/>
      </w:pPr>
      <w:r>
        <w:drawing>
          <wp:inline>
            <wp:extent cx="4620126" cy="3696101"/>
            <wp:effectExtent b="0" l="0" r="0" t="0"/>
            <wp:docPr descr="Aptitude à l’écriture des autres membres selon le sexe" title="" id="271" name="Picture"/>
            <a:graphic>
              <a:graphicData uri="http://schemas.openxmlformats.org/drawingml/2006/picture">
                <pic:pic>
                  <pic:nvPicPr>
                    <pic:cNvPr descr="02_structure_menages_files/figure-docx/fig_other_write_sex-1.png" id="272" name="Picture"/>
                    <pic:cNvPicPr>
                      <a:picLocks noChangeArrowheads="1" noChangeAspect="1"/>
                    </pic:cNvPicPr>
                  </pic:nvPicPr>
                  <pic:blipFill>
                    <a:blip r:embed="rId2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73"/>
    <w:bookmarkEnd w:id="274"/>
    <w:bookmarkEnd w:id="275"/>
    <w:bookmarkStart w:id="283"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76" w:name="X018eed9deeb686660e0600abc5f043ef00d6169"/>
    <w:p>
      <w:pPr>
        <w:pStyle w:val="Titre4"/>
      </w:pPr>
      <w:r>
        <w:t xml:space="preserve">2.3.3.1 Taux net de scolarisation des enfants de 6 à 14 ans</w:t>
      </w:r>
    </w:p>
    <w:p>
      <w:pPr>
        <w:pStyle w:val="FirstParagraph"/>
      </w:pPr>
      <w:r>
        <w:t xml:space="preserve">Dans l’Alaotra, le taux net de scolarisation s’élève à 93.7 %.</w:t>
      </w:r>
    </w:p>
    <w:p>
      <w:pPr>
        <w:pStyle w:val="Corpsdetexte"/>
      </w:pPr>
      <w:r>
        <w:t xml:space="preserve">Dans Marovoay, le taux net de scolarisation s’élève à 81.7 %.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t xml:space="preserve">Source : Enquête auprès des OR 2025</w:t>
            </w:r>
          </w:p>
        </w:tc>
      </w:tr>
    </w:tbl>
    <w:bookmarkEnd w:id="276"/>
    <w:bookmarkStart w:id="277"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440"/>
        <w:gridCol w:w="440"/>
        <w:gridCol w:w="440"/>
        <w:gridCol w:w="440"/>
        <w:gridCol w:w="440"/>
        <w:gridCol w:w="440"/>
        <w:gridCol w:w="440"/>
        <w:gridCol w:w="440"/>
        <w:gridCol w:w="440"/>
        <w:gridCol w:w="440"/>
        <w:gridCol w:w="440"/>
        <w:gridCol w:w="440"/>
        <w:gridCol w:w="440"/>
        <w:gridCol w:w="440"/>
        <w:gridCol w:w="440"/>
        <w:gridCol w:w="440"/>
        <w:gridCol w:w="440"/>
        <w:gridCol w:w="440"/>
      </w:tblGrid>
      <w:tr>
        <w:trPr>
          <w:tblHeader w:val="on"/>
        </w:trPr>
        <w:tc>
          <w:tcPr>
            <w:gridSpan w:val="18"/>
          </w:tcPr>
          <w:p>
            <w:pPr>
              <w:pStyle w:val="Compact"/>
              <w:jc w:val="center"/>
            </w:pPr>
            <w:r>
              <w:t xml:space="preserve">Classe suivie en 2024-2025 par catégorie d'âge</w:t>
            </w:r>
          </w:p>
        </w:tc>
      </w:tr>
      <w:tr>
        <w:trPr>
          <w:tblHeader w:val="on"/>
        </w:trPr>
        <w:tc>
          <w:tcPr/>
          <w:p>
            <w:pPr>
              <w:pStyle w:val="Compact"/>
              <w:jc w:val="center"/>
            </w:pPr>
            <w:r>
              <w:t xml:space="preserve">Catégorie d'âge</w:t>
            </w:r>
          </w:p>
        </w:tc>
        <w:tc>
          <w:tcPr/>
          <w:p>
            <w:pPr>
              <w:pStyle w:val="Compact"/>
              <w:jc w:val="right"/>
            </w:pPr>
            <w:r>
              <w:t xml:space="preserve">Prescolaire</w:t>
            </w:r>
          </w:p>
        </w:tc>
        <w:tc>
          <w:tcPr/>
          <w:p>
            <w:pPr>
              <w:pStyle w:val="Compact"/>
              <w:jc w:val="right"/>
            </w:pPr>
            <w:r>
              <w:t xml:space="preserve">CP1</w:t>
            </w:r>
          </w:p>
        </w:tc>
        <w:tc>
          <w:tcPr/>
          <w:p>
            <w:pPr>
              <w:pStyle w:val="Compact"/>
              <w:jc w:val="right"/>
            </w:pPr>
            <w:r>
              <w:t xml:space="preserve">CP2</w:t>
            </w:r>
          </w:p>
        </w:tc>
        <w:tc>
          <w:tcPr/>
          <w:p>
            <w:pPr>
              <w:pStyle w:val="Compact"/>
              <w:jc w:val="right"/>
            </w:pPr>
            <w:r>
              <w:t xml:space="preserve">CE</w:t>
            </w:r>
          </w:p>
        </w:tc>
        <w:tc>
          <w:tcPr/>
          <w:p>
            <w:pPr>
              <w:pStyle w:val="Compact"/>
              <w:jc w:val="right"/>
            </w:pPr>
            <w:r>
              <w:t xml:space="preserve">CM1</w:t>
            </w:r>
          </w:p>
        </w:tc>
        <w:tc>
          <w:tcPr/>
          <w:p>
            <w:pPr>
              <w:pStyle w:val="Compact"/>
              <w:jc w:val="right"/>
            </w:pPr>
            <w:r>
              <w:t xml:space="preserve">CM2</w:t>
            </w:r>
          </w:p>
        </w:tc>
        <w:tc>
          <w:tcPr/>
          <w:p>
            <w:pPr>
              <w:pStyle w:val="Compact"/>
              <w:jc w:val="right"/>
            </w:pPr>
            <w:r>
              <w:t xml:space="preserve">6e</w:t>
            </w:r>
          </w:p>
        </w:tc>
        <w:tc>
          <w:tcPr/>
          <w:p>
            <w:pPr>
              <w:pStyle w:val="Compact"/>
              <w:jc w:val="right"/>
            </w:pPr>
            <w:r>
              <w:t xml:space="preserve">5e</w:t>
            </w:r>
          </w:p>
        </w:tc>
        <w:tc>
          <w:tcPr/>
          <w:p>
            <w:pPr>
              <w:pStyle w:val="Compact"/>
              <w:jc w:val="right"/>
            </w:pPr>
            <w:r>
              <w:t xml:space="preserve">4e</w:t>
            </w:r>
          </w:p>
        </w:tc>
        <w:tc>
          <w:tcPr/>
          <w:p>
            <w:pPr>
              <w:pStyle w:val="Compact"/>
              <w:jc w:val="right"/>
            </w:pPr>
            <w:r>
              <w:t xml:space="preserve">3e</w:t>
            </w:r>
          </w:p>
        </w:tc>
        <w:tc>
          <w:tcPr/>
          <w:p>
            <w:pPr>
              <w:pStyle w:val="Compact"/>
              <w:jc w:val="right"/>
            </w:pPr>
            <w:r>
              <w:t xml:space="preserve">2nde</w:t>
            </w:r>
          </w:p>
        </w:tc>
        <w:tc>
          <w:tcPr/>
          <w:p>
            <w:pPr>
              <w:pStyle w:val="Compact"/>
              <w:jc w:val="right"/>
            </w:pPr>
            <w:r>
              <w:t xml:space="preserve">1ere</w:t>
            </w:r>
          </w:p>
        </w:tc>
        <w:tc>
          <w:tcPr/>
          <w:p>
            <w:pPr>
              <w:pStyle w:val="Compact"/>
              <w:jc w:val="right"/>
            </w:pPr>
            <w:r>
              <w:t xml:space="preserve">Terminale</w:t>
            </w:r>
          </w:p>
        </w:tc>
        <w:tc>
          <w:tcPr/>
          <w:p>
            <w:pPr>
              <w:pStyle w:val="Compact"/>
              <w:jc w:val="right"/>
            </w:pPr>
            <w:r>
              <w:t xml:space="preserve">Superieur BAC+1</w:t>
            </w:r>
          </w:p>
        </w:tc>
        <w:tc>
          <w:tcPr/>
          <w:p>
            <w:pPr>
              <w:pStyle w:val="Compact"/>
              <w:jc w:val="right"/>
            </w:pPr>
            <w:r>
              <w:t xml:space="preserve">Superieur BAC+2</w:t>
            </w:r>
          </w:p>
        </w:tc>
        <w:tc>
          <w:tcPr/>
          <w:p>
            <w:pPr>
              <w:pStyle w:val="Compact"/>
              <w:jc w:val="right"/>
            </w:pPr>
            <w:r>
              <w:t xml:space="preserve">Superieur licence+</w:t>
            </w:r>
          </w:p>
        </w:tc>
        <w:tc>
          <w:tcPr/>
          <w:p>
            <w:pPr>
              <w:pStyle w:val="Compact"/>
              <w:jc w:val="right"/>
            </w:pPr>
            <w:r>
              <w:t xml:space="preserve">Inconnu</w:t>
            </w:r>
          </w:p>
        </w:tc>
      </w:tr>
      <w:tr>
        <w:tc>
          <w:tcPr>
            <w:gridSpan w:val="18"/>
          </w:tcPr>
          <w:p>
            <w:pPr>
              <w:pStyle w:val="Compact"/>
              <w:jc w:val="left"/>
            </w:pPr>
            <w:r>
              <w:t xml:space="preserve">Alaotra</w:t>
            </w:r>
          </w:p>
        </w:tc>
      </w:tr>
      <w:tr>
        <w:tc>
          <w:tcPr/>
          <w:p>
            <w:pPr>
              <w:pStyle w:val="Compact"/>
              <w:jc w:val="center"/>
            </w:pPr>
            <w:r>
              <w:t xml:space="preserve">3-5 ans</w:t>
            </w:r>
          </w:p>
        </w:tc>
        <w:tc>
          <w:tcPr/>
          <w:p>
            <w:pPr>
              <w:pStyle w:val="Compact"/>
              <w:jc w:val="right"/>
            </w:pPr>
            <w:r>
              <w:t xml:space="preserve">60.6</w:t>
            </w:r>
          </w:p>
        </w:tc>
        <w:tc>
          <w:tcPr/>
          <w:p>
            <w:pPr>
              <w:pStyle w:val="Compact"/>
              <w:jc w:val="right"/>
            </w:pPr>
            <w:r>
              <w:t xml:space="preserve">39.4</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6-10 ans</w:t>
            </w:r>
          </w:p>
        </w:tc>
        <w:tc>
          <w:tcPr/>
          <w:p>
            <w:pPr>
              <w:pStyle w:val="Compact"/>
              <w:jc w:val="right"/>
            </w:pPr>
            <w:r>
              <w:t xml:space="preserve">4.9</w:t>
            </w:r>
          </w:p>
        </w:tc>
        <w:tc>
          <w:tcPr/>
          <w:p>
            <w:pPr>
              <w:pStyle w:val="Compact"/>
              <w:jc w:val="right"/>
            </w:pPr>
            <w:r>
              <w:t xml:space="preserve">18.6</w:t>
            </w:r>
          </w:p>
        </w:tc>
        <w:tc>
          <w:tcPr/>
          <w:p>
            <w:pPr>
              <w:pStyle w:val="Compact"/>
              <w:jc w:val="right"/>
            </w:pPr>
            <w:r>
              <w:t xml:space="preserve">27.5</w:t>
            </w:r>
          </w:p>
        </w:tc>
        <w:tc>
          <w:tcPr/>
          <w:p>
            <w:pPr>
              <w:pStyle w:val="Compact"/>
              <w:jc w:val="right"/>
            </w:pPr>
            <w:r>
              <w:t xml:space="preserve">21.6</w:t>
            </w:r>
          </w:p>
        </w:tc>
        <w:tc>
          <w:tcPr/>
          <w:p>
            <w:pPr>
              <w:pStyle w:val="Compact"/>
              <w:jc w:val="right"/>
            </w:pPr>
            <w:r>
              <w:t xml:space="preserve">15.7</w:t>
            </w:r>
          </w:p>
        </w:tc>
        <w:tc>
          <w:tcPr/>
          <w:p>
            <w:pPr>
              <w:pStyle w:val="Compact"/>
              <w:jc w:val="right"/>
            </w:pPr>
            <w:r>
              <w:t xml:space="preserve">6.4</w:t>
            </w:r>
          </w:p>
        </w:tc>
        <w:tc>
          <w:tcPr/>
          <w:p>
            <w:pPr>
              <w:pStyle w:val="Compact"/>
              <w:jc w:val="right"/>
            </w:pPr>
            <w:r>
              <w:t xml:space="preserve">2.9</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0.5</w:t>
            </w:r>
          </w:p>
        </w:tc>
      </w:tr>
      <w:tr>
        <w:tc>
          <w:tcPr/>
          <w:p>
            <w:pPr>
              <w:pStyle w:val="Compact"/>
              <w:jc w:val="center"/>
            </w:pPr>
            <w:r>
              <w:t xml:space="preserve">11-14 ans</w:t>
            </w:r>
          </w:p>
        </w:tc>
        <w:tc>
          <w:tcPr/>
          <w:p>
            <w:pPr>
              <w:pStyle w:val="Compact"/>
              <w:jc w:val="right"/>
            </w:pPr>
            <w:r>
              <w:t xml:space="preserve">0.0</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7.6</w:t>
            </w:r>
          </w:p>
        </w:tc>
        <w:tc>
          <w:tcPr/>
          <w:p>
            <w:pPr>
              <w:pStyle w:val="Compact"/>
              <w:jc w:val="right"/>
            </w:pPr>
            <w:r>
              <w:t xml:space="preserve">9.2</w:t>
            </w:r>
          </w:p>
        </w:tc>
        <w:tc>
          <w:tcPr/>
          <w:p>
            <w:pPr>
              <w:pStyle w:val="Compact"/>
              <w:jc w:val="right"/>
            </w:pPr>
            <w:r>
              <w:t xml:space="preserve">22.9</w:t>
            </w:r>
          </w:p>
        </w:tc>
        <w:tc>
          <w:tcPr/>
          <w:p>
            <w:pPr>
              <w:pStyle w:val="Compact"/>
              <w:jc w:val="right"/>
            </w:pPr>
            <w:r>
              <w:t xml:space="preserve">23.7</w:t>
            </w:r>
          </w:p>
        </w:tc>
        <w:tc>
          <w:tcPr/>
          <w:p>
            <w:pPr>
              <w:pStyle w:val="Compact"/>
              <w:jc w:val="right"/>
            </w:pPr>
            <w:r>
              <w:t xml:space="preserve">14.5</w:t>
            </w:r>
          </w:p>
        </w:tc>
        <w:tc>
          <w:tcPr/>
          <w:p>
            <w:pPr>
              <w:pStyle w:val="Compact"/>
              <w:jc w:val="right"/>
            </w:pPr>
            <w:r>
              <w:t xml:space="preserve">9.9</w:t>
            </w:r>
          </w:p>
        </w:tc>
        <w:tc>
          <w:tcPr/>
          <w:p>
            <w:pPr>
              <w:pStyle w:val="Compact"/>
              <w:jc w:val="right"/>
            </w:pPr>
            <w:r>
              <w:t xml:space="preserve">6.9</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15-17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5.1</w:t>
            </w:r>
          </w:p>
        </w:tc>
        <w:tc>
          <w:tcPr/>
          <w:p>
            <w:pPr>
              <w:pStyle w:val="Compact"/>
              <w:jc w:val="right"/>
            </w:pPr>
            <w:r>
              <w:t xml:space="preserve">7.7</w:t>
            </w:r>
          </w:p>
        </w:tc>
        <w:tc>
          <w:tcPr/>
          <w:p>
            <w:pPr>
              <w:pStyle w:val="Compact"/>
              <w:jc w:val="right"/>
            </w:pPr>
            <w:r>
              <w:t xml:space="preserve">10.3</w:t>
            </w:r>
          </w:p>
        </w:tc>
        <w:tc>
          <w:tcPr/>
          <w:p>
            <w:pPr>
              <w:pStyle w:val="Compact"/>
              <w:jc w:val="right"/>
            </w:pPr>
            <w:r>
              <w:t xml:space="preserve">17.9</w:t>
            </w:r>
          </w:p>
        </w:tc>
        <w:tc>
          <w:tcPr/>
          <w:p>
            <w:pPr>
              <w:pStyle w:val="Compact"/>
              <w:jc w:val="right"/>
            </w:pPr>
            <w:r>
              <w:t xml:space="preserve">30.8</w:t>
            </w:r>
          </w:p>
        </w:tc>
        <w:tc>
          <w:tcPr/>
          <w:p>
            <w:pPr>
              <w:pStyle w:val="Compact"/>
              <w:jc w:val="right"/>
            </w:pPr>
            <w:r>
              <w:t xml:space="preserve">7.7</w:t>
            </w:r>
          </w:p>
        </w:tc>
        <w:tc>
          <w:tcPr/>
          <w:p>
            <w:pPr>
              <w:pStyle w:val="Compact"/>
              <w:jc w:val="right"/>
            </w:pPr>
            <w:r>
              <w:t xml:space="preserve">17.9</w:t>
            </w:r>
          </w:p>
        </w:tc>
        <w:tc>
          <w:tcPr/>
          <w:p>
            <w:pPr>
              <w:pStyle w:val="Compact"/>
              <w:jc w:val="right"/>
            </w:pPr>
            <w:r>
              <w:t xml:space="preserve">2.6</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18-25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5.0</w:t>
            </w:r>
          </w:p>
        </w:tc>
        <w:tc>
          <w:tcPr/>
          <w:p>
            <w:pPr>
              <w:pStyle w:val="Compact"/>
              <w:jc w:val="right"/>
            </w:pPr>
            <w:r>
              <w:t xml:space="preserve">15.0</w:t>
            </w:r>
          </w:p>
        </w:tc>
        <w:tc>
          <w:tcPr/>
          <w:p>
            <w:pPr>
              <w:pStyle w:val="Compact"/>
              <w:jc w:val="right"/>
            </w:pPr>
            <w:r>
              <w:t xml:space="preserve">0.0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25.0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w:t>
            </w:r>
          </w:p>
        </w:tc>
      </w:tr>
      <w:tr>
        <w:tc>
          <w:tcPr>
            <w:gridSpan w:val="18"/>
          </w:tcPr>
          <w:p>
            <w:pPr>
              <w:pStyle w:val="Compact"/>
              <w:jc w:val="left"/>
            </w:pPr>
            <w:r>
              <w:t xml:space="preserve">Marovoay</w:t>
            </w:r>
          </w:p>
        </w:tc>
      </w:tr>
      <w:tr>
        <w:tc>
          <w:tcPr/>
          <w:p>
            <w:pPr>
              <w:pStyle w:val="Compact"/>
              <w:jc w:val="center"/>
            </w:pPr>
            <w:r>
              <w:t xml:space="preserve">3-5 ans</w:t>
            </w:r>
          </w:p>
        </w:tc>
        <w:tc>
          <w:tcPr/>
          <w:p>
            <w:pPr>
              <w:pStyle w:val="Compact"/>
              <w:jc w:val="right"/>
            </w:pPr>
            <w:r>
              <w:t xml:space="preserve">62.5</w:t>
            </w:r>
          </w:p>
        </w:tc>
        <w:tc>
          <w:tcPr/>
          <w:p>
            <w:pPr>
              <w:pStyle w:val="Compact"/>
              <w:jc w:val="right"/>
            </w:pPr>
            <w:r>
              <w:t xml:space="preserve">29.2</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6-10 ans</w:t>
            </w:r>
          </w:p>
        </w:tc>
        <w:tc>
          <w:tcPr/>
          <w:p>
            <w:pPr>
              <w:pStyle w:val="Compact"/>
              <w:jc w:val="right"/>
            </w:pPr>
            <w:r>
              <w:t xml:space="preserve">7.3</w:t>
            </w:r>
          </w:p>
        </w:tc>
        <w:tc>
          <w:tcPr/>
          <w:p>
            <w:pPr>
              <w:pStyle w:val="Compact"/>
              <w:jc w:val="right"/>
            </w:pPr>
            <w:r>
              <w:t xml:space="preserve">34.2</w:t>
            </w:r>
          </w:p>
        </w:tc>
        <w:tc>
          <w:tcPr/>
          <w:p>
            <w:pPr>
              <w:pStyle w:val="Compact"/>
              <w:jc w:val="right"/>
            </w:pPr>
            <w:r>
              <w:t xml:space="preserve">30.8</w:t>
            </w:r>
          </w:p>
        </w:tc>
        <w:tc>
          <w:tcPr/>
          <w:p>
            <w:pPr>
              <w:pStyle w:val="Compact"/>
              <w:jc w:val="right"/>
            </w:pPr>
            <w:r>
              <w:t xml:space="preserve">15.4</w:t>
            </w:r>
          </w:p>
        </w:tc>
        <w:tc>
          <w:tcPr/>
          <w:p>
            <w:pPr>
              <w:pStyle w:val="Compact"/>
              <w:jc w:val="right"/>
            </w:pPr>
            <w:r>
              <w:t xml:space="preserve">6.5</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11-14 ans</w:t>
            </w:r>
          </w:p>
        </w:tc>
        <w:tc>
          <w:tcPr/>
          <w:p>
            <w:pPr>
              <w:pStyle w:val="Compact"/>
              <w:jc w:val="right"/>
            </w:pPr>
            <w:r>
              <w:t xml:space="preserve">0.0</w:t>
            </w:r>
          </w:p>
        </w:tc>
        <w:tc>
          <w:tcPr/>
          <w:p>
            <w:pPr>
              <w:pStyle w:val="Compact"/>
              <w:jc w:val="right"/>
            </w:pPr>
            <w:r>
              <w:t xml:space="preserve">4.7</w:t>
            </w:r>
          </w:p>
        </w:tc>
        <w:tc>
          <w:tcPr/>
          <w:p>
            <w:pPr>
              <w:pStyle w:val="Compact"/>
              <w:jc w:val="right"/>
            </w:pPr>
            <w:r>
              <w:t xml:space="preserve">9.3</w:t>
            </w:r>
          </w:p>
        </w:tc>
        <w:tc>
          <w:tcPr/>
          <w:p>
            <w:pPr>
              <w:pStyle w:val="Compact"/>
              <w:jc w:val="right"/>
            </w:pPr>
            <w:r>
              <w:t xml:space="preserve">21.5</w:t>
            </w:r>
          </w:p>
        </w:tc>
        <w:tc>
          <w:tcPr/>
          <w:p>
            <w:pPr>
              <w:pStyle w:val="Compact"/>
              <w:jc w:val="right"/>
            </w:pPr>
            <w:r>
              <w:t xml:space="preserve">18.0</w:t>
            </w:r>
          </w:p>
        </w:tc>
        <w:tc>
          <w:tcPr/>
          <w:p>
            <w:pPr>
              <w:pStyle w:val="Compact"/>
              <w:jc w:val="right"/>
            </w:pPr>
            <w:r>
              <w:t xml:space="preserve">15.7</w:t>
            </w:r>
          </w:p>
        </w:tc>
        <w:tc>
          <w:tcPr/>
          <w:p>
            <w:pPr>
              <w:pStyle w:val="Compact"/>
              <w:jc w:val="right"/>
            </w:pPr>
            <w:r>
              <w:t xml:space="preserve">15.1</w:t>
            </w:r>
          </w:p>
        </w:tc>
        <w:tc>
          <w:tcPr/>
          <w:p>
            <w:pPr>
              <w:pStyle w:val="Compact"/>
              <w:jc w:val="right"/>
            </w:pPr>
            <w:r>
              <w:t xml:space="preserve">7.0</w:t>
            </w:r>
          </w:p>
        </w:tc>
        <w:tc>
          <w:tcPr/>
          <w:p>
            <w:pPr>
              <w:pStyle w:val="Compact"/>
              <w:jc w:val="right"/>
            </w:pPr>
            <w:r>
              <w:t xml:space="preserve">6.4</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15-17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17.0</w:t>
            </w:r>
          </w:p>
        </w:tc>
        <w:tc>
          <w:tcPr/>
          <w:p>
            <w:pPr>
              <w:pStyle w:val="Compact"/>
              <w:jc w:val="right"/>
            </w:pPr>
            <w:r>
              <w:t xml:space="preserve">9.4</w:t>
            </w:r>
          </w:p>
        </w:tc>
        <w:tc>
          <w:tcPr/>
          <w:p>
            <w:pPr>
              <w:pStyle w:val="Compact"/>
              <w:jc w:val="right"/>
            </w:pPr>
            <w:r>
              <w:t xml:space="preserve">11.3</w:t>
            </w:r>
          </w:p>
        </w:tc>
        <w:tc>
          <w:tcPr/>
          <w:p>
            <w:pPr>
              <w:pStyle w:val="Compact"/>
              <w:jc w:val="right"/>
            </w:pPr>
            <w:r>
              <w:t xml:space="preserve">15.1</w:t>
            </w:r>
          </w:p>
        </w:tc>
        <w:tc>
          <w:tcPr/>
          <w:p>
            <w:pPr>
              <w:pStyle w:val="Compact"/>
              <w:jc w:val="right"/>
            </w:pPr>
            <w:r>
              <w:t xml:space="preserve">13.2</w:t>
            </w:r>
          </w:p>
        </w:tc>
        <w:tc>
          <w:tcPr/>
          <w:p>
            <w:pPr>
              <w:pStyle w:val="Compact"/>
              <w:jc w:val="right"/>
            </w:pPr>
            <w:r>
              <w:t xml:space="preserve">22.6</w:t>
            </w:r>
          </w:p>
        </w:tc>
        <w:tc>
          <w:tcPr/>
          <w:p>
            <w:pPr>
              <w:pStyle w:val="Compact"/>
              <w:jc w:val="right"/>
            </w:pPr>
            <w:r>
              <w:t xml:space="preserve">3.8</w:t>
            </w:r>
          </w:p>
        </w:tc>
        <w:tc>
          <w:tcPr/>
          <w:p>
            <w:pPr>
              <w:pStyle w:val="Compact"/>
              <w:jc w:val="right"/>
            </w:pPr>
            <w:r>
              <w:t xml:space="preserve">5.7</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18-25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11.5</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11.5</w:t>
            </w:r>
          </w:p>
        </w:tc>
        <w:tc>
          <w:tcPr/>
          <w:p>
            <w:pPr>
              <w:pStyle w:val="Compact"/>
              <w:jc w:val="right"/>
            </w:pPr>
            <w:r>
              <w:t xml:space="preserve">7.7</w:t>
            </w:r>
          </w:p>
        </w:tc>
        <w:tc>
          <w:tcPr/>
          <w:p>
            <w:pPr>
              <w:pStyle w:val="Compact"/>
              <w:jc w:val="right"/>
            </w:pPr>
            <w:r>
              <w:t xml:space="preserve">0.0</w:t>
            </w:r>
          </w:p>
        </w:tc>
      </w:tr>
      <w:tr>
        <w:tc>
          <w:tcPr>
            <w:gridSpan w:val="18"/>
          </w:tcPr>
          <w:p>
            <w:pPr>
              <w:pStyle w:val="Compact"/>
              <w:jc w:val="left"/>
            </w:pPr>
            <w:r>
              <w:t xml:space="preserve">Source : Enquête auprès des OR 2025</w:t>
            </w:r>
          </w:p>
        </w:tc>
      </w:tr>
    </w:tbl>
    <w:p>
      <w:pPr>
        <w:pStyle w:val="Corpsdetexte"/>
      </w:pPr>
      <w:r>
        <w:t xml:space="preserve">La progression scolaire suit globalement la structure attendue par âge. Entre 3 et 5 ans, les enfants sont majoritairement en préscolaire, avec une part déjà entrée en CP1. Chez les 6-10 ans, les classes du primaire dominent nettement, en particulier le CP2, le CE et le CM1-CM2. Entre 11 et 14 ans, la répartition se déplace vers la fin du primaire et le premier cycle du secondaire, surtout la 6e et la 5e. Enfin, les 15-17 ans se concentrent davantage dans les classes du secondaire, tandis que les niveaux supérieurs n’apparaissent que parmi les 18-25 ans.</w:t>
      </w:r>
    </w:p>
    <w:bookmarkEnd w:id="277"/>
    <w:bookmarkStart w:id="282"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81"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2984500"/>
                  <wp:effectExtent b="0" l="0" r="0" t="0"/>
                  <wp:docPr descr="" title="" id="279" name="Picture"/>
                  <a:graphic>
                    <a:graphicData uri="http://schemas.openxmlformats.org/drawingml/2006/picture">
                      <pic:pic>
                        <pic:nvPicPr>
                          <pic:cNvPr descr="02_structure_menages_files/figure-docx/fig-raisons-non-scol-1.png" id="280" name="Picture"/>
                          <pic:cNvPicPr>
                            <a:picLocks noChangeArrowheads="1" noChangeAspect="1"/>
                          </pic:cNvPicPr>
                        </pic:nvPicPr>
                        <pic:blipFill>
                          <a:blip r:embed="rId278"/>
                          <a:stretch>
                            <a:fillRect/>
                          </a:stretch>
                        </pic:blipFill>
                        <pic:spPr bwMode="auto">
                          <a:xfrm>
                            <a:off x="0" y="0"/>
                            <a:ext cx="5969000" cy="2984500"/>
                          </a:xfrm>
                          <a:prstGeom prst="rect">
                            <a:avLst/>
                          </a:prstGeom>
                          <a:noFill/>
                          <a:ln w="9525">
                            <a:noFill/>
                            <a:headEnd/>
                            <a:tailEnd/>
                          </a:ln>
                        </pic:spPr>
                      </pic:pic>
                    </a:graphicData>
                  </a:graphic>
                </wp:inline>
              </w:drawing>
            </w:r>
          </w:p>
          <w:bookmarkEnd w:id="281"/>
        </w:tc>
      </w:tr>
    </w:tbl>
    <w:bookmarkEnd w:id="282"/>
    <w:bookmarkEnd w:id="283"/>
    <w:bookmarkStart w:id="293"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288" w:name="fig-other-act"/>
          <w:p>
            <w:pPr>
              <w:jc w:val="center"/>
            </w:pPr>
            <w:pPr>
              <w:jc w:val="left"/>
              <w:spacing w:before="200"/>
              <w:pStyle w:val="ImageCaption"/>
            </w:pPr>
            <w:r>
              <w:t xml:space="preserve">Figure 2.3</w:t>
            </w:r>
          </w:p>
          <w:p>
            <w:pPr>
              <w:pStyle w:val="Compact"/>
              <w:jc w:val="center"/>
            </w:pPr>
            <w:bookmarkStart w:id="287" w:name="fig-other-act"/>
            <w:r>
              <w:drawing>
                <wp:inline>
                  <wp:extent cx="4620126" cy="2772075"/>
                  <wp:effectExtent b="0" l="0" r="0" t="0"/>
                  <wp:docPr descr="" title="" id="285" name="Picture"/>
                  <a:graphic>
                    <a:graphicData uri="http://schemas.openxmlformats.org/drawingml/2006/picture">
                      <pic:pic>
                        <pic:nvPicPr>
                          <pic:cNvPr descr="02_structure_menages_files/figure-docx/fig-other-act-1.png" id="286" name="Picture"/>
                          <pic:cNvPicPr>
                            <a:picLocks noChangeArrowheads="1" noChangeAspect="1"/>
                          </pic:cNvPicPr>
                        </pic:nvPicPr>
                        <pic:blipFill>
                          <a:blip r:embed="rId284"/>
                          <a:stretch>
                            <a:fillRect/>
                          </a:stretch>
                        </pic:blipFill>
                        <pic:spPr bwMode="auto">
                          <a:xfrm>
                            <a:off x="0" y="0"/>
                            <a:ext cx="4620126" cy="2772075"/>
                          </a:xfrm>
                          <a:prstGeom prst="rect">
                            <a:avLst/>
                          </a:prstGeom>
                          <a:noFill/>
                          <a:ln w="9525">
                            <a:noFill/>
                            <a:headEnd/>
                            <a:tailEnd/>
                          </a:ln>
                        </pic:spPr>
                      </pic:pic>
                    </a:graphicData>
                  </a:graphic>
                </wp:inline>
              </w:drawing>
            </w:r>
            <w:bookmarkEnd w:id="287"/>
          </w:p>
          <w:bookmarkEnd w:id="288"/>
        </w:tc>
      </w:tr>
    </w:tbl>
    <w:bookmarkStart w:id="292"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p>
      <w:pPr>
        <w:pStyle w:val="Corpsdetexte"/>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p>
      <w:pPr>
        <w:pStyle w:val="Corpsdetexte"/>
      </w:pPr>
      <w:r>
        <w:drawing>
          <wp:inline>
            <wp:extent cx="4620126" cy="3234088"/>
            <wp:effectExtent b="0" l="0" r="0" t="0"/>
            <wp:docPr descr="" title="" id="290" name="Picture"/>
            <a:graphic>
              <a:graphicData uri="http://schemas.openxmlformats.org/drawingml/2006/picture">
                <pic:pic>
                  <pic:nvPicPr>
                    <pic:cNvPr descr="02_structure_menages_files/figure-docx/fig_other_act_sex-1.png" id="291" name="Picture"/>
                    <pic:cNvPicPr>
                      <a:picLocks noChangeArrowheads="1" noChangeAspect="1"/>
                    </pic:cNvPicPr>
                  </pic:nvPicPr>
                  <pic:blipFill>
                    <a:blip r:embed="rId289"/>
                    <a:stretch>
                      <a:fillRect/>
                    </a:stretch>
                  </pic:blipFill>
                  <pic:spPr bwMode="auto">
                    <a:xfrm>
                      <a:off x="0" y="0"/>
                      <a:ext cx="4620126" cy="3234088"/>
                    </a:xfrm>
                    <a:prstGeom prst="rect">
                      <a:avLst/>
                    </a:prstGeom>
                    <a:noFill/>
                    <a:ln w="9525">
                      <a:noFill/>
                      <a:headEnd/>
                      <a:tailEnd/>
                    </a:ln>
                  </pic:spPr>
                </pic:pic>
              </a:graphicData>
            </a:graphic>
          </wp:inline>
        </w:drawing>
      </w:r>
    </w:p>
    <w:bookmarkEnd w:id="292"/>
    <w:bookmarkEnd w:id="293"/>
    <w:bookmarkEnd w:id="294"/>
    <w:bookmarkStart w:id="310"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w:t>
      </w:r>
      <w:r>
        <w:t xml:space="preserve"> </w:t>
      </w:r>
      <w:r>
        <w:t xml:space="preserve">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PROGRA~1\Positron\RESOUR~1\app\quarto\share\formats\docx\caution.png" id="297" name="Picture"/>
                          <pic:cNvPicPr>
                            <a:picLocks noChangeArrowheads="1" noChangeAspect="1"/>
                          </pic:cNvPicPr>
                        </pic:nvPicPr>
                        <pic:blipFill>
                          <a:blip r:embed="rId2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w:t>
            </w:r>
            <w:r>
              <w:t xml:space="preserve"> </w:t>
            </w:r>
            <w:r>
              <w:t xml:space="preserve">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w:t>
            </w:r>
            <w:r>
              <w:t xml:space="preserve"> </w:t>
            </w:r>
            <w:r>
              <w:t xml:space="preserve">En 2025, après dix ans d’interruption, un</w:t>
            </w:r>
            <w:r>
              <w:t xml:space="preserve"> </w:t>
            </w:r>
            <w:r>
              <w:rPr>
                <w:b/>
                <w:bCs/>
              </w:rPr>
              <w:t xml:space="preserve">nouveau tirage</w:t>
            </w:r>
            <w:r>
              <w:t xml:space="preserve"> </w:t>
            </w:r>
            <w:r>
              <w:t xml:space="preserve">a été effectué à partir du dénombrement.</w:t>
            </w:r>
            <w:r>
              <w:t xml:space="preserve"> </w:t>
            </w:r>
            <w:r>
              <w:t xml:space="preserve">Les évolutions observées reflètent donc à la fois des dynamiques réelles dans les localités et des changements de composition de l’échantillon (vieillissement du panel, attrition sélective, renouvellement complet en 2025).</w:t>
            </w:r>
          </w:p>
          <w:p/>
        </w:tc>
      </w:tr>
    </w:tbl>
    <w:p>
      <w:pPr>
        <w:pStyle w:val="Corpsdetexte"/>
      </w:pPr>
      <w:r>
        <w:t xml:space="preserve">À Alaotra, la taille moyenne des ménages reste relativement stable entre 1999 et 2004, oscillant autour de 5.3 à 5.4 personnes par ménage. À partir de 2005, une hausse progressive est observée, la taille moyenne passant d’environ 5.7 personnes à près de 7 personnes en 2014. Cette évolution traduit une tendance à l’agrandissement des ménages au fil des années. Toutefois, une légère baisse est enregistrée à la fin de la période, avant une chute marquée en 2025 où la taille moyenne des ménages descend à environ 3.9 personnes.</w:t>
      </w:r>
    </w:p>
    <w:p>
      <w:pPr>
        <w:pStyle w:val="Corpsdetexte"/>
      </w:pPr>
      <w:r>
        <w:t xml:space="preserve">À Marovoay, la taille moyenne des ménages présente davantage de fluctuations au cours de la période observée. Entre 1996 et 1999, elle augmente progressivement pour atteindre près de 5.8 personnes par ménage, avant de diminuer légèrement au début des années 2000. Une baisse très prononcée est observée en 2005, avec une taille moyenne inférieure à 4 personnes. Par la suite, une reprise rapide s’amorce dès 2006 et se poursuit jusqu’en 2014, où la taille moyenne dépasse 7 personnes par ménage, représentant le niveau le plus élevé de la série. En 2025, une diminution importante est également constatée, la taille moyenne des ménages revenant à environ 4.4 personnes.</w:t>
      </w:r>
    </w:p>
    <w:p>
      <w:pPr>
        <w:pStyle w:val="CaptionedFigure"/>
      </w:pPr>
      <w:r>
        <w:drawing>
          <wp:inline>
            <wp:extent cx="5969000" cy="1492250"/>
            <wp:effectExtent b="0" l="0" r="0" t="0"/>
            <wp:docPr descr="Évolution de la taille moyenne des ménages (1996-2025)" title="" id="299" name="Picture"/>
            <a:graphic>
              <a:graphicData uri="http://schemas.openxmlformats.org/drawingml/2006/picture">
                <pic:pic>
                  <pic:nvPicPr>
                    <pic:cNvPr descr="02_structure_menages_files/figure-docx/fig_demog_taille-1.png" id="300" name="Picture"/>
                    <pic:cNvPicPr>
                      <a:picLocks noChangeArrowheads="1" noChangeAspect="1"/>
                    </pic:cNvPicPr>
                  </pic:nvPicPr>
                  <pic:blipFill>
                    <a:blip r:embed="rId298"/>
                    <a:stretch>
                      <a:fillRect/>
                    </a:stretch>
                  </pic:blipFill>
                  <pic:spPr bwMode="auto">
                    <a:xfrm>
                      <a:off x="0" y="0"/>
                      <a:ext cx="5969000" cy="1492250"/>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orpsdetexte"/>
      </w:pPr>
      <w:r>
        <w:t xml:space="preserve">À Alaotra, la proportion de femmes chefs de ménage augmente entre 1999 et 2001, passant d’environ 18.9% à plus de 21%. Par la suite, une tendance générale à la baisse est observée jusqu’en 2004. Entre 2005 et 2014, les variations restent relativement faibles, avec des proportions oscillant autour de 18% à 19%. En 2025, le pourcentage de femmes chefs de ménage connaît une nouvelle hausse et atteint environ 21.7%.</w:t>
      </w:r>
    </w:p>
    <w:p>
      <w:pPr>
        <w:pStyle w:val="Corpsdetexte"/>
      </w:pPr>
      <w:r>
        <w:t xml:space="preserve">À Marovoay, l’évolution du pourcentage de femmes chefs de ménage apparaît plus irrégulière. Entre 1996 et 1998, la proportion diminue fortement pour atteindre près de 15.7%, avant d’augmenter progressivement au début des années 2000. Un pic marqué est observé en 2005, où la proportion dépasse 23%, représentant le niveau le plus élevé de la série. Après une baisse en 2006, la proportion repart à la hausse et se stabilise globalement autour de 21% à 22% jusqu’en 2014. En 2025, le pourcentage de femmes chefs de ménage reste élevé, atteignant environ 22%.</w:t>
      </w:r>
    </w:p>
    <w:p>
      <w:pPr>
        <w:pStyle w:val="CaptionedFigure"/>
      </w:pPr>
      <w:r>
        <w:drawing>
          <wp:inline>
            <wp:extent cx="5969000" cy="1865312"/>
            <wp:effectExtent b="0" l="0" r="0" t="0"/>
            <wp:docPr descr="Évolution du pourcentage de chefs de ménage femmes (1996-2025)" title="" id="302" name="Picture"/>
            <a:graphic>
              <a:graphicData uri="http://schemas.openxmlformats.org/drawingml/2006/picture">
                <pic:pic>
                  <pic:nvPicPr>
                    <pic:cNvPr descr="02_structure_menages_files/figure-docx/fig_demog_fem_cm-1.png" id="303" name="Picture"/>
                    <pic:cNvPicPr>
                      <a:picLocks noChangeArrowheads="1" noChangeAspect="1"/>
                    </pic:cNvPicPr>
                  </pic:nvPicPr>
                  <pic:blipFill>
                    <a:blip r:embed="rId30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orpsdetexte"/>
      </w:pPr>
      <w:r>
        <w:t xml:space="preserve">À Alaotra, le taux de scolarisation des enfants de 6 à 14 ans demeure globalement élevé sur l’ensemble de la période observée. Après une baisse entre 1999 et 2000, le taux augmente fortement pour atteindre plus de 95% en 2003. Par la suite, quelques fluctuations sont observées, avec une diminution autour de 2007 et 2008, avant une nouvelle hausse en 2010. Entre 2011 et 2013, le taux reste relativement stable autour de 91% à 92%, puis progresse à nouveau en 2014 pour atteindre près de 94%. En 2025, le taux de scolarisation demeure élevé et se situe autour de 94%.</w:t>
      </w:r>
    </w:p>
    <w:p>
      <w:pPr>
        <w:pStyle w:val="Corpsdetexte"/>
      </w:pPr>
      <w:r>
        <w:t xml:space="preserve">À Marovoay, le taux de scolarisation des enfants de 6 à 14 ans est plus faible et plus variable. Entre 1996 et 1998, une baisse importante est enregistrée, le taux descendant jusqu’à environ 64%. À partir de 1999, une amélioration progressive est observée, culminant à plus de 88% en 2003. Toutefois, après cette période, le taux connaît plusieurs fluctuations, avec des baisses notables en 2008 et entre 2011 et 2012. Malgré ces variations, le taux reste globalement compris entre 79% et 85% à partir de 2010. En 2025, le taux de scolarisation atteint environ 82%.</w:t>
      </w:r>
    </w:p>
    <w:p>
      <w:pPr>
        <w:pStyle w:val="CaptionedFigure"/>
      </w:pPr>
      <w:r>
        <w:drawing>
          <wp:inline>
            <wp:extent cx="5969000" cy="1865312"/>
            <wp:effectExtent b="0" l="0" r="0" t="0"/>
            <wp:docPr descr="Évolution du taux de scolarisation des 6-14 ans (1996-2025)" title="" id="305" name="Picture"/>
            <a:graphic>
              <a:graphicData uri="http://schemas.openxmlformats.org/drawingml/2006/picture">
                <pic:pic>
                  <pic:nvPicPr>
                    <pic:cNvPr descr="02_structure_menages_files/figure-docx/fig_demog_scol-1.png" id="306" name="Picture"/>
                    <pic:cNvPicPr>
                      <a:picLocks noChangeArrowheads="1" noChangeAspect="1"/>
                    </pic:cNvPicPr>
                  </pic:nvPicPr>
                  <pic:blipFill>
                    <a:blip r:embed="rId30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orpsdetexte"/>
      </w:pPr>
      <w:r>
        <w:t xml:space="preserve">À Alaotra, l’âge moyen des chefs de ménage augmente globalement au cours de la période observée. Entre 1999 et 2004, il oscille entre 44.5 et 46.7 ans, avant de connaître quelques fluctuations entre 2005 et 2010 autour de 46 ans. Une hausse plus marquée est ensuite observée en 2011 et 2012, où l’âge moyen atteint près de 48 ans. Après une légère baisse en 2013, il remonte en 2014 avant de diminuer de nouveau pour se situer autour de 46.9 ans. En 2025, l’âge moyen des chefs de ménage est d’environ 45.4 ans.</w:t>
      </w:r>
    </w:p>
    <w:p>
      <w:pPr>
        <w:pStyle w:val="Corpsdetexte"/>
      </w:pPr>
      <w:r>
        <w:t xml:space="preserve">À Marovoay, l’âge moyen des chefs de ménage progresse entre 1996 et le début des années 2000, passant d’environ 44 ans à plus de 47 ans. Après une relative stabilité jusqu’en 2004, une chute importante est enregistrée en 2005, où l’âge moyen descend à près de 41 ans. Dès 2006, une forte remontée est observée et la tendance redevient croissante jusqu’en 2011, année durant laquelle l’âge moyen atteint son niveau le plus élevé, proche de 49 ans. Entre 2012 et 2014, l’âge moyen se maintient autour de 47 à 48 ans avec de faibles variations. En 2025, il s’établit à environ 46 ans.</w:t>
      </w:r>
    </w:p>
    <w:p>
      <w:pPr>
        <w:pStyle w:val="CaptionedFigure"/>
      </w:pPr>
      <w:r>
        <w:drawing>
          <wp:inline>
            <wp:extent cx="5969000" cy="1865312"/>
            <wp:effectExtent b="0" l="0" r="0" t="0"/>
            <wp:docPr descr="Évolution de l’âge moyen du chef de ménage (1996-2025)" title="" id="308" name="Picture"/>
            <a:graphic>
              <a:graphicData uri="http://schemas.openxmlformats.org/drawingml/2006/picture">
                <pic:pic>
                  <pic:nvPicPr>
                    <pic:cNvPr descr="02_structure_menages_files/figure-docx/fig_demog_age_cm-1.png" id="309" name="Picture"/>
                    <pic:cNvPicPr>
                      <a:picLocks noChangeArrowheads="1" noChangeAspect="1"/>
                    </pic:cNvPicPr>
                  </pic:nvPicPr>
                  <pic:blipFill>
                    <a:blip r:embed="rId30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310"/>
    <w:bookmarkEnd w:id="311"/>
    <w:bookmarkStart w:id="435"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12" name="Picture"/>
                  <a:graphic>
                    <a:graphicData uri="http://schemas.openxmlformats.org/drawingml/2006/picture">
                      <pic:pic>
                        <pic:nvPicPr>
                          <pic:cNvPr descr="c:\PROGRA~1\Positron\RESOUR~1\app\quarto\share\formats\docx\warning.png" id="31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40"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18"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317"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1492250"/>
                  <wp:effectExtent b="0" l="0" r="0" t="0"/>
                  <wp:docPr descr="" title="" id="315" name="Picture"/>
                  <a:graphic>
                    <a:graphicData uri="http://schemas.openxmlformats.org/drawingml/2006/picture">
                      <pic:pic>
                        <pic:nvPicPr>
                          <pic:cNvPr descr="03_habitat_niveau_de_vie_files/figure-docx/fig-statut-logement-1.png" id="316" name="Picture"/>
                          <pic:cNvPicPr>
                            <a:picLocks noChangeArrowheads="1" noChangeAspect="1"/>
                          </pic:cNvPicPr>
                        </pic:nvPicPr>
                        <pic:blipFill>
                          <a:blip r:embed="rId314"/>
                          <a:stretch>
                            <a:fillRect/>
                          </a:stretch>
                        </pic:blipFill>
                        <pic:spPr bwMode="auto">
                          <a:xfrm>
                            <a:off x="0" y="0"/>
                            <a:ext cx="5969000" cy="1492250"/>
                          </a:xfrm>
                          <a:prstGeom prst="rect">
                            <a:avLst/>
                          </a:prstGeom>
                          <a:noFill/>
                          <a:ln w="9525">
                            <a:noFill/>
                            <a:headEnd/>
                            <a:tailEnd/>
                          </a:ln>
                        </pic:spPr>
                      </pic:pic>
                    </a:graphicData>
                  </a:graphic>
                </wp:inline>
              </w:drawing>
            </w:r>
          </w:p>
          <w:bookmarkEnd w:id="317"/>
        </w:tc>
      </w:tr>
    </w:tbl>
    <w:bookmarkEnd w:id="318"/>
    <w:bookmarkStart w:id="323"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322" w:name="fig-latrine"/>
          <w:p>
            <w:pPr>
              <w:jc w:val="center"/>
            </w:pPr>
            <w:pPr>
              <w:jc w:val="left"/>
              <w:spacing w:before="200"/>
              <w:pStyle w:val="ImageCaption"/>
            </w:pPr>
            <w:r>
              <w:t xml:space="preserve">Figure 3.2: Types de latrine</w:t>
            </w:r>
          </w:p>
          <w:p>
            <w:pPr>
              <w:pStyle w:val="Compact"/>
              <w:jc w:val="center"/>
            </w:pPr>
            <w:r>
              <w:drawing>
                <wp:inline>
                  <wp:extent cx="5969000" cy="1865312"/>
                  <wp:effectExtent b="0" l="0" r="0" t="0"/>
                  <wp:docPr descr="" title="" id="320" name="Picture"/>
                  <a:graphic>
                    <a:graphicData uri="http://schemas.openxmlformats.org/drawingml/2006/picture">
                      <pic:pic>
                        <pic:nvPicPr>
                          <pic:cNvPr descr="03_habitat_niveau_de_vie_files/figure-docx/fig-latrine-1.png" id="321" name="Picture"/>
                          <pic:cNvPicPr>
                            <a:picLocks noChangeArrowheads="1" noChangeAspect="1"/>
                          </pic:cNvPicPr>
                        </pic:nvPicPr>
                        <pic:blipFill>
                          <a:blip r:embed="rId319"/>
                          <a:stretch>
                            <a:fillRect/>
                          </a:stretch>
                        </pic:blipFill>
                        <pic:spPr bwMode="auto">
                          <a:xfrm>
                            <a:off x="0" y="0"/>
                            <a:ext cx="5969000" cy="1865312"/>
                          </a:xfrm>
                          <a:prstGeom prst="rect">
                            <a:avLst/>
                          </a:prstGeom>
                          <a:noFill/>
                          <a:ln w="9525">
                            <a:noFill/>
                            <a:headEnd/>
                            <a:tailEnd/>
                          </a:ln>
                        </pic:spPr>
                      </pic:pic>
                    </a:graphicData>
                  </a:graphic>
                </wp:inline>
              </w:drawing>
            </w:r>
          </w:p>
          <w:bookmarkEnd w:id="322"/>
        </w:tc>
      </w:tr>
    </w:tbl>
    <w:bookmarkEnd w:id="323"/>
    <w:bookmarkStart w:id="328"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327" w:name="fig-eau"/>
          <w:p>
            <w:pPr>
              <w:jc w:val="center"/>
            </w:pPr>
            <w:pPr>
              <w:jc w:val="left"/>
              <w:spacing w:before="200"/>
              <w:pStyle w:val="ImageCaption"/>
            </w:pPr>
            <w:r>
              <w:t xml:space="preserve">Figure 3.3: Mode d’approvisionnement en eau</w:t>
            </w:r>
          </w:p>
          <w:p>
            <w:pPr>
              <w:pStyle w:val="Compact"/>
              <w:jc w:val="center"/>
            </w:pPr>
            <w:r>
              <w:drawing>
                <wp:inline>
                  <wp:extent cx="5969000" cy="2238375"/>
                  <wp:effectExtent b="0" l="0" r="0" t="0"/>
                  <wp:docPr descr="" title="" id="325" name="Picture"/>
                  <a:graphic>
                    <a:graphicData uri="http://schemas.openxmlformats.org/drawingml/2006/picture">
                      <pic:pic>
                        <pic:nvPicPr>
                          <pic:cNvPr descr="03_habitat_niveau_de_vie_files/figure-docx/fig-eau-1.png" id="326" name="Picture"/>
                          <pic:cNvPicPr>
                            <a:picLocks noChangeArrowheads="1" noChangeAspect="1"/>
                          </pic:cNvPicPr>
                        </pic:nvPicPr>
                        <pic:blipFill>
                          <a:blip r:embed="rId324"/>
                          <a:stretch>
                            <a:fillRect/>
                          </a:stretch>
                        </pic:blipFill>
                        <pic:spPr bwMode="auto">
                          <a:xfrm>
                            <a:off x="0" y="0"/>
                            <a:ext cx="5969000" cy="2238375"/>
                          </a:xfrm>
                          <a:prstGeom prst="rect">
                            <a:avLst/>
                          </a:prstGeom>
                          <a:noFill/>
                          <a:ln w="9525">
                            <a:noFill/>
                            <a:headEnd/>
                            <a:tailEnd/>
                          </a:ln>
                        </pic:spPr>
                      </pic:pic>
                    </a:graphicData>
                  </a:graphic>
                </wp:inline>
              </w:drawing>
            </w:r>
          </w:p>
          <w:bookmarkEnd w:id="327"/>
        </w:tc>
      </w:tr>
    </w:tbl>
    <w:bookmarkEnd w:id="328"/>
    <w:bookmarkStart w:id="333"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32" w:name="fig-eclairage"/>
          <w:p>
            <w:pPr>
              <w:jc w:val="center"/>
            </w:pPr>
            <w:pPr>
              <w:jc w:val="left"/>
              <w:spacing w:before="200"/>
              <w:pStyle w:val="ImageCaption"/>
            </w:pPr>
            <w:r>
              <w:t xml:space="preserve">Figure 3.4: Modes d’éclairage</w:t>
            </w:r>
          </w:p>
          <w:p>
            <w:pPr>
              <w:pStyle w:val="Compact"/>
              <w:jc w:val="center"/>
            </w:pPr>
            <w:r>
              <w:drawing>
                <wp:inline>
                  <wp:extent cx="5969000" cy="2238375"/>
                  <wp:effectExtent b="0" l="0" r="0" t="0"/>
                  <wp:docPr descr="" title="" id="330" name="Picture"/>
                  <a:graphic>
                    <a:graphicData uri="http://schemas.openxmlformats.org/drawingml/2006/picture">
                      <pic:pic>
                        <pic:nvPicPr>
                          <pic:cNvPr descr="03_habitat_niveau_de_vie_files/figure-docx/fig-eclairage-1.png" id="331" name="Picture"/>
                          <pic:cNvPicPr>
                            <a:picLocks noChangeArrowheads="1" noChangeAspect="1"/>
                          </pic:cNvPicPr>
                        </pic:nvPicPr>
                        <pic:blipFill>
                          <a:blip r:embed="rId329"/>
                          <a:stretch>
                            <a:fillRect/>
                          </a:stretch>
                        </pic:blipFill>
                        <pic:spPr bwMode="auto">
                          <a:xfrm>
                            <a:off x="0" y="0"/>
                            <a:ext cx="5969000" cy="2238375"/>
                          </a:xfrm>
                          <a:prstGeom prst="rect">
                            <a:avLst/>
                          </a:prstGeom>
                          <a:noFill/>
                          <a:ln w="9525">
                            <a:noFill/>
                            <a:headEnd/>
                            <a:tailEnd/>
                          </a:ln>
                        </pic:spPr>
                      </pic:pic>
                    </a:graphicData>
                  </a:graphic>
                </wp:inline>
              </w:drawing>
            </w:r>
          </w:p>
          <w:bookmarkEnd w:id="332"/>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t xml:space="preserve">Source : Enquête auprès des OR 2025</w:t>
            </w:r>
          </w:p>
        </w:tc>
      </w:tr>
    </w:tbl>
    <w:bookmarkEnd w:id="333"/>
    <w:bookmarkStart w:id="339"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38" w:name="fig-cooking"/>
          <w:p>
            <w:pPr>
              <w:jc w:val="center"/>
            </w:pPr>
            <w:pPr>
              <w:jc w:val="left"/>
              <w:spacing w:before="200"/>
              <w:pStyle w:val="ImageCaption"/>
            </w:pPr>
            <w:r>
              <w:t xml:space="preserve">Figure 3.5</w:t>
            </w:r>
          </w:p>
          <w:p>
            <w:pPr>
              <w:pStyle w:val="Compact"/>
              <w:jc w:val="center"/>
            </w:pPr>
            <w:bookmarkStart w:id="337" w:name="fig-cooking"/>
            <w:r>
              <w:drawing>
                <wp:inline>
                  <wp:extent cx="4620126" cy="1848050"/>
                  <wp:effectExtent b="0" l="0" r="0" t="0"/>
                  <wp:docPr descr="" title="" id="335" name="Picture"/>
                  <a:graphic>
                    <a:graphicData uri="http://schemas.openxmlformats.org/drawingml/2006/picture">
                      <pic:pic>
                        <pic:nvPicPr>
                          <pic:cNvPr descr="03_habitat_niveau_de_vie_files/figure-docx/fig-cooking-1.png" id="336" name="Picture"/>
                          <pic:cNvPicPr>
                            <a:picLocks noChangeArrowheads="1" noChangeAspect="1"/>
                          </pic:cNvPicPr>
                        </pic:nvPicPr>
                        <pic:blipFill>
                          <a:blip r:embed="rId334"/>
                          <a:stretch>
                            <a:fillRect/>
                          </a:stretch>
                        </pic:blipFill>
                        <pic:spPr bwMode="auto">
                          <a:xfrm>
                            <a:off x="0" y="0"/>
                            <a:ext cx="4620126" cy="1848050"/>
                          </a:xfrm>
                          <a:prstGeom prst="rect">
                            <a:avLst/>
                          </a:prstGeom>
                          <a:noFill/>
                          <a:ln w="9525">
                            <a:noFill/>
                            <a:headEnd/>
                            <a:tailEnd/>
                          </a:ln>
                        </pic:spPr>
                      </pic:pic>
                    </a:graphicData>
                  </a:graphic>
                </wp:inline>
              </w:drawing>
            </w:r>
            <w:bookmarkEnd w:id="337"/>
          </w:p>
          <w:bookmarkEnd w:id="338"/>
        </w:tc>
      </w:tr>
    </w:tbl>
    <w:bookmarkEnd w:id="339"/>
    <w:bookmarkEnd w:id="340"/>
    <w:bookmarkStart w:id="359"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46"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45" w:name="fig-comfort"/>
          <w:p>
            <w:pPr>
              <w:jc w:val="center"/>
            </w:pPr>
            <w:pPr>
              <w:jc w:val="left"/>
              <w:spacing w:before="200"/>
              <w:pStyle w:val="ImageCaption"/>
            </w:pPr>
            <w:r>
              <w:t xml:space="preserve">Figure 3.6</w:t>
            </w:r>
          </w:p>
          <w:p>
            <w:pPr>
              <w:pStyle w:val="Compact"/>
              <w:jc w:val="center"/>
            </w:pPr>
            <w:bookmarkStart w:id="344" w:name="fig-comfort"/>
            <w:r>
              <w:drawing>
                <wp:inline>
                  <wp:extent cx="4620126" cy="3234088"/>
                  <wp:effectExtent b="0" l="0" r="0" t="0"/>
                  <wp:docPr descr="" title="" id="342" name="Picture"/>
                  <a:graphic>
                    <a:graphicData uri="http://schemas.openxmlformats.org/drawingml/2006/picture">
                      <pic:pic>
                        <pic:nvPicPr>
                          <pic:cNvPr descr="03_habitat_niveau_de_vie_files/figure-docx/fig-comfort-1.png" id="343" name="Picture"/>
                          <pic:cNvPicPr>
                            <a:picLocks noChangeArrowheads="1" noChangeAspect="1"/>
                          </pic:cNvPicPr>
                        </pic:nvPicPr>
                        <pic:blipFill>
                          <a:blip r:embed="rId341"/>
                          <a:stretch>
                            <a:fillRect/>
                          </a:stretch>
                        </pic:blipFill>
                        <pic:spPr bwMode="auto">
                          <a:xfrm>
                            <a:off x="0" y="0"/>
                            <a:ext cx="4620126" cy="3234088"/>
                          </a:xfrm>
                          <a:prstGeom prst="rect">
                            <a:avLst/>
                          </a:prstGeom>
                          <a:noFill/>
                          <a:ln w="9525">
                            <a:noFill/>
                            <a:headEnd/>
                            <a:tailEnd/>
                          </a:ln>
                        </pic:spPr>
                      </pic:pic>
                    </a:graphicData>
                  </a:graphic>
                </wp:inline>
              </w:drawing>
            </w:r>
            <w:bookmarkEnd w:id="344"/>
          </w:p>
          <w:bookmarkEnd w:id="345"/>
        </w:tc>
      </w:tr>
    </w:tbl>
    <w:bookmarkEnd w:id="346"/>
    <w:bookmarkStart w:id="352"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le pulvérisateur, la sarcleuse, la pompe hydraulique ou encore le motoculteur, restent faiblement utilisés.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51" w:name="fig-table-equip"/>
          <w:p>
            <w:pPr>
              <w:jc w:val="center"/>
            </w:pPr>
            <w:pPr>
              <w:jc w:val="left"/>
              <w:spacing w:before="200"/>
              <w:pStyle w:val="ImageCaption"/>
            </w:pPr>
            <w:r>
              <w:t xml:space="preserve">Figure 3.7</w:t>
            </w:r>
          </w:p>
          <w:p>
            <w:pPr>
              <w:pStyle w:val="Compact"/>
              <w:jc w:val="center"/>
            </w:pPr>
            <w:bookmarkStart w:id="350" w:name="fig-table-equip"/>
            <w:r>
              <w:drawing>
                <wp:inline>
                  <wp:extent cx="4620126" cy="4158113"/>
                  <wp:effectExtent b="0" l="0" r="0" t="0"/>
                  <wp:docPr descr="" title="" id="348" name="Picture"/>
                  <a:graphic>
                    <a:graphicData uri="http://schemas.openxmlformats.org/drawingml/2006/picture">
                      <pic:pic>
                        <pic:nvPicPr>
                          <pic:cNvPr descr="03_habitat_niveau_de_vie_files/figure-docx/fig-table-equip-1.png" id="349" name="Picture"/>
                          <pic:cNvPicPr>
                            <a:picLocks noChangeArrowheads="1" noChangeAspect="1"/>
                          </pic:cNvPicPr>
                        </pic:nvPicPr>
                        <pic:blipFill>
                          <a:blip r:embed="rId347"/>
                          <a:stretch>
                            <a:fillRect/>
                          </a:stretch>
                        </pic:blipFill>
                        <pic:spPr bwMode="auto">
                          <a:xfrm>
                            <a:off x="0" y="0"/>
                            <a:ext cx="4620126" cy="4158113"/>
                          </a:xfrm>
                          <a:prstGeom prst="rect">
                            <a:avLst/>
                          </a:prstGeom>
                          <a:noFill/>
                          <a:ln w="9525">
                            <a:noFill/>
                            <a:headEnd/>
                            <a:tailEnd/>
                          </a:ln>
                        </pic:spPr>
                      </pic:pic>
                    </a:graphicData>
                  </a:graphic>
                </wp:inline>
              </w:drawing>
            </w:r>
            <w:bookmarkEnd w:id="350"/>
          </w:p>
          <w:bookmarkEnd w:id="351"/>
        </w:tc>
      </w:tr>
    </w:tbl>
    <w:bookmarkEnd w:id="352"/>
    <w:bookmarkStart w:id="358"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57" w:name="fig-comm"/>
          <w:p>
            <w:pPr>
              <w:jc w:val="center"/>
            </w:pPr>
            <w:pPr>
              <w:jc w:val="left"/>
              <w:spacing w:before="200"/>
              <w:pStyle w:val="ImageCaption"/>
            </w:pPr>
            <w:r>
              <w:t xml:space="preserve">Figure 3.8</w:t>
            </w:r>
          </w:p>
          <w:p>
            <w:pPr>
              <w:pStyle w:val="Compact"/>
              <w:jc w:val="center"/>
            </w:pPr>
            <w:bookmarkStart w:id="356" w:name="fig-comm"/>
            <w:r>
              <w:drawing>
                <wp:inline>
                  <wp:extent cx="4620126" cy="1848050"/>
                  <wp:effectExtent b="0" l="0" r="0" t="0"/>
                  <wp:docPr descr="" title="" id="354" name="Picture"/>
                  <a:graphic>
                    <a:graphicData uri="http://schemas.openxmlformats.org/drawingml/2006/picture">
                      <pic:pic>
                        <pic:nvPicPr>
                          <pic:cNvPr descr="03_habitat_niveau_de_vie_files/figure-docx/fig-comm-1.png" id="355" name="Picture"/>
                          <pic:cNvPicPr>
                            <a:picLocks noChangeArrowheads="1" noChangeAspect="1"/>
                          </pic:cNvPicPr>
                        </pic:nvPicPr>
                        <pic:blipFill>
                          <a:blip r:embed="rId353"/>
                          <a:stretch>
                            <a:fillRect/>
                          </a:stretch>
                        </pic:blipFill>
                        <pic:spPr bwMode="auto">
                          <a:xfrm>
                            <a:off x="0" y="0"/>
                            <a:ext cx="4620126" cy="1848050"/>
                          </a:xfrm>
                          <a:prstGeom prst="rect">
                            <a:avLst/>
                          </a:prstGeom>
                          <a:noFill/>
                          <a:ln w="9525">
                            <a:noFill/>
                            <a:headEnd/>
                            <a:tailEnd/>
                          </a:ln>
                        </pic:spPr>
                      </pic:pic>
                    </a:graphicData>
                  </a:graphic>
                </wp:inline>
              </w:drawing>
            </w:r>
            <w:bookmarkEnd w:id="356"/>
          </w:p>
          <w:bookmarkEnd w:id="357"/>
        </w:tc>
      </w:tr>
    </w:tbl>
    <w:bookmarkEnd w:id="358"/>
    <w:bookmarkEnd w:id="359"/>
    <w:bookmarkStart w:id="369"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Alaotra, environ 33,5 % des ménages participent à l’envoi de transferts. Les transferts en riz atteignent une valeur moyenne de 97 000 Ar, suivis des transferts en argent avec une moyenne de 79 000 Ar.</w:t>
      </w:r>
    </w:p>
    <w:p>
      <w:pPr>
        <w:pStyle w:val="Corpsdetexte"/>
      </w:pPr>
      <w:r>
        <w:t xml:space="preserve">À Marovoay, la part des ménages envoyeurs est de 13,7 %. Les transferts en riz présentent une valeur moyenne de 335 000 Ar, tandis que les transferts en argent enregistrent une valeur moyenne de 86 000 Ar.</w:t>
      </w:r>
    </w:p>
    <w:tbl>
      <w:tblPr>
        <w:tblStyle w:val="Table"/>
        <w:tblW w:type="pct" w:w="5000"/>
        <w:tblLayout w:type="fixed"/>
        <w:tblLook w:firstRow="0" w:lastRow="0" w:firstColumn="0" w:lastColumn="0" w:noHBand="0" w:noVBand="0" w:val="0000"/>
      </w:tblPr>
      <w:tblGrid>
        <w:gridCol w:w="7920"/>
      </w:tblGrid>
      <w:tr>
        <w:tc>
          <w:tcPr/>
          <w:bookmarkStart w:id="363"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705428"/>
                  <wp:effectExtent b="0" l="0" r="0" t="0"/>
                  <wp:docPr descr="" title="" id="361" name="Picture"/>
                  <a:graphic>
                    <a:graphicData uri="http://schemas.openxmlformats.org/drawingml/2006/picture">
                      <pic:pic>
                        <pic:nvPicPr>
                          <pic:cNvPr descr="03_habitat_niveau_de_vie_files/figure-docx/fig-transferts-sortants-1.png" id="362" name="Picture"/>
                          <pic:cNvPicPr>
                            <a:picLocks noChangeArrowheads="1" noChangeAspect="1"/>
                          </pic:cNvPicPr>
                        </pic:nvPicPr>
                        <pic:blipFill>
                          <a:blip r:embed="rId360"/>
                          <a:stretch>
                            <a:fillRect/>
                          </a:stretch>
                        </pic:blipFill>
                        <pic:spPr bwMode="auto">
                          <a:xfrm>
                            <a:off x="0" y="0"/>
                            <a:ext cx="5969000" cy="1705428"/>
                          </a:xfrm>
                          <a:prstGeom prst="rect">
                            <a:avLst/>
                          </a:prstGeom>
                          <a:noFill/>
                          <a:ln w="9525">
                            <a:noFill/>
                            <a:headEnd/>
                            <a:tailEnd/>
                          </a:ln>
                        </pic:spPr>
                      </pic:pic>
                    </a:graphicData>
                  </a:graphic>
                </wp:inline>
              </w:drawing>
            </w:r>
          </w:p>
          <w:bookmarkEnd w:id="363"/>
        </w:tc>
      </w:tr>
    </w:tbl>
    <w:p>
      <w:pPr>
        <w:pStyle w:val="Corpsdetexte"/>
      </w:pPr>
      <w:r>
        <w:t xml:space="preserve">À Alaotra, environ un tiers des ménages enquêtés (33,5 %) participent à l’envoi de transferts.</w:t>
      </w:r>
    </w:p>
    <w:p>
      <w:pPr>
        <w:pStyle w:val="Corpsdetexte"/>
      </w:pPr>
      <w:r>
        <w:t xml:space="preserve">À Marovoay, la part des ménages envoyeurs est plus faible, s’élevant à 13,7 % de l’échantillon.</w:t>
      </w:r>
    </w:p>
    <w:tbl>
      <w:tblPr>
        <w:tblStyle w:val="Table"/>
        <w:tblW w:type="pct" w:w="5000"/>
        <w:tblLayout w:type="fixed"/>
        <w:tblLook w:firstRow="0" w:lastRow="0" w:firstColumn="0" w:lastColumn="0" w:noHBand="0" w:noVBand="0" w:val="0000"/>
      </w:tblPr>
      <w:tblGrid>
        <w:gridCol w:w="7920"/>
      </w:tblGrid>
      <w:tr>
        <w:tc>
          <w:tcPr/>
          <w:bookmarkStart w:id="364"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170</w:t>
                  </w:r>
                </w:p>
              </w:tc>
              <w:tc>
                <w:tcPr/>
                <w:p>
                  <w:pPr>
                    <w:pStyle w:val="Compact"/>
                    <w:jc w:val="right"/>
                    <w:jc w:val="center"/>
                  </w:pPr>
                  <w:r>
                    <w:t xml:space="preserve">507</w:t>
                  </w:r>
                </w:p>
              </w:tc>
              <w:tc>
                <w:tcPr/>
                <w:p>
                  <w:pPr>
                    <w:pStyle w:val="Compact"/>
                    <w:jc w:val="right"/>
                    <w:jc w:val="center"/>
                  </w:pPr>
                  <w:r>
                    <w:t xml:space="preserve">33.5</w:t>
                  </w:r>
                </w:p>
              </w:tc>
            </w:tr>
            <w:tr>
              <w:tc>
                <w:tcPr/>
                <w:p>
                  <w:pPr>
                    <w:pStyle w:val="Compact"/>
                    <w:jc w:val="left"/>
                    <w:jc w:val="center"/>
                  </w:pPr>
                  <w:r>
                    <w:t xml:space="preserve">Marovoay</w:t>
                  </w:r>
                </w:p>
              </w:tc>
              <w:tc>
                <w:tcPr/>
                <w:p>
                  <w:pPr>
                    <w:pStyle w:val="Compact"/>
                    <w:jc w:val="right"/>
                    <w:jc w:val="center"/>
                  </w:pPr>
                  <w:r>
                    <w:t xml:space="preserve">71</w:t>
                  </w:r>
                </w:p>
              </w:tc>
              <w:tc>
                <w:tcPr/>
                <w:p>
                  <w:pPr>
                    <w:pStyle w:val="Compact"/>
                    <w:jc w:val="right"/>
                    <w:jc w:val="center"/>
                  </w:pPr>
                  <w:r>
                    <w:t xml:space="preserve">519</w:t>
                  </w:r>
                </w:p>
              </w:tc>
              <w:tc>
                <w:tcPr/>
                <w:p>
                  <w:pPr>
                    <w:pStyle w:val="Compact"/>
                    <w:jc w:val="right"/>
                    <w:jc w:val="center"/>
                  </w:pPr>
                  <w:r>
                    <w:t xml:space="preserve">13.7</w:t>
                  </w:r>
                </w:p>
              </w:tc>
            </w:tr>
            <w:tr>
              <w:tc>
                <w:tcPr>
                  <w:gridSpan w:val="4"/>
                </w:tcPr>
                <w:p>
                  <w:pPr>
                    <w:pStyle w:val="Compact"/>
                    <w:jc w:val="left"/>
                    <w:jc w:val="center"/>
                  </w:pPr>
                  <w:r>
                    <w:t xml:space="preserve">Source : Enquête auprès des OR 2025</w:t>
                  </w:r>
                </w:p>
              </w:tc>
            </w:tr>
          </w:tbl>
          <w:bookmarkEnd w:id="364"/>
          <w:p/>
        </w:tc>
      </w:tr>
    </w:tbl>
    <w:p>
      <w:pPr>
        <w:pStyle w:val="Corpsdetexte"/>
      </w:pPr>
      <w:r>
        <w:t xml:space="preserve">À Alaotra, la grande majorité des destinataires des transferts résident dans la même commune avec une proportion de 89 %. Les destinataires résidant dans une autre commune de la même région constituent 6,4 %, tandis que les transferts destinés vers une autre région représentent 4,7 %.</w:t>
      </w:r>
    </w:p>
    <w:p>
      <w:pPr>
        <w:pStyle w:val="Corpsdetexte"/>
      </w:pPr>
      <w:r>
        <w:t xml:space="preserve">À Marovoay, 77,1 % des transferts sont destinés à des personnes vivant dans la même commune. Ceux installés dans une autre commune de la même région représentent 10,8 %, et les transferts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68"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1492250"/>
                  <wp:effectExtent b="0" l="0" r="0" t="0"/>
                  <wp:docPr descr="" title="" id="366" name="Picture"/>
                  <a:graphic>
                    <a:graphicData uri="http://schemas.openxmlformats.org/drawingml/2006/picture">
                      <pic:pic>
                        <pic:nvPicPr>
                          <pic:cNvPr descr="03_habitat_niveau_de_vie_files/figure-docx/fig-destination-transferts-1.png" id="367" name="Picture"/>
                          <pic:cNvPicPr>
                            <a:picLocks noChangeArrowheads="1" noChangeAspect="1"/>
                          </pic:cNvPicPr>
                        </pic:nvPicPr>
                        <pic:blipFill>
                          <a:blip r:embed="rId365"/>
                          <a:stretch>
                            <a:fillRect/>
                          </a:stretch>
                        </pic:blipFill>
                        <pic:spPr bwMode="auto">
                          <a:xfrm>
                            <a:off x="0" y="0"/>
                            <a:ext cx="5969000" cy="1492250"/>
                          </a:xfrm>
                          <a:prstGeom prst="rect">
                            <a:avLst/>
                          </a:prstGeom>
                          <a:noFill/>
                          <a:ln w="9525">
                            <a:noFill/>
                            <a:headEnd/>
                            <a:tailEnd/>
                          </a:ln>
                        </pic:spPr>
                      </pic:pic>
                    </a:graphicData>
                  </a:graphic>
                </wp:inline>
              </w:drawing>
            </w:r>
          </w:p>
          <w:bookmarkEnd w:id="368"/>
        </w:tc>
      </w:tr>
    </w:tbl>
    <w:bookmarkEnd w:id="369"/>
    <w:bookmarkStart w:id="381"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4"/>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4"/>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4"/>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4"/>
        </w:numPr>
      </w:pPr>
      <w:r>
        <w:t xml:space="preserve">le</w:t>
      </w:r>
      <w:r>
        <w:t xml:space="preserve"> </w:t>
      </w:r>
      <w:r>
        <w:rPr>
          <w:b/>
          <w:bCs/>
        </w:rPr>
        <w:t xml:space="preserve">revenu net rizicole</w:t>
      </w:r>
      <w:r>
        <w:t xml:space="preserve">: valeur de la production de riz moins les charges ;</w:t>
      </w:r>
    </w:p>
    <w:p>
      <w:pPr>
        <w:pStyle w:val="Compact"/>
        <w:numPr>
          <w:ilvl w:val="0"/>
          <w:numId w:val="1004"/>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4"/>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4"/>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70"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L’écart-type atteint 10 312 760 Ar ce qui traduit une forte dispersion des revenus entre les ménages. Le revenu minimum observé est de -7 244 963 Ar alors que le revenu maximum atteint 171 961 683 Ar.</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 Le revenu minimum enregistré est de -4 219 928 Ar tandis que le revenu maximum s’élève à 72 641 968 Ar.</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Revenu total annuel (Ar/an)</w:t>
            </w:r>
          </w:p>
        </w:tc>
      </w:tr>
      <w:tr>
        <w:trPr>
          <w:tblHeader w:val="on"/>
        </w:trPr>
        <w:tc>
          <w:tcPr>
            <w:gridSpan w:val="6"/>
          </w:tcPr>
          <w:p>
            <w:pPr>
              <w:pStyle w:val="Compact"/>
              <w:jc w:val="center"/>
            </w:pPr>
            <w:r>
              <w:t xml:space="preserve">Comparaison par ménage, par tête et par équivalent (OCDE modifiée)</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Par tête (moy.)</w:t>
            </w:r>
          </w:p>
        </w:tc>
        <w:tc>
          <w:tcPr/>
          <w:p>
            <w:pPr>
              <w:pStyle w:val="Compact"/>
              <w:jc w:val="right"/>
            </w:pPr>
            <w:r>
              <w:t xml:space="preserve">Par équivalent (moy.)</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1,224,262</w:t>
            </w:r>
          </w:p>
        </w:tc>
        <w:tc>
          <w:tcPr/>
          <w:p>
            <w:pPr>
              <w:pStyle w:val="Compact"/>
              <w:jc w:val="right"/>
            </w:pPr>
            <w:r>
              <w:t xml:space="preserve">2,011,838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870,716</w:t>
            </w:r>
          </w:p>
        </w:tc>
        <w:tc>
          <w:tcPr/>
          <w:p>
            <w:pPr>
              <w:pStyle w:val="Compact"/>
              <w:jc w:val="right"/>
            </w:pPr>
            <w:r>
              <w:t xml:space="preserve">1,473,963</w:t>
            </w:r>
          </w:p>
        </w:tc>
      </w:tr>
      <w:tr>
        <w:tc>
          <w:tcPr>
            <w:gridSpan w:val="6"/>
          </w:tcPr>
          <w:p>
            <w:pPr>
              <w:pStyle w:val="Compact"/>
              <w:jc w:val="left"/>
            </w:pPr>
            <w:r>
              <w:t xml:space="preserve">Source : Enquête auprès des OR 2025</w:t>
            </w:r>
          </w:p>
        </w:tc>
      </w:tr>
    </w:tbl>
    <w:bookmarkEnd w:id="370"/>
    <w:bookmarkStart w:id="371" w:name="détail-des-revenus-par-ménage"/>
    <w:p>
      <w:pPr>
        <w:pStyle w:val="Titre3"/>
      </w:pPr>
      <w:r>
        <w:t xml:space="preserve">3.4.2 Détail des revenus par ménage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Statistiques descriptives du revenu total par ménage</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Écart-type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t xml:space="preserve">Source : Enquête auprès des OR 2025</w:t>
            </w:r>
          </w:p>
        </w:tc>
      </w:tr>
    </w:tbl>
    <w:bookmarkEnd w:id="371"/>
    <w:bookmarkStart w:id="375"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38.0 % du total, soit 1,654,368 Ar/an. Les revenus indépendants arrivent en deuxième position avec 24.0 %, représentant 1,043,037 Ar/an. Les salaires agricoles occupent la troisième place avec 19.8 %, soit 860,748 Ar/an.L’élevage contribue à hauteur de 7.0 % du revenu courant moyen, correspondant à 302,73 5 Ar/an. Les salaires non agricoles représentent 6.8 %, soit 297,052 Ar/an. Les revenus nets issus des autres cultures participent pour 4.4 %, équivalant à 191,317 Ar/an. Le revenu courant moyen total par ménage dans l’observatoire d’Alaotra est de 4,349,257 Ar/an.</w:t>
      </w:r>
    </w:p>
    <w:p>
      <w:pPr>
        <w:pStyle w:val="Corpsdetexte"/>
      </w:pPr>
      <w:r>
        <w:t xml:space="preserve">A Marovoay, les revenus nets rizicoles représentent la plus grande part du revenu courant moyen par ménage avec 39.2 % du total, soit 1,287,310 Ar/an. Les revenus indépendants se placent en deuxième position avec 23.2 %, correspondant à 759,874 Ar/an. Les salaires agricoles arrivent ensuite avec 18.4 %, soit 604,846 Ar/an. L’élevage contribue pour 7.7 % du revenu courant moyen, représentant 253,697 Ar/an. Les salaires non agricoles participent à hauteur de 6.2 %, soit 204,131 Ar/an. Les revenus nets des autres cultures représentent 5.2 %, correspondant à 170,901 Ar/an. Le revenu courant moyen total par ménage dans l’observatoire de Marovoay est de 3,280,758 Ar/an.</w:t>
      </w:r>
    </w:p>
    <w:p>
      <w:pPr>
        <w:pStyle w:val="Corpsdetexte"/>
      </w:pPr>
      <w:r>
        <w:t xml:space="preserve">Pour les deux observatoires, la pêche ne contribue pas au revenu courant moyen.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t xml:space="preserve">Source : Enquête auprès des OR 2025</w:t>
            </w:r>
          </w:p>
        </w:tc>
      </w:tr>
    </w:tbl>
    <w:p>
      <w:pPr>
        <w:pStyle w:val="CaptionedFigure"/>
      </w:pPr>
      <w:r>
        <w:drawing>
          <wp:inline>
            <wp:extent cx="5969000" cy="1865312"/>
            <wp:effectExtent b="0" l="0" r="0" t="0"/>
            <wp:docPr descr="Part des composantes dans le revenu courant moyen par observatoire" title="" id="373" name="Picture"/>
            <a:graphic>
              <a:graphicData uri="http://schemas.openxmlformats.org/drawingml/2006/picture">
                <pic:pic>
                  <pic:nvPicPr>
                    <pic:cNvPr descr="03_habitat_niveau_de_vie_files/figure-docx/fig_revcou_shares-1.png" id="374" name="Picture"/>
                    <pic:cNvPicPr>
                      <a:picLocks noChangeArrowheads="1" noChangeAspect="1"/>
                    </pic:cNvPicPr>
                  </pic:nvPicPr>
                  <pic:blipFill>
                    <a:blip r:embed="rId372"/>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375"/>
    <w:bookmarkStart w:id="379" w:name="distribution-du-revenu-total"/>
    <w:p>
      <w:pPr>
        <w:pStyle w:val="Titre3"/>
      </w:pPr>
      <w:r>
        <w:t xml:space="preserve">3.4.4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A Alaotra, la distribution du revenu total annuel des ménages dans l’observatoire d’Alaotra montre une forte concentration des revenus autour des valeurs intermédiaires, avec une densité maximale située approximativement entre 1,000,000 et 10,000,000 Ar en échelle logarithmique. La courbe présente une forme relativement asymétrique vers la droite, indiquant que certains ménages disposent de revenus plus élevés mais restent peu nombreux. Les très faibles revenus ainsi que les revenus extrêmement élevés apparaissent avec une faible densité. La distribution traduit donc une concentration majoritaire des ménages autour des revenus moyens.</w:t>
      </w:r>
      <w:r>
        <w:t xml:space="preserve"> </w:t>
      </w:r>
      <w:r>
        <w:t xml:space="preserve">:::</w:t>
      </w:r>
      <w:r>
        <w:t xml:space="preserve"> </w:t>
      </w:r>
      <w:r>
        <w:t xml:space="preserve">::::</w:t>
      </w:r>
    </w:p>
    <w:p>
      <w:pPr>
        <w:pStyle w:val="Corpsdetexte"/>
      </w:pPr>
      <w:r>
        <w:t xml:space="preserve">::: obs-marovoay -</w:t>
      </w:r>
      <w:r>
        <w:t xml:space="preserve"> </w:t>
      </w:r>
      <w:r>
        <w:t xml:space="preserve">A Marovoay, la distribution du revenu total annuel des ménages suit également une forme unimodale avec une concentration importante des ménages autour des revenus intermédiaires. La densité maximale se situe dans la même plage logarithmique, principalement entre 1,000,000 et 10,000,000 Ar. La courbe présente une légère asymétrie à droite, ce qui montre l’existence de quelques ménages à revenus élevés, mais en effectif limité. Les ménages à très faibles revenus ainsi que ceux ayant des revenus très élevés restent minoritaires dans la distribution globale.</w:t>
      </w:r>
    </w:p>
    <w:p>
      <w:pPr>
        <w:pStyle w:val="CaptionedFigure"/>
      </w:pPr>
      <w:r>
        <w:drawing>
          <wp:inline>
            <wp:extent cx="5969000" cy="1865312"/>
            <wp:effectExtent b="0" l="0" r="0" t="0"/>
            <wp:docPr descr="Distribution du revenu total par observatoire (echelle log)" title="" id="377" name="Picture"/>
            <a:graphic>
              <a:graphicData uri="http://schemas.openxmlformats.org/drawingml/2006/picture">
                <pic:pic>
                  <pic:nvPicPr>
                    <pic:cNvPr descr="03_habitat_niveau_de_vie_files/figure-docx/fig_revtot_dist-1.png" id="378" name="Picture"/>
                    <pic:cNvPicPr>
                      <a:picLocks noChangeArrowheads="1" noChangeAspect="1"/>
                    </pic:cNvPicPr>
                  </pic:nvPicPr>
                  <pic:blipFill>
                    <a:blip r:embed="rId37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379"/>
    <w:bookmarkStart w:id="380" w:name="revenu-courant-et-revenu-exceptionnel"/>
    <w:p>
      <w:pPr>
        <w:pStyle w:val="Titre3"/>
      </w:pPr>
      <w:r>
        <w:t xml:space="preserve">3.4.5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p>
      <w:pPr>
        <w:pStyle w:val="Corpsdetexte"/>
      </w:pPr>
      <w:r>
        <w:t xml:space="preserve">A Marovoay, le revenu total moyen par ménage s’élève à 3,480,646 Ar/an. Le revenu courant atteint 3,280,758 Ar/an et représente 94.3 % du revenu total. Le revenu exceptionnel est de 199,888 Ar/an, soit 5.7 % du total. Les ménages tirent donc majoritairement leurs ressources de revenus courants tandis que les revenus exceptionnels occupent une place plus réduite dans la structure globale des revenus.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t xml:space="preserve">Source : Enquête auprès des OR 2025</w:t>
            </w:r>
          </w:p>
        </w:tc>
      </w:tr>
    </w:tbl>
    <w:bookmarkEnd w:id="380"/>
    <w:bookmarkEnd w:id="381"/>
    <w:bookmarkStart w:id="430"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p>
      <w:pPr>
        <w:pStyle w:val="Corpsdetexte"/>
      </w:pPr>
      <w:r>
        <w:t xml:space="preserve">A Marovoay, le revenu total moyen par ménage évolue progressivement entre 1995 et 2000, passant d’environ 350000 Ar à plus de 1200000 Ar/ménage/an. Une légère baisse apparaît ensuite au début des années 2000 avant qu’une hausse marquée ne survienne en 2004. Après ce changement rapide, les revenus connaissent une phase de relative stabilité entre 2006 et 2011, autour de 2300000 à 2400000 Ar/ménage/an. À partir de 2012, une nouvelle progression est observée, malgré quelques petites fluctuations. Les prévisions jusqu’en 2025 montrent une augmentation continue des revenus, qui pourraient atteindre près de 3500000 Ar/ménage/an.</w:t>
      </w:r>
    </w:p>
    <w:p>
      <w:pPr>
        <w:pStyle w:val="CaptionedFigure"/>
      </w:pPr>
      <w:r>
        <w:drawing>
          <wp:inline>
            <wp:extent cx="5969000" cy="2984500"/>
            <wp:effectExtent b="0" l="0" r="0" t="0"/>
            <wp:docPr descr="Evolution du revenu total moyen par menage (Ar courants)" title="" id="383" name="Picture"/>
            <a:graphic>
              <a:graphicData uri="http://schemas.openxmlformats.org/drawingml/2006/picture">
                <pic:pic>
                  <pic:nvPicPr>
                    <pic:cNvPr descr="03_habitat_niveau_de_vie_files/figure-docx/fig_trends_revtot-1.png" id="384" name="Picture"/>
                    <pic:cNvPicPr>
                      <a:picLocks noChangeArrowheads="1" noChangeAspect="1"/>
                    </pic:cNvPicPr>
                  </pic:nvPicPr>
                  <pic:blipFill>
                    <a:blip r:embed="rId382"/>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p>
      <w:pPr>
        <w:pStyle w:val="Corpsdetexte"/>
      </w:pPr>
      <w:r>
        <w:t xml:space="preserve">A Marovoay, le revenu courant moyen par ménage augmente progressivement entre 1995 et 2000, passant d’environ 350000 Ar à plus de 1000000 Ar/ménage/an. Une légère diminution est ensuite observée au début des années 2000 avant une forte progression en 2004, où les revenus dépassent 2000000 Ar. Entre 2006 et 2011, les revenus évoluent de manière relativement stable autour de 2000000 à 2300000 Ar/ménage/an, malgré quelques fluctuations. À partir de 2012, une reprise de la croissance apparaît et les projections montrent une augmentation régulière des revenus jusqu’en 2025, avec des valeurs estimées autour de 3300000 Ar/ménage/an.</w:t>
      </w:r>
    </w:p>
    <w:p>
      <w:pPr>
        <w:pStyle w:val="CaptionedFigure"/>
      </w:pPr>
      <w:r>
        <w:drawing>
          <wp:inline>
            <wp:extent cx="5969000" cy="2984500"/>
            <wp:effectExtent b="0" l="0" r="0" t="0"/>
            <wp:docPr descr="Evolution du revenu courant moyen par menage (Ar courants)" title="" id="386" name="Picture"/>
            <a:graphic>
              <a:graphicData uri="http://schemas.openxmlformats.org/drawingml/2006/picture">
                <pic:pic>
                  <pic:nvPicPr>
                    <pic:cNvPr descr="03_habitat_niveau_de_vie_files/figure-docx/fig_trends_revcou-1.png" id="387" name="Picture"/>
                    <pic:cNvPicPr>
                      <a:picLocks noChangeArrowheads="1" noChangeAspect="1"/>
                    </pic:cNvPicPr>
                  </pic:nvPicPr>
                  <pic:blipFill>
                    <a:blip r:embed="rId385"/>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p>
      <w:pPr>
        <w:pStyle w:val="Corpsdetexte"/>
      </w:pPr>
      <w:r>
        <w:t xml:space="preserve">A Marovoay, le revenu courant moyen suit également une tendance générale à la hausse au cours du temps. Les revenus nets rizicoles occupent la place la plus importante dans la structure des revenus et atteignent environ 1700000 Ariary lors des dernières années observées. Les salaires agricoles augmentent de manière régulière et représentent une composante significative, avec des montants avoisinant 1000000 Ariary en fin de période. Les revenus indépendants progressent aussi graduellement pour atteindre près de 600000 Ariary. Les salaires non agricoles restent limités, généralement autour de 200000 à 300000 Ariary. Les revenus provenant de l’élevage, de la pêche et des autres cultures demeurent relativement faibles durant toute la période, avec des contributions modestes dans le revenu total moyen.</w:t>
      </w:r>
    </w:p>
    <w:p>
      <w:pPr>
        <w:pStyle w:val="CaptionedFigure"/>
      </w:pPr>
      <w:r>
        <w:drawing>
          <wp:inline>
            <wp:extent cx="5969000" cy="2984500"/>
            <wp:effectExtent b="0" l="0" r="0" t="0"/>
            <wp:docPr descr="Evolution des composantes du revenu courant moyen (Ar courants)" title="" id="389" name="Picture"/>
            <a:graphic>
              <a:graphicData uri="http://schemas.openxmlformats.org/drawingml/2006/picture">
                <pic:pic>
                  <pic:nvPicPr>
                    <pic:cNvPr descr="03_habitat_niveau_de_vie_files/figure-docx/fig_trends_decomp-1.png" id="390" name="Picture"/>
                    <pic:cNvPicPr>
                      <a:picLocks noChangeArrowheads="1" noChangeAspect="1"/>
                    </pic:cNvPicPr>
                  </pic:nvPicPr>
                  <pic:blipFill>
                    <a:blip r:embed="rId388"/>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396"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c:\PROGRA~1\Positron\RESOUR~1\app\quarto\share\formats\docx\note.png" id="392"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238375"/>
            <wp:effectExtent b="0" l="0" r="0" t="0"/>
            <wp:docPr descr="Evolution de l’IPC national Madagascar (base 2010 = 100)" title="" id="394" name="Picture"/>
            <a:graphic>
              <a:graphicData uri="http://schemas.openxmlformats.org/drawingml/2006/picture">
                <pic:pic>
                  <pic:nvPicPr>
                    <pic:cNvPr descr="03_habitat_niveau_de_vie_files/figure-docx/fig_ipc_national-1.png" id="395" name="Picture"/>
                    <pic:cNvPicPr>
                      <a:picLocks noChangeArrowheads="1" noChangeAspect="1"/>
                    </pic:cNvPicPr>
                  </pic:nvPicPr>
                  <pic:blipFill>
                    <a:blip r:embed="rId393"/>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396"/>
    <w:bookmarkStart w:id="403"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p>
      <w:pPr>
        <w:pStyle w:val="Corpsdetexte"/>
      </w:pPr>
      <w:r>
        <w:t xml:space="preserve">À Marovoay, le prix médian du paddy suit également une tendance haussière sur l’ensemble de la période. Les niveaux restent inférieurs à 300 Ar/kg jusqu’au début des années 2000, puis augmentent rapidement pour atteindre près de 500 Ar/kg autour de 2005. Entre 2006 et 2013, les prix fluctuent généralement entre 450 et 600 Ar/kg. Une baisse apparaît également autour de 2014 avec un niveau proche de 500 Ar/kg, suivie d’une forte progression à partir de 2015. En fin de période, le prix médian atteint environ 1600 Ar/kg en 2025, correspondant au niveau maximal observé sur la série.</w:t>
      </w:r>
    </w:p>
    <w:p>
      <w:pPr>
        <w:pStyle w:val="CaptionedFigure"/>
      </w:pPr>
      <w:r>
        <w:drawing>
          <wp:inline>
            <wp:extent cx="5969000" cy="1865312"/>
            <wp:effectExtent b="0" l="0" r="0" t="0"/>
            <wp:docPr descr="Evolution du prix median du paddy (Ar/kg)" title="" id="398" name="Picture"/>
            <a:graphic>
              <a:graphicData uri="http://schemas.openxmlformats.org/drawingml/2006/picture">
                <pic:pic>
                  <pic:nvPicPr>
                    <pic:cNvPr descr="03_habitat_niveau_de_vie_files/figure-docx/fig_trends_paddy-1.png" id="399" name="Picture"/>
                    <pic:cNvPicPr>
                      <a:picLocks noChangeArrowheads="1" noChangeAspect="1"/>
                    </pic:cNvPicPr>
                  </pic:nvPicPr>
                  <pic:blipFill>
                    <a:blip r:embed="rId39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p>
      <w:pPr>
        <w:pStyle w:val="Corpsdetexte"/>
      </w:pPr>
      <w:r>
        <w:t xml:space="preserve">À Marovoay, l’évolution de l’indice du prix du paddy est plus marquée en fin de période. L’indice reste inférieur à 60 avant les années 2000, dépasse 100 autour de 2005, puis fluctue entre environ 90 et 140 jusqu’en 2014. Après 2015, la progression devient très rapide et l’indice atteint près de 350 en 2025. Cette évolution montre une augmentation particulièrement forte du prix du paddy au cours des dernières années.</w:t>
      </w:r>
    </w:p>
    <w:p>
      <w:pPr>
        <w:pStyle w:val="CaptionedFigure"/>
      </w:pPr>
      <w:r>
        <w:drawing>
          <wp:inline>
            <wp:extent cx="5969000" cy="1865312"/>
            <wp:effectExtent b="0" l="0" r="0" t="0"/>
            <wp:docPr descr="Comparaison de l’IPC national et de l’indice du prix du paddy (base 100 en 2010)" title="" id="401" name="Picture"/>
            <a:graphic>
              <a:graphicData uri="http://schemas.openxmlformats.org/drawingml/2006/picture">
                <pic:pic>
                  <pic:nvPicPr>
                    <pic:cNvPr descr="03_habitat_niveau_de_vie_files/figure-docx/fig_ipc_vs_paddy-1.png" id="402" name="Picture"/>
                    <pic:cNvPicPr>
                      <a:picLocks noChangeArrowheads="1" noChangeAspect="1"/>
                    </pic:cNvPicPr>
                  </pic:nvPicPr>
                  <pic:blipFill>
                    <a:blip r:embed="rId40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403"/>
    <w:bookmarkStart w:id="422"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p>
      <w:pPr>
        <w:pStyle w:val="Corpsdetexte"/>
      </w:pPr>
      <w:r>
        <w:t xml:space="preserve">À Marovoay, le revenu total réel moyen suit également une évolution irrégulière. Le revenu passe d’environ 1400000 Ariary en 1995 à plus de 3000000 Ariary au début des années 2000, avant de diminuer autour de 2002 et 2003. Une très forte hausse est observée en 2004 avec un niveau supérieur à 4300000 Ariary, correspondant au maximum de toute la série. Après ce pic, le revenu diminue progressivement tout en restant proche de 2800000 à 3000000 Ariary entre 2005 et 2009. À partir de 2010, la tendance devient décroissante avec des niveaux proches de 2000000 Ariary après 2013.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total reel moyen par menage (Ar constants 2010, IPC)" title="" id="405" name="Picture"/>
            <a:graphic>
              <a:graphicData uri="http://schemas.openxmlformats.org/drawingml/2006/picture">
                <pic:pic>
                  <pic:nvPicPr>
                    <pic:cNvPr descr="03_habitat_niveau_de_vie_files/figure-docx/fig_trends_revtot_real-1.png" id="406" name="Picture"/>
                    <pic:cNvPicPr>
                      <a:picLocks noChangeArrowheads="1" noChangeAspect="1"/>
                    </pic:cNvPicPr>
                  </pic:nvPicPr>
                  <pic:blipFill>
                    <a:blip r:embed="rId404"/>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2984500"/>
            <wp:effectExtent b="0" l="0" r="0" t="0"/>
            <wp:docPr descr="Evolution du revenu total reel moyen par tete (Ar constants 2010, IPC)" title="" id="408" name="Picture"/>
            <a:graphic>
              <a:graphicData uri="http://schemas.openxmlformats.org/drawingml/2006/picture">
                <pic:pic>
                  <pic:nvPicPr>
                    <pic:cNvPr descr="03_habitat_niveau_de_vie_files/figure-docx/fig_trends_revtot_real_pc-1.png" id="409" name="Picture"/>
                    <pic:cNvPicPr>
                      <a:picLocks noChangeArrowheads="1" noChangeAspect="1"/>
                    </pic:cNvPicPr>
                  </pic:nvPicPr>
                  <pic:blipFill>
                    <a:blip r:embed="rId407"/>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tete (Ar constants 2010, IPC)</w:t>
      </w:r>
    </w:p>
    <w:p>
      <w:pPr>
        <w:pStyle w:val="CaptionedFigure"/>
      </w:pPr>
      <w:r>
        <w:drawing>
          <wp:inline>
            <wp:extent cx="5969000" cy="2984500"/>
            <wp:effectExtent b="0" l="0" r="0" t="0"/>
            <wp:docPr descr="Evolution du revenu total reel moyen par unite de consommation (Ar constants 2010, IPC)" title="" id="411" name="Picture"/>
            <a:graphic>
              <a:graphicData uri="http://schemas.openxmlformats.org/drawingml/2006/picture">
                <pic:pic>
                  <pic:nvPicPr>
                    <pic:cNvPr descr="03_habitat_niveau_de_vie_files/figure-docx/fig_trends_revtot_real_eq-1.png" id="412" name="Picture"/>
                    <pic:cNvPicPr>
                      <a:picLocks noChangeArrowheads="1" noChangeAspect="1"/>
                    </pic:cNvPicPr>
                  </pic:nvPicPr>
                  <pic:blipFill>
                    <a:blip r:embed="rId410"/>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unite de consommation (Ar constants 2010, IPC)</w:t>
      </w:r>
    </w:p>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p>
      <w:pPr>
        <w:pStyle w:val="Corpsdetexte"/>
      </w:pPr>
      <w:r>
        <w:t xml:space="preserve">À Marovoay, le revenu courant réel moyen augmente fortement entre 1995 et 2000, passant d’environ 1400000 Ariary à près de 2800000 Ariary. Après une baisse autour de 2002 et 2003, une hausse très importante apparaît en 2004 avec un niveau proche de 4000000 Ariary, correspondant au maximum observé sur toute la série. Le revenu diminue ensuite progressivement tout en restant autour de 2500000 à 3000000 Ariary jusqu’en 2008. Après 2010, la tendance devient davantage décroissante, avec des niveaux proches de 1800000 à 2200000 Ariary.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courant reel moyen par menage (Ar constants 2010, IPC)" title="" id="414" name="Picture"/>
            <a:graphic>
              <a:graphicData uri="http://schemas.openxmlformats.org/drawingml/2006/picture">
                <pic:pic>
                  <pic:nvPicPr>
                    <pic:cNvPr descr="03_habitat_niveau_de_vie_files/figure-docx/fig_trends_revcou_real-1.png" id="415" name="Picture"/>
                    <pic:cNvPicPr>
                      <a:picLocks noChangeArrowheads="1" noChangeAspect="1"/>
                    </pic:cNvPicPr>
                  </pic:nvPicPr>
                  <pic:blipFill>
                    <a:blip r:embed="rId413"/>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p>
      <w:pPr>
        <w:pStyle w:val="CaptionedFigure"/>
      </w:pPr>
      <w:r>
        <w:drawing>
          <wp:inline>
            <wp:extent cx="5969000" cy="2984500"/>
            <wp:effectExtent b="0" l="0" r="0" t="0"/>
            <wp:docPr descr="Evolution du revenu courant reel moyen par tete (Ar constants 2010, IPC)" title="" id="417" name="Picture"/>
            <a:graphic>
              <a:graphicData uri="http://schemas.openxmlformats.org/drawingml/2006/picture">
                <pic:pic>
                  <pic:nvPicPr>
                    <pic:cNvPr descr="03_habitat_niveau_de_vie_files/figure-docx/fig_trends_revcou_real_pc-1.png" id="418" name="Picture"/>
                    <pic:cNvPicPr>
                      <a:picLocks noChangeArrowheads="1" noChangeAspect="1"/>
                    </pic:cNvPicPr>
                  </pic:nvPicPr>
                  <pic:blipFill>
                    <a:blip r:embed="rId416"/>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tete (Ar constants 2010, IPC)</w:t>
      </w:r>
    </w:p>
    <w:p>
      <w:pPr>
        <w:pStyle w:val="CaptionedFigure"/>
      </w:pPr>
      <w:r>
        <w:drawing>
          <wp:inline>
            <wp:extent cx="5969000" cy="2984500"/>
            <wp:effectExtent b="0" l="0" r="0" t="0"/>
            <wp:docPr descr="Evolution du revenu courant reel moyen par unite de consommation (Ar constants 2010, IPC)" title="" id="420" name="Picture"/>
            <a:graphic>
              <a:graphicData uri="http://schemas.openxmlformats.org/drawingml/2006/picture">
                <pic:pic>
                  <pic:nvPicPr>
                    <pic:cNvPr descr="03_habitat_niveau_de_vie_files/figure-docx/fig_trends_revcou_real_eq-1.png" id="421" name="Picture"/>
                    <pic:cNvPicPr>
                      <a:picLocks noChangeArrowheads="1" noChangeAspect="1"/>
                    </pic:cNvPicPr>
                  </pic:nvPicPr>
                  <pic:blipFill>
                    <a:blip r:embed="rId419"/>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unite de consommation (Ar constants 2010, IPC)</w:t>
      </w:r>
    </w:p>
    <w:bookmarkEnd w:id="422"/>
    <w:bookmarkStart w:id="429"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p>
      <w:pPr>
        <w:pStyle w:val="Corpsdetexte"/>
      </w:pPr>
      <w:r>
        <w:t xml:space="preserve">À Marovoay, le revenu total réel moyen évolue également de manière irrégulière. Le revenu augmente fortement entre 1997 et 1998, passant d’environ 1600000 Ariary à plus de 2400000 Ariary. Entre 1999 et 2005, les niveaux fluctuent généralement entre 1800000 et 2600000 Ariary, avec plusieurs hausses et baisses successives. Une chute importante apparaît en 2005 avec un niveau proche de 1500000 Ariary, suivie d’une remontée progressive autour de 2200000 Ariary entre 2006 et 2010. Après une légère baisse autour de 2011, le revenu atteint près de 2400000 Ariary en 2012 avant de redescendre autour de 1900000 Ariary en 2013. La projection jusqu’en 2025 montre ensuite une baisse continue, conduisant à un revenu proche de 1000000 Ariary en fin de période.</w:t>
      </w:r>
    </w:p>
    <w:p>
      <w:pPr>
        <w:pStyle w:val="CaptionedFigure"/>
      </w:pPr>
      <w:r>
        <w:drawing>
          <wp:inline>
            <wp:extent cx="5969000" cy="2984500"/>
            <wp:effectExtent b="0" l="0" r="0" t="0"/>
            <wp:docPr descr="Evolution du revenu total reel moyen par menage (Ar constants paddy 2010)" title="" id="424" name="Picture"/>
            <a:graphic>
              <a:graphicData uri="http://schemas.openxmlformats.org/drawingml/2006/picture">
                <pic:pic>
                  <pic:nvPicPr>
                    <pic:cNvPr descr="03_habitat_niveau_de_vie_files/figure-docx/fig_trends_revtot_paddy-1.png" id="425" name="Picture"/>
                    <pic:cNvPicPr>
                      <a:picLocks noChangeArrowheads="1" noChangeAspect="1"/>
                    </pic:cNvPicPr>
                  </pic:nvPicPr>
                  <pic:blipFill>
                    <a:blip r:embed="rId423"/>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p>
      <w:pPr>
        <w:pStyle w:val="Corpsdetexte"/>
      </w:pPr>
      <w:r>
        <w:t xml:space="preserve">À Marovoay, le revenu courant réel moyen évolue également de manière irrégulière sur l’ensemble de la période. Le revenu augmente fortement entre 1997 et 1998, passant d’environ 1500000 Ariary à plus de 2100000 Ariary, puis fluctue entre environ 1800000 et 2400000 Ariary jusqu’en 2004. Une forte baisse apparaît en 2005 avec un niveau proche de 1300000 Ariary, avant une remontée progressive autour de 2000000 Ariary entre 2006 et 2010. Après une légère diminution autour de 2011, le revenu atteint près de 2100000 Ariary en 2013 avant de redescendre autour de 1600000 Ariary en 2014. La projection jusqu’en 2025 indique ensuite une baisse régulière du revenu, qui atteint environ 900000 Ariary en fin de période.</w:t>
      </w:r>
    </w:p>
    <w:p>
      <w:pPr>
        <w:pStyle w:val="CaptionedFigure"/>
      </w:pPr>
      <w:r>
        <w:drawing>
          <wp:inline>
            <wp:extent cx="5969000" cy="2984500"/>
            <wp:effectExtent b="0" l="0" r="0" t="0"/>
            <wp:docPr descr="Evolution du revenu courant reel moyen par menage (Ar constants paddy 2010)" title="" id="427" name="Picture"/>
            <a:graphic>
              <a:graphicData uri="http://schemas.openxmlformats.org/drawingml/2006/picture">
                <pic:pic>
                  <pic:nvPicPr>
                    <pic:cNvPr descr="03_habitat_niveau_de_vie_files/figure-docx/fig_trends_revcou_paddy-1.png" id="428" name="Picture"/>
                    <pic:cNvPicPr>
                      <a:picLocks noChangeArrowheads="1" noChangeAspect="1"/>
                    </pic:cNvPicPr>
                  </pic:nvPicPr>
                  <pic:blipFill>
                    <a:blip r:embed="rId426"/>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429"/>
    <w:bookmarkEnd w:id="430"/>
    <w:bookmarkStart w:id="434" w:name="sec-habitat-multiyear"/>
    <w:p>
      <w:pPr>
        <w:pStyle w:val="Titre2"/>
      </w:pPr>
      <w:r>
        <w:t xml:space="preserve">3.6 Evolution des conditions d’habitat (1997-2025)</w:t>
      </w:r>
    </w:p>
    <w:p>
      <w:pPr>
        <w:pStyle w:val="FirstParagraph"/>
      </w:pPr>
      <w:r>
        <w:t xml:space="preserve">Les donnees sur l’habitat permettent de suivre l’evolution de la source d’eau principale sur la periode couverte.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p>
      <w:pPr>
        <w:pStyle w:val="Corpsdetexte"/>
      </w:pPr>
      <w:r>
        <w:t xml:space="preserve">À Marovoay, l’accès à une source d’eau améliorée demeure beaucoup plus faible sur l’ensemble de la période. Les niveaux restent proches de 0 % jusqu’à la fin des années 1990, puis augmentent progressivement pour atteindre environ 6 % au début des années 2000. Une hausse plus importante apparaît entre 2003 et 2006, avec un maximum proche de 13 % en 2006. Après cette période, la proportion diminue autour de 5 % entre 2007 et 2010, puis se stabilise légèrement au-dessus de ce niveau jusqu’en 2014. En 2015, la proportion atteint environ 8 %, tandis que la projection pour 2025 indique un niveau proche de 30 %.</w:t>
      </w:r>
    </w:p>
    <w:p>
      <w:pPr>
        <w:pStyle w:val="CaptionedFigure"/>
      </w:pPr>
      <w:r>
        <w:drawing>
          <wp:inline>
            <wp:extent cx="5969000" cy="1865312"/>
            <wp:effectExtent b="0" l="0" r="0" t="0"/>
            <wp:docPr descr="Evolution de l’acces a une source d’eau amelioree (1997-2025)" title="" id="432" name="Picture"/>
            <a:graphic>
              <a:graphicData uri="http://schemas.openxmlformats.org/drawingml/2006/picture">
                <pic:pic>
                  <pic:nvPicPr>
                    <pic:cNvPr descr="03_habitat_niveau_de_vie_files/figure-docx/fig_habitat_water-1.png" id="433" name="Picture"/>
                    <pic:cNvPicPr>
                      <a:picLocks noChangeArrowheads="1" noChangeAspect="1"/>
                    </pic:cNvPicPr>
                  </pic:nvPicPr>
                  <pic:blipFill>
                    <a:blip r:embed="rId43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434"/>
    <w:bookmarkEnd w:id="435"/>
    <w:bookmarkStart w:id="520"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c:\PROGRA~1\Positron\RESOUR~1\app\quarto\share\formats\docx\warning.png" id="437"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71"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43"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441"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1865312"/>
                  <wp:effectExtent b="0" l="0" r="0" t="0"/>
                  <wp:docPr descr="" title="" id="439" name="Picture"/>
                  <a:graphic>
                    <a:graphicData uri="http://schemas.openxmlformats.org/drawingml/2006/picture">
                      <pic:pic>
                        <pic:nvPicPr>
                          <pic:cNvPr descr="04_foncier_files/figure-docx/fig-nb-parcelles-1.png" id="440" name="Picture"/>
                          <pic:cNvPicPr>
                            <a:picLocks noChangeArrowheads="1" noChangeAspect="1"/>
                          </pic:cNvPicPr>
                        </pic:nvPicPr>
                        <pic:blipFill>
                          <a:blip r:embed="rId438"/>
                          <a:stretch>
                            <a:fillRect/>
                          </a:stretch>
                        </pic:blipFill>
                        <pic:spPr bwMode="auto">
                          <a:xfrm>
                            <a:off x="0" y="0"/>
                            <a:ext cx="5969000" cy="1865312"/>
                          </a:xfrm>
                          <a:prstGeom prst="rect">
                            <a:avLst/>
                          </a:prstGeom>
                          <a:noFill/>
                          <a:ln w="9525">
                            <a:noFill/>
                            <a:headEnd/>
                            <a:tailEnd/>
                          </a:ln>
                        </pic:spPr>
                      </pic:pic>
                    </a:graphicData>
                  </a:graphic>
                </wp:inline>
              </w:drawing>
            </w:r>
          </w:p>
          <w:bookmarkEnd w:id="441"/>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tbl>
      <w:tblPr>
        <w:tblStyle w:val="Table"/>
        <w:tblW w:type="pct" w:w="5000"/>
        <w:tblLayout w:type="fixed"/>
        <w:tblLook w:firstRow="0" w:lastRow="0" w:firstColumn="0" w:lastColumn="0" w:noHBand="0" w:noVBand="0" w:val="0000"/>
      </w:tblPr>
      <w:tblGrid>
        <w:gridCol w:w="7920"/>
      </w:tblGrid>
      <w:tr>
        <w:tc>
          <w:tcPr/>
          <w:bookmarkStart w:id="442"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442"/>
          <w:p/>
        </w:tc>
      </w:tr>
    </w:tbl>
    <w:bookmarkEnd w:id="443"/>
    <w:bookmarkStart w:id="456"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p>
      <w:pPr>
        <w:pStyle w:val="Corpsdetexte"/>
      </w:pPr>
      <w:r>
        <w:rPr>
          <w:b/>
          <w:bCs/>
        </w:rPr>
        <w:t xml:space="preserve">Marovoay.</w:t>
      </w:r>
      <w:r>
        <w:t xml:space="preserve"> </w:t>
      </w:r>
      <w:r>
        <w:t xml:space="preserve">Quasi exclusivement tourné vers la rizière de plaine, 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447" w:name="fig-type-parcelle"/>
          <w:p>
            <w:pPr>
              <w:jc w:val="center"/>
            </w:pPr>
            <w:pPr>
              <w:jc w:val="left"/>
              <w:spacing w:before="200"/>
              <w:pStyle w:val="ImageCaption"/>
            </w:pPr>
            <w:r>
              <w:t xml:space="preserve">Figure 4.2: Type des parcelles possédées</w:t>
            </w:r>
          </w:p>
          <w:p>
            <w:pPr>
              <w:pStyle w:val="Compact"/>
              <w:jc w:val="center"/>
            </w:pPr>
            <w:r>
              <w:drawing>
                <wp:inline>
                  <wp:extent cx="5969000" cy="1865312"/>
                  <wp:effectExtent b="0" l="0" r="0" t="0"/>
                  <wp:docPr descr="" title="" id="445" name="Picture"/>
                  <a:graphic>
                    <a:graphicData uri="http://schemas.openxmlformats.org/drawingml/2006/picture">
                      <pic:pic>
                        <pic:nvPicPr>
                          <pic:cNvPr descr="04_foncier_files/figure-docx/fig-type-parcelle-1.png" id="446" name="Picture"/>
                          <pic:cNvPicPr>
                            <a:picLocks noChangeArrowheads="1" noChangeAspect="1"/>
                          </pic:cNvPicPr>
                        </pic:nvPicPr>
                        <pic:blipFill>
                          <a:blip r:embed="rId444"/>
                          <a:stretch>
                            <a:fillRect/>
                          </a:stretch>
                        </pic:blipFill>
                        <pic:spPr bwMode="auto">
                          <a:xfrm>
                            <a:off x="0" y="0"/>
                            <a:ext cx="5969000" cy="1865312"/>
                          </a:xfrm>
                          <a:prstGeom prst="rect">
                            <a:avLst/>
                          </a:prstGeom>
                          <a:noFill/>
                          <a:ln w="9525">
                            <a:noFill/>
                            <a:headEnd/>
                            <a:tailEnd/>
                          </a:ln>
                        </pic:spPr>
                      </pic:pic>
                    </a:graphicData>
                  </a:graphic>
                </wp:inline>
              </w:drawing>
            </w:r>
          </w:p>
          <w:bookmarkEnd w:id="447"/>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Alaotra.</w:t>
      </w:r>
      <w:r>
        <w:t xml:space="preserve"> </w:t>
      </w:r>
      <w:r>
        <w:t xml:space="preserve">Une fois les parcelles pondérées par leur surface, les rizières représentent 61 % de la surface totale possédée, contre 26.3 % pour les champs. La hiérarchie par type reste donc dominée par la rizière, et cet écart se renforce par rapport au simple comptage des parcelles.</w:t>
      </w:r>
    </w:p>
    <w:p>
      <w:pPr>
        <w:pStyle w:val="Corpsdetexte"/>
      </w:pPr>
      <w:r>
        <w:rPr>
          <w:b/>
          <w:bCs/>
        </w:rPr>
        <w:t xml:space="preserve">Marovoay.</w:t>
      </w:r>
      <w:r>
        <w:t xml:space="preserve"> </w:t>
      </w:r>
      <w:r>
        <w:t xml:space="preserve">Une fois les parcelles pondérées par leur surface, les rizières représentent 77.3 % de la surface totale possédée, contre 22.3 % pour les champs. La domination foncière de la rizière apparaît ainsi encore plus nettement que dans la répartition en nombre de parcelles.</w:t>
      </w:r>
    </w:p>
    <w:tbl>
      <w:tblPr>
        <w:tblStyle w:val="Table"/>
        <w:tblW w:type="pct" w:w="5000"/>
        <w:tblLayout w:type="fixed"/>
        <w:tblLook w:firstRow="0" w:lastRow="0" w:firstColumn="0" w:lastColumn="0" w:noHBand="0" w:noVBand="0" w:val="0000"/>
      </w:tblPr>
      <w:tblGrid>
        <w:gridCol w:w="7920"/>
      </w:tblGrid>
      <w:tr>
        <w:tc>
          <w:tcPr/>
          <w:bookmarkStart w:id="451" w:name="fig-type-parcelle-surface"/>
          <w:p>
            <w:pPr>
              <w:jc w:val="center"/>
            </w:pPr>
            <w:pPr>
              <w:jc w:val="left"/>
              <w:spacing w:before="200"/>
              <w:pStyle w:val="ImageCaption"/>
            </w:pPr>
            <w:r>
              <w:t xml:space="preserve">Figure 4.3: Type des parcelles possédées, pondéré par la surface</w:t>
            </w:r>
          </w:p>
          <w:p>
            <w:pPr>
              <w:pStyle w:val="Compact"/>
              <w:jc w:val="center"/>
            </w:pPr>
            <w:r>
              <w:drawing>
                <wp:inline>
                  <wp:extent cx="5969000" cy="4263571"/>
                  <wp:effectExtent b="0" l="0" r="0" t="0"/>
                  <wp:docPr descr="" title="" id="449" name="Picture"/>
                  <a:graphic>
                    <a:graphicData uri="http://schemas.openxmlformats.org/drawingml/2006/picture">
                      <pic:pic>
                        <pic:nvPicPr>
                          <pic:cNvPr descr="04_foncier_files/figure-docx/fig-type-parcelle-surface-1.png" id="450" name="Picture"/>
                          <pic:cNvPicPr>
                            <a:picLocks noChangeArrowheads="1" noChangeAspect="1"/>
                          </pic:cNvPicPr>
                        </pic:nvPicPr>
                        <pic:blipFill>
                          <a:blip r:embed="rId448"/>
                          <a:stretch>
                            <a:fillRect/>
                          </a:stretch>
                        </pic:blipFill>
                        <pic:spPr bwMode="auto">
                          <a:xfrm>
                            <a:off x="0" y="0"/>
                            <a:ext cx="5969000" cy="4263571"/>
                          </a:xfrm>
                          <a:prstGeom prst="rect">
                            <a:avLst/>
                          </a:prstGeom>
                          <a:noFill/>
                          <a:ln w="9525">
                            <a:noFill/>
                            <a:headEnd/>
                            <a:tailEnd/>
                          </a:ln>
                        </pic:spPr>
                      </pic:pic>
                    </a:graphicData>
                  </a:graphic>
                </wp:inline>
              </w:drawing>
            </w:r>
          </w:p>
          <w:bookmarkEnd w:id="451"/>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p>
      <w:pPr>
        <w:pStyle w:val="Corpsdetexte"/>
      </w:pPr>
      <w:r>
        <w:rPr>
          <w:b/>
          <w:bCs/>
        </w:rPr>
        <w:t xml:space="preserve">Marovoay.</w:t>
      </w:r>
      <w:r>
        <w:t xml:space="preserve"> </w:t>
      </w:r>
      <w:r>
        <w:t xml:space="preserve">La localisation la plus fréquente est la plaine (67.3 %) puis sur tanety avec 29%.</w:t>
      </w:r>
    </w:p>
    <w:tbl>
      <w:tblPr>
        <w:tblStyle w:val="Table"/>
        <w:tblW w:type="pct" w:w="5000"/>
        <w:tblLayout w:type="fixed"/>
        <w:tblLook w:firstRow="0" w:lastRow="0" w:firstColumn="0" w:lastColumn="0" w:noHBand="0" w:noVBand="0" w:val="0000"/>
      </w:tblPr>
      <w:tblGrid>
        <w:gridCol w:w="7920"/>
      </w:tblGrid>
      <w:tr>
        <w:tc>
          <w:tcPr/>
          <w:bookmarkStart w:id="455" w:name="fig-localisation-parcelle"/>
          <w:p>
            <w:pPr>
              <w:jc w:val="center"/>
            </w:pPr>
            <w:pPr>
              <w:jc w:val="left"/>
              <w:spacing w:before="200"/>
              <w:pStyle w:val="ImageCaption"/>
            </w:pPr>
            <w:r>
              <w:t xml:space="preserve">Figure 4.4: Localisation des parcelles possédées</w:t>
            </w:r>
          </w:p>
          <w:p>
            <w:pPr>
              <w:pStyle w:val="Compact"/>
              <w:jc w:val="center"/>
            </w:pPr>
            <w:r>
              <w:drawing>
                <wp:inline>
                  <wp:extent cx="5969000" cy="1865312"/>
                  <wp:effectExtent b="0" l="0" r="0" t="0"/>
                  <wp:docPr descr="" title="" id="453" name="Picture"/>
                  <a:graphic>
                    <a:graphicData uri="http://schemas.openxmlformats.org/drawingml/2006/picture">
                      <pic:pic>
                        <pic:nvPicPr>
                          <pic:cNvPr descr="04_foncier_files/figure-docx/fig-localisation-parcelle-1.png" id="454" name="Picture"/>
                          <pic:cNvPicPr>
                            <a:picLocks noChangeArrowheads="1" noChangeAspect="1"/>
                          </pic:cNvPicPr>
                        </pic:nvPicPr>
                        <pic:blipFill>
                          <a:blip r:embed="rId452"/>
                          <a:stretch>
                            <a:fillRect/>
                          </a:stretch>
                        </pic:blipFill>
                        <pic:spPr bwMode="auto">
                          <a:xfrm>
                            <a:off x="0" y="0"/>
                            <a:ext cx="5969000" cy="1865312"/>
                          </a:xfrm>
                          <a:prstGeom prst="rect">
                            <a:avLst/>
                          </a:prstGeom>
                          <a:noFill/>
                          <a:ln w="9525">
                            <a:noFill/>
                            <a:headEnd/>
                            <a:tailEnd/>
                          </a:ln>
                        </pic:spPr>
                      </pic:pic>
                    </a:graphicData>
                  </a:graphic>
                </wp:inline>
              </w:drawing>
            </w:r>
          </w:p>
          <w:bookmarkEnd w:id="455"/>
        </w:tc>
      </w:tr>
    </w:tbl>
    <w:bookmarkEnd w:id="456"/>
    <w:bookmarkStart w:id="461"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Les différences entre Alaotra et Marovoay reflètent les investissements hydrauliques historiques de chaque périmètre.</w:t>
      </w:r>
    </w:p>
    <w:p>
      <w:pPr>
        <w:pStyle w:val="Corpsdetexte"/>
      </w:pPr>
      <w:r>
        <w:t xml:space="preserve">À Alaotra, près de 48 % des parcelles n’ont aucune irrigation et le réseau traditionnel occupe 39 %.</w:t>
      </w:r>
    </w:p>
    <w:p>
      <w:pPr>
        <w:pStyle w:val="Corpsdetexte"/>
      </w:pPr>
      <w:r>
        <w:t xml:space="preserve">À Marovoay, le réseau traditionnel est le mode principal (43 %), suivi de l’absence totale d’irrigation (39 %).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60" w:name="fig-irrigation-possedee"/>
          <w:p>
            <w:pPr>
              <w:jc w:val="center"/>
            </w:pPr>
            <w:pPr>
              <w:jc w:val="left"/>
              <w:spacing w:before="200"/>
              <w:pStyle w:val="ImageCaption"/>
            </w:pPr>
            <w:r>
              <w:t xml:space="preserve">Figure 4.5: Mode d’irrigation des parcelles possédées</w:t>
            </w:r>
          </w:p>
          <w:p>
            <w:pPr>
              <w:pStyle w:val="Compact"/>
              <w:jc w:val="center"/>
            </w:pPr>
            <w:r>
              <w:drawing>
                <wp:inline>
                  <wp:extent cx="5969000" cy="1865312"/>
                  <wp:effectExtent b="0" l="0" r="0" t="0"/>
                  <wp:docPr descr="" title="" id="458" name="Picture"/>
                  <a:graphic>
                    <a:graphicData uri="http://schemas.openxmlformats.org/drawingml/2006/picture">
                      <pic:pic>
                        <pic:nvPicPr>
                          <pic:cNvPr descr="04_foncier_files/figure-docx/fig-irrigation-possedee-1.png" id="459" name="Picture"/>
                          <pic:cNvPicPr>
                            <a:picLocks noChangeArrowheads="1" noChangeAspect="1"/>
                          </pic:cNvPicPr>
                        </pic:nvPicPr>
                        <pic:blipFill>
                          <a:blip r:embed="rId457"/>
                          <a:stretch>
                            <a:fillRect/>
                          </a:stretch>
                        </pic:blipFill>
                        <pic:spPr bwMode="auto">
                          <a:xfrm>
                            <a:off x="0" y="0"/>
                            <a:ext cx="5969000" cy="1865312"/>
                          </a:xfrm>
                          <a:prstGeom prst="rect">
                            <a:avLst/>
                          </a:prstGeom>
                          <a:noFill/>
                          <a:ln w="9525">
                            <a:noFill/>
                            <a:headEnd/>
                            <a:tailEnd/>
                          </a:ln>
                        </pic:spPr>
                      </pic:pic>
                    </a:graphicData>
                  </a:graphic>
                </wp:inline>
              </w:drawing>
            </w:r>
          </w:p>
          <w:bookmarkEnd w:id="460"/>
        </w:tc>
      </w:tr>
    </w:tbl>
    <w:bookmarkEnd w:id="461"/>
    <w:bookmarkStart w:id="470"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(en nombre), l’achat 49.1 % et la mise en valeur 1.1 %.</w:t>
      </w:r>
    </w:p>
    <w:p>
      <w:pPr>
        <w:pStyle w:val="Corpsdetexte"/>
      </w:pPr>
      <w:r>
        <w:rPr>
          <w:b/>
          <w:bCs/>
        </w:rPr>
        <w:t xml:space="preserve">Marovoay</w:t>
      </w:r>
      <w:r>
        <w:t xml:space="preserve"> </w:t>
      </w:r>
      <w:r>
        <w:t xml:space="preserve">reste marqué par la transmission familiale. L’héritage concerne 59.4 % des parcelles (en nombre),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465" w:name="fig-acquisition"/>
          <w:p>
            <w:pPr>
              <w:jc w:val="center"/>
            </w:pPr>
            <w:pPr>
              <w:jc w:val="left"/>
              <w:spacing w:before="200"/>
              <w:pStyle w:val="ImageCaption"/>
            </w:pPr>
            <w:r>
              <w:t xml:space="preserve">Figure 4.6: Mode d’acquisition des parcelles possédées</w:t>
            </w:r>
          </w:p>
          <w:p>
            <w:pPr>
              <w:pStyle w:val="Compact"/>
              <w:jc w:val="center"/>
            </w:pPr>
            <w:r>
              <w:drawing>
                <wp:inline>
                  <wp:extent cx="5969000" cy="2238375"/>
                  <wp:effectExtent b="0" l="0" r="0" t="0"/>
                  <wp:docPr descr="" title="" id="463" name="Picture"/>
                  <a:graphic>
                    <a:graphicData uri="http://schemas.openxmlformats.org/drawingml/2006/picture">
                      <pic:pic>
                        <pic:nvPicPr>
                          <pic:cNvPr descr="04_foncier_files/figure-docx/fig-acquisition-1.png" id="464" name="Picture"/>
                          <pic:cNvPicPr>
                            <a:picLocks noChangeArrowheads="1" noChangeAspect="1"/>
                          </pic:cNvPicPr>
                        </pic:nvPicPr>
                        <pic:blipFill>
                          <a:blip r:embed="rId462"/>
                          <a:stretch>
                            <a:fillRect/>
                          </a:stretch>
                        </pic:blipFill>
                        <pic:spPr bwMode="auto">
                          <a:xfrm>
                            <a:off x="0" y="0"/>
                            <a:ext cx="5969000" cy="2238375"/>
                          </a:xfrm>
                          <a:prstGeom prst="rect">
                            <a:avLst/>
                          </a:prstGeom>
                          <a:noFill/>
                          <a:ln w="9525">
                            <a:noFill/>
                            <a:headEnd/>
                            <a:tailEnd/>
                          </a:ln>
                        </pic:spPr>
                      </pic:pic>
                    </a:graphicData>
                  </a:graphic>
                </wp:inline>
              </w:drawing>
            </w:r>
          </w:p>
          <w:bookmarkEnd w:id="465"/>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p>
      <w:pPr>
        <w:pStyle w:val="Corpsdetexte"/>
      </w:pPr>
      <w:r>
        <w:t xml:space="preserve">À Marovoay, les acquisitions réalisées durant les années 2010 sont les plus fréquentes et concernent 24.5% des parcelles possédées. Les parcelles obtenues dans les années 2000 constituent 16.3% de l’ensemble, tandis que celles datant des années 1990 représentent 12.2%. La part des terrains acquis plus anciennement est plus faible, s’établissant à 7.3% pour les années 1980, 1.9% pour les années 1970 et 2.6% pour la période avant 1970. Il est notable qu’une part importante des répondants (14.9%) déclare ne pas se rappeler de la date d’acquisition de leurs terres.</w:t>
      </w:r>
    </w:p>
    <w:tbl>
      <w:tblPr>
        <w:tblStyle w:val="Table"/>
        <w:tblW w:type="pct" w:w="5000"/>
        <w:tblLayout w:type="fixed"/>
        <w:tblLook w:firstRow="0" w:lastRow="0" w:firstColumn="0" w:lastColumn="0" w:noHBand="0" w:noVBand="0" w:val="0000"/>
      </w:tblPr>
      <w:tblGrid>
        <w:gridCol w:w="7920"/>
      </w:tblGrid>
      <w:tr>
        <w:tc>
          <w:tcPr/>
          <w:bookmarkStart w:id="469" w:name="fig-anciennete"/>
          <w:p>
            <w:pPr>
              <w:jc w:val="center"/>
            </w:pPr>
            <w:pPr>
              <w:jc w:val="left"/>
              <w:spacing w:before="200"/>
              <w:pStyle w:val="ImageCaption"/>
            </w:pPr>
            <w:r>
              <w:t xml:space="preserve">Figure 4.7: Ancienneté de possession des parcelles</w:t>
            </w:r>
          </w:p>
          <w:p>
            <w:pPr>
              <w:pStyle w:val="Compact"/>
              <w:jc w:val="center"/>
            </w:pPr>
            <w:r>
              <w:drawing>
                <wp:inline>
                  <wp:extent cx="5969000" cy="2611437"/>
                  <wp:effectExtent b="0" l="0" r="0" t="0"/>
                  <wp:docPr descr="" title="" id="467" name="Picture"/>
                  <a:graphic>
                    <a:graphicData uri="http://schemas.openxmlformats.org/drawingml/2006/picture">
                      <pic:pic>
                        <pic:nvPicPr>
                          <pic:cNvPr descr="04_foncier_files/figure-docx/fig-anciennete-1.png" id="468" name="Picture"/>
                          <pic:cNvPicPr>
                            <a:picLocks noChangeArrowheads="1" noChangeAspect="1"/>
                          </pic:cNvPicPr>
                        </pic:nvPicPr>
                        <pic:blipFill>
                          <a:blip r:embed="rId466"/>
                          <a:stretch>
                            <a:fillRect/>
                          </a:stretch>
                        </pic:blipFill>
                        <pic:spPr bwMode="auto">
                          <a:xfrm>
                            <a:off x="0" y="0"/>
                            <a:ext cx="5969000" cy="2611437"/>
                          </a:xfrm>
                          <a:prstGeom prst="rect">
                            <a:avLst/>
                          </a:prstGeom>
                          <a:noFill/>
                          <a:ln w="9525">
                            <a:noFill/>
                            <a:headEnd/>
                            <a:tailEnd/>
                          </a:ln>
                        </pic:spPr>
                      </pic:pic>
                    </a:graphicData>
                  </a:graphic>
                </wp:inline>
              </w:drawing>
            </w:r>
          </w:p>
          <w:bookmarkEnd w:id="469"/>
        </w:tc>
      </w:tr>
    </w:tbl>
    <w:bookmarkEnd w:id="470"/>
    <w:bookmarkEnd w:id="471"/>
    <w:bookmarkStart w:id="480"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 (en nombre).</w:t>
      </w:r>
    </w:p>
    <w:p>
      <w:pPr>
        <w:pStyle w:val="Corpsdetexte"/>
      </w:pPr>
      <w:r>
        <w:rPr>
          <w:b/>
          <w:bCs/>
        </w:rPr>
        <w:t xml:space="preserve">Marovoay.</w:t>
      </w:r>
      <w:r>
        <w:t xml:space="preserve"> </w:t>
      </w:r>
      <w:r>
        <w:t xml:space="preserve">Seules 21.5 % des parcelles disposent d’un titre foncier. Les certificats fonciers ne couvrent que 28.3 % des parcelles (en nombre).</w:t>
      </w:r>
    </w:p>
    <w:tbl>
      <w:tblPr>
        <w:tblStyle w:val="Table"/>
        <w:tblW w:type="pct" w:w="5000"/>
        <w:tblLayout w:type="fixed"/>
        <w:tblLook w:firstRow="0" w:lastRow="0" w:firstColumn="0" w:lastColumn="0" w:noHBand="0" w:noVBand="0" w:val="0000"/>
      </w:tblPr>
      <w:tblGrid>
        <w:gridCol w:w="7920"/>
      </w:tblGrid>
      <w:tr>
        <w:tc>
          <w:tcPr/>
          <w:bookmarkStart w:id="475"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1848050"/>
                  <wp:effectExtent b="0" l="0" r="0" t="0"/>
                  <wp:docPr descr="" title="" id="473" name="Picture"/>
                  <a:graphic>
                    <a:graphicData uri="http://schemas.openxmlformats.org/drawingml/2006/picture">
                      <pic:pic>
                        <pic:nvPicPr>
                          <pic:cNvPr descr="04_foncier_files/figure-docx/fig-securisation-1.png" id="474" name="Picture"/>
                          <pic:cNvPicPr>
                            <a:picLocks noChangeArrowheads="1" noChangeAspect="1"/>
                          </pic:cNvPicPr>
                        </pic:nvPicPr>
                        <pic:blipFill>
                          <a:blip r:embed="rId472"/>
                          <a:stretch>
                            <a:fillRect/>
                          </a:stretch>
                        </pic:blipFill>
                        <pic:spPr bwMode="auto">
                          <a:xfrm>
                            <a:off x="0" y="0"/>
                            <a:ext cx="4620126" cy="1848050"/>
                          </a:xfrm>
                          <a:prstGeom prst="rect">
                            <a:avLst/>
                          </a:prstGeom>
                          <a:noFill/>
                          <a:ln w="9525">
                            <a:noFill/>
                            <a:headEnd/>
                            <a:tailEnd/>
                          </a:ln>
                        </pic:spPr>
                      </pic:pic>
                    </a:graphicData>
                  </a:graphic>
                </wp:inline>
              </w:drawing>
            </w:r>
          </w:p>
          <w:bookmarkEnd w:id="475"/>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34.5 %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p>
      <w:pPr>
        <w:pStyle w:val="Corpsdetexte"/>
      </w:pPr>
      <w:r>
        <w:t xml:space="preserve">A Marovoay, la part des parcelles ne disposant d’aucun document de possession s’élève à 35.5 %. En ce qui concerne les autres types de preuves informelles, le visa de la mairie est le plus utilisé puisqu’il concerne 28.1 % des parcelles possédées. Il est suivi par les documents munis d’un visa du fokontany qui représentent 25.6 % des cas recensés.</w:t>
      </w:r>
    </w:p>
    <w:tbl>
      <w:tblPr>
        <w:tblStyle w:val="Table"/>
        <w:tblW w:type="pct" w:w="5000"/>
        <w:tblLayout w:type="fixed"/>
        <w:tblLook w:firstRow="0" w:lastRow="0" w:firstColumn="0" w:lastColumn="0" w:noHBand="0" w:noVBand="0" w:val="0000"/>
      </w:tblPr>
      <w:tblGrid>
        <w:gridCol w:w="7920"/>
      </w:tblGrid>
      <w:tr>
        <w:tc>
          <w:tcPr/>
          <w:bookmarkStart w:id="479"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1865312"/>
                  <wp:effectExtent b="0" l="0" r="0" t="0"/>
                  <wp:docPr descr="" title="" id="477" name="Picture"/>
                  <a:graphic>
                    <a:graphicData uri="http://schemas.openxmlformats.org/drawingml/2006/picture">
                      <pic:pic>
                        <pic:nvPicPr>
                          <pic:cNvPr descr="04_foncier_files/figure-docx/fig-papiers-1.png" id="478" name="Picture"/>
                          <pic:cNvPicPr>
                            <a:picLocks noChangeArrowheads="1" noChangeAspect="1"/>
                          </pic:cNvPicPr>
                        </pic:nvPicPr>
                        <pic:blipFill>
                          <a:blip r:embed="rId476"/>
                          <a:stretch>
                            <a:fillRect/>
                          </a:stretch>
                        </pic:blipFill>
                        <pic:spPr bwMode="auto">
                          <a:xfrm>
                            <a:off x="0" y="0"/>
                            <a:ext cx="5969000" cy="1865312"/>
                          </a:xfrm>
                          <a:prstGeom prst="rect">
                            <a:avLst/>
                          </a:prstGeom>
                          <a:noFill/>
                          <a:ln w="9525">
                            <a:noFill/>
                            <a:headEnd/>
                            <a:tailEnd/>
                          </a:ln>
                        </pic:spPr>
                      </pic:pic>
                    </a:graphicData>
                  </a:graphic>
                </wp:inline>
              </w:drawing>
            </w:r>
          </w:p>
          <w:bookmarkEnd w:id="479"/>
        </w:tc>
      </w:tr>
    </w:tbl>
    <w:bookmarkEnd w:id="480"/>
    <w:bookmarkStart w:id="494"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481" w:name="tbl-cession-pratique"/>
          <w:p>
            <w:pPr>
              <w:jc w:val="center"/>
            </w:pPr>
            <w:pPr>
              <w:jc w:val="left"/>
              <w:spacing w:before="200"/>
              <w:pStyle w:val="ImageCaption"/>
            </w:pPr>
            <w:r>
              <w:t xml:space="preserve">Table 4.2: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481"/>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À Marovoay, la location constitue le principal mode de cession des parcelles et concerne environ 64 % des cas. Le métayage arrive en deuxième position avec environ 30 % des réponses. Les autres modalités de cession en particulier le prêt se situent toutes en dessous du seuil de 10 % dans cet observatoire.</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485"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1865312"/>
                  <wp:effectExtent b="0" l="0" r="0" t="0"/>
                  <wp:docPr descr="" title="" id="483" name="Picture"/>
                  <a:graphic>
                    <a:graphicData uri="http://schemas.openxmlformats.org/drawingml/2006/picture">
                      <pic:pic>
                        <pic:nvPicPr>
                          <pic:cNvPr descr="04_foncier_files/figure-docx/fig-mode-cession-1.png" id="484" name="Picture"/>
                          <pic:cNvPicPr>
                            <a:picLocks noChangeArrowheads="1" noChangeAspect="1"/>
                          </pic:cNvPicPr>
                        </pic:nvPicPr>
                        <pic:blipFill>
                          <a:blip r:embed="rId482"/>
                          <a:stretch>
                            <a:fillRect/>
                          </a:stretch>
                        </pic:blipFill>
                        <pic:spPr bwMode="auto">
                          <a:xfrm>
                            <a:off x="0" y="0"/>
                            <a:ext cx="5969000" cy="1865312"/>
                          </a:xfrm>
                          <a:prstGeom prst="rect">
                            <a:avLst/>
                          </a:prstGeom>
                          <a:noFill/>
                          <a:ln w="9525">
                            <a:noFill/>
                            <a:headEnd/>
                            <a:tailEnd/>
                          </a:ln>
                        </pic:spPr>
                      </pic:pic>
                    </a:graphicData>
                  </a:graphic>
                </wp:inline>
              </w:drawing>
            </w:r>
          </w:p>
          <w:bookmarkEnd w:id="485"/>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suivie par le motif identifié sous le</w:t>
      </w:r>
      <w:r>
        <w:t xml:space="preserve"> </w:t>
      </w:r>
      <w:r>
        <w:rPr>
          <w:b/>
          <w:bCs/>
        </w:rPr>
        <w:t xml:space="preserve">code 55</w:t>
      </w:r>
      <w:r>
        <w:t xml:space="preserve"> </w:t>
      </w:r>
      <w:r>
        <w:t xml:space="preserve">à hauteur de 17%. Le manque d’argent pour cultiver la parcelle concernée représente 15.5% des cessions. Viennent ensuite l’aide apportée à un membre de la famille pour environ 12% et les dépenses familiales prévues telles que les frais de scolarité ou de cimetière pour 11.5%.</w:t>
      </w:r>
    </w:p>
    <w:p>
      <w:pPr>
        <w:pStyle w:val="Corpsdetexte"/>
      </w:pPr>
      <w:r>
        <w:t xml:space="preserve">A Marovoay, les motivations principales de cession de parcelles sont plus concentrées. L’urgence familiale (maladie, décès, accident) constitue le motif prédominant avec 38% des réponses. Elle est suivie par le manque de moyens financiers pour cultiver la parcelle pour 16.5% des répondants et par le motif correspondant au</w:t>
      </w:r>
      <w:r>
        <w:t xml:space="preserve"> </w:t>
      </w:r>
      <w:r>
        <w:rPr>
          <w:b/>
          <w:bCs/>
        </w:rPr>
        <w:t xml:space="preserve">code 56</w:t>
      </w:r>
      <w:r>
        <w:t xml:space="preserve"> </w:t>
      </w:r>
      <w:r>
        <w:t xml:space="preserve">qui concerne 11% des terrains cédés.</w:t>
      </w:r>
    </w:p>
    <w:tbl>
      <w:tblPr>
        <w:tblStyle w:val="Table"/>
        <w:tblW w:type="pct" w:w="5000"/>
        <w:tblLayout w:type="fixed"/>
        <w:tblLook w:firstRow="0" w:lastRow="0" w:firstColumn="0" w:lastColumn="0" w:noHBand="0" w:noVBand="0" w:val="0000"/>
      </w:tblPr>
      <w:tblGrid>
        <w:gridCol w:w="7920"/>
      </w:tblGrid>
      <w:tr>
        <w:tc>
          <w:tcPr/>
          <w:bookmarkStart w:id="489"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2611437"/>
                  <wp:effectExtent b="0" l="0" r="0" t="0"/>
                  <wp:docPr descr="" title="" id="487" name="Picture"/>
                  <a:graphic>
                    <a:graphicData uri="http://schemas.openxmlformats.org/drawingml/2006/picture">
                      <pic:pic>
                        <pic:nvPicPr>
                          <pic:cNvPr descr="04_foncier_files/figure-docx/fig-motif-cession-1.png" id="488" name="Picture"/>
                          <pic:cNvPicPr>
                            <a:picLocks noChangeArrowheads="1" noChangeAspect="1"/>
                          </pic:cNvPicPr>
                        </pic:nvPicPr>
                        <pic:blipFill>
                          <a:blip r:embed="rId486"/>
                          <a:stretch>
                            <a:fillRect/>
                          </a:stretch>
                        </pic:blipFill>
                        <pic:spPr bwMode="auto">
                          <a:xfrm>
                            <a:off x="0" y="0"/>
                            <a:ext cx="5969000" cy="2611437"/>
                          </a:xfrm>
                          <a:prstGeom prst="rect">
                            <a:avLst/>
                          </a:prstGeom>
                          <a:noFill/>
                          <a:ln w="9525">
                            <a:noFill/>
                            <a:headEnd/>
                            <a:tailEnd/>
                          </a:ln>
                        </pic:spPr>
                      </pic:pic>
                    </a:graphicData>
                  </a:graphic>
                </wp:inline>
              </w:drawing>
            </w:r>
          </w:p>
          <w:bookmarkEnd w:id="489"/>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suivis par les bénéficiaires identifiés sous le</w:t>
      </w:r>
      <w:r>
        <w:t xml:space="preserve"> </w:t>
      </w:r>
      <w:r>
        <w:rPr>
          <w:b/>
          <w:bCs/>
        </w:rPr>
        <w:t xml:space="preserve">code 23</w:t>
      </w:r>
      <w:r>
        <w:t xml:space="preserve"> </w:t>
      </w:r>
      <w:r>
        <w:t xml:space="preserve">pour 25.5% des cas.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p>
      <w:pPr>
        <w:pStyle w:val="Corpsdetexte"/>
      </w:pPr>
      <w:r>
        <w:t xml:space="preserve">À Marovoay, la répartition des bénéficiaires privilégie davantage le voisinage géographique. Les personnes hors famille résidant dans le même fokontany constituent le groupe principal avec 36.8% des réponses. Les parents du chef de ménage arrivent en deuxième position avec 22.8% des parcelles cédées, suivis par</w:t>
      </w:r>
      <w:r>
        <w:t xml:space="preserve"> </w:t>
      </w:r>
      <w:r>
        <w:rPr>
          <w:b/>
          <w:bCs/>
        </w:rPr>
        <w:t xml:space="preserve">le groupe codé 23</w:t>
      </w:r>
      <w:r>
        <w:t xml:space="preserve"> </w:t>
      </w:r>
      <w:r>
        <w:t xml:space="preserve">à hauteur de 14.7%. Enfin, les personnes hors famille de la même commune ou d’une commune voisine représentent 12.2% des bénéficiaires. Pour cet observatoire, les statistiques indiquent que les parents du conjoint reçoivent 4.2% des parcelles cédées.</w:t>
      </w:r>
    </w:p>
    <w:tbl>
      <w:tblPr>
        <w:tblStyle w:val="Table"/>
        <w:tblW w:type="pct" w:w="5000"/>
        <w:tblLayout w:type="fixed"/>
        <w:tblLook w:firstRow="0" w:lastRow="0" w:firstColumn="0" w:lastColumn="0" w:noHBand="0" w:noVBand="0" w:val="0000"/>
      </w:tblPr>
      <w:tblGrid>
        <w:gridCol w:w="7920"/>
      </w:tblGrid>
      <w:tr>
        <w:tc>
          <w:tcPr/>
          <w:bookmarkStart w:id="493"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2238375"/>
                  <wp:effectExtent b="0" l="0" r="0" t="0"/>
                  <wp:docPr descr="" title="" id="491" name="Picture"/>
                  <a:graphic>
                    <a:graphicData uri="http://schemas.openxmlformats.org/drawingml/2006/picture">
                      <pic:pic>
                        <pic:nvPicPr>
                          <pic:cNvPr descr="04_foncier_files/figure-docx/fig-cedee-a-qui-1.png" id="492" name="Picture"/>
                          <pic:cNvPicPr>
                            <a:picLocks noChangeArrowheads="1" noChangeAspect="1"/>
                          </pic:cNvPicPr>
                        </pic:nvPicPr>
                        <pic:blipFill>
                          <a:blip r:embed="rId490"/>
                          <a:stretch>
                            <a:fillRect/>
                          </a:stretch>
                        </pic:blipFill>
                        <pic:spPr bwMode="auto">
                          <a:xfrm>
                            <a:off x="0" y="0"/>
                            <a:ext cx="5969000" cy="2238375"/>
                          </a:xfrm>
                          <a:prstGeom prst="rect">
                            <a:avLst/>
                          </a:prstGeom>
                          <a:noFill/>
                          <a:ln w="9525">
                            <a:noFill/>
                            <a:headEnd/>
                            <a:tailEnd/>
                          </a:ln>
                        </pic:spPr>
                      </pic:pic>
                    </a:graphicData>
                  </a:graphic>
                </wp:inline>
              </w:drawing>
            </w:r>
          </w:p>
          <w:bookmarkEnd w:id="493"/>
        </w:tc>
      </w:tr>
    </w:tbl>
    <w:bookmarkEnd w:id="494"/>
    <w:bookmarkStart w:id="512"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495" w:name="tbl-exploitation-autres"/>
          <w:p>
            <w:pPr>
              <w:jc w:val="center"/>
            </w:pPr>
            <w:pPr>
              <w:jc w:val="left"/>
              <w:spacing w:before="200"/>
              <w:pStyle w:val="ImageCaption"/>
            </w:pPr>
            <w:r>
              <w:t xml:space="preserve">Table 4.3: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495"/>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p>
      <w:pPr>
        <w:pStyle w:val="Corpsdetexte"/>
      </w:pPr>
      <w:r>
        <w:t xml:space="preserve">À Marovoay, la spécialisation est encore plus marquée pour les parcelles exploitées en faire-valoir indirect. Les rizières représentent environ 85 % des réponses, tandis que les champs constituent la seule autre catégorie significative avec environ 15 %.</w:t>
      </w:r>
    </w:p>
    <w:tbl>
      <w:tblPr>
        <w:tblStyle w:val="Table"/>
        <w:tblW w:type="pct" w:w="5000"/>
        <w:tblLayout w:type="fixed"/>
        <w:tblLook w:firstRow="0" w:lastRow="0" w:firstColumn="0" w:lastColumn="0" w:noHBand="0" w:noVBand="0" w:val="0000"/>
      </w:tblPr>
      <w:tblGrid>
        <w:gridCol w:w="7920"/>
      </w:tblGrid>
      <w:tr>
        <w:tc>
          <w:tcPr/>
          <w:bookmarkStart w:id="499" w:name="fig-type-exploitee"/>
          <w:p>
            <w:pPr>
              <w:jc w:val="center"/>
            </w:pPr>
            <w:pPr>
              <w:jc w:val="left"/>
              <w:spacing w:before="200"/>
              <w:pStyle w:val="ImageCaption"/>
            </w:pPr>
            <w:r>
              <w:t xml:space="preserve">Figure 4.13: Type des parcelles exploitées (non possédées, en nombre)</w:t>
            </w:r>
          </w:p>
          <w:p>
            <w:pPr>
              <w:pStyle w:val="Compact"/>
              <w:jc w:val="center"/>
            </w:pPr>
            <w:r>
              <w:drawing>
                <wp:inline>
                  <wp:extent cx="5969000" cy="1865312"/>
                  <wp:effectExtent b="0" l="0" r="0" t="0"/>
                  <wp:docPr descr="" title="" id="497" name="Picture"/>
                  <a:graphic>
                    <a:graphicData uri="http://schemas.openxmlformats.org/drawingml/2006/picture">
                      <pic:pic>
                        <pic:nvPicPr>
                          <pic:cNvPr descr="04_foncier_files/figure-docx/fig-type-exploitee-1.png" id="498" name="Picture"/>
                          <pic:cNvPicPr>
                            <a:picLocks noChangeArrowheads="1" noChangeAspect="1"/>
                          </pic:cNvPicPr>
                        </pic:nvPicPr>
                        <pic:blipFill>
                          <a:blip r:embed="rId496"/>
                          <a:stretch>
                            <a:fillRect/>
                          </a:stretch>
                        </pic:blipFill>
                        <pic:spPr bwMode="auto">
                          <a:xfrm>
                            <a:off x="0" y="0"/>
                            <a:ext cx="5969000" cy="1865312"/>
                          </a:xfrm>
                          <a:prstGeom prst="rect">
                            <a:avLst/>
                          </a:prstGeom>
                          <a:noFill/>
                          <a:ln w="9525">
                            <a:noFill/>
                            <a:headEnd/>
                            <a:tailEnd/>
                          </a:ln>
                        </pic:spPr>
                      </pic:pic>
                    </a:graphicData>
                  </a:graphic>
                </wp:inline>
              </w:drawing>
            </w:r>
          </w:p>
          <w:bookmarkEnd w:id="499"/>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p>
      <w:pPr>
        <w:pStyle w:val="Corpsdetexte"/>
      </w:pPr>
      <w:r>
        <w:t xml:space="preserve">À Marovoay, le métayage prédomine à hauteur de 52 %, et la location concerne environ 38 % des terrains exploités. Les autres formes de faire-valoir indirect comme le prêt s’établissent à 9.7 %.</w:t>
      </w:r>
    </w:p>
    <w:tbl>
      <w:tblPr>
        <w:tblStyle w:val="Table"/>
        <w:tblW w:type="pct" w:w="5000"/>
        <w:tblLayout w:type="fixed"/>
        <w:tblLook w:firstRow="0" w:lastRow="0" w:firstColumn="0" w:lastColumn="0" w:noHBand="0" w:noVBand="0" w:val="0000"/>
      </w:tblPr>
      <w:tblGrid>
        <w:gridCol w:w="7920"/>
      </w:tblGrid>
      <w:tr>
        <w:tc>
          <w:tcPr/>
          <w:bookmarkStart w:id="503" w:name="fig-fv-exploitee"/>
          <w:p>
            <w:pPr>
              <w:jc w:val="center"/>
            </w:pPr>
            <w:pPr>
              <w:jc w:val="left"/>
              <w:spacing w:before="200"/>
              <w:pStyle w:val="ImageCaption"/>
            </w:pPr>
            <w:r>
              <w:t xml:space="preserve">Figure 4.14: Mode de faire-valoir des parcelles exploitées (en nombre)</w:t>
            </w:r>
          </w:p>
          <w:p>
            <w:pPr>
              <w:pStyle w:val="Compact"/>
              <w:jc w:val="center"/>
            </w:pPr>
            <w:r>
              <w:drawing>
                <wp:inline>
                  <wp:extent cx="5969000" cy="1865312"/>
                  <wp:effectExtent b="0" l="0" r="0" t="0"/>
                  <wp:docPr descr="" title="" id="501" name="Picture"/>
                  <a:graphic>
                    <a:graphicData uri="http://schemas.openxmlformats.org/drawingml/2006/picture">
                      <pic:pic>
                        <pic:nvPicPr>
                          <pic:cNvPr descr="04_foncier_files/figure-docx/fig-fv-exploitee-1.png" id="502" name="Picture"/>
                          <pic:cNvPicPr>
                            <a:picLocks noChangeArrowheads="1" noChangeAspect="1"/>
                          </pic:cNvPicPr>
                        </pic:nvPicPr>
                        <pic:blipFill>
                          <a:blip r:embed="rId500"/>
                          <a:stretch>
                            <a:fillRect/>
                          </a:stretch>
                        </pic:blipFill>
                        <pic:spPr bwMode="auto">
                          <a:xfrm>
                            <a:off x="0" y="0"/>
                            <a:ext cx="5969000" cy="1865312"/>
                          </a:xfrm>
                          <a:prstGeom prst="rect">
                            <a:avLst/>
                          </a:prstGeom>
                          <a:noFill/>
                          <a:ln w="9525">
                            <a:noFill/>
                            <a:headEnd/>
                            <a:tailEnd/>
                          </a:ln>
                        </pic:spPr>
                      </pic:pic>
                    </a:graphicData>
                  </a:graphic>
                </wp:inline>
              </w:drawing>
            </w:r>
          </w:p>
          <w:bookmarkEnd w:id="503"/>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p>
      <w:pPr>
        <w:pStyle w:val="Corpsdetexte"/>
      </w:pPr>
      <w:r>
        <w:t xml:space="preserve">À Marovoay, la répartition des propriétaires privilégie davantage les liens de voisinage immédiat. Les personnes hors famille résidant dans le même fokontany constituent la catégorie principale avec environ 37.2%. Les parents du chef de ménage occupent la deuxième position avec 32.1%, suivis par les personnes hors famille de la même commune ou d’une commune voisine à hauteur de 16.1%. Enfin, les parents du conjoint représentent 11.5% des propriétaires pour les parcelles exploitées.</w:t>
      </w:r>
    </w:p>
    <w:tbl>
      <w:tblPr>
        <w:tblStyle w:val="Table"/>
        <w:tblW w:type="pct" w:w="5000"/>
        <w:tblLayout w:type="fixed"/>
        <w:tblLook w:firstRow="0" w:lastRow="0" w:firstColumn="0" w:lastColumn="0" w:noHBand="0" w:noVBand="0" w:val="0000"/>
      </w:tblPr>
      <w:tblGrid>
        <w:gridCol w:w="7920"/>
      </w:tblGrid>
      <w:tr>
        <w:tc>
          <w:tcPr/>
          <w:bookmarkStart w:id="507"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2611437"/>
                  <wp:effectExtent b="0" l="0" r="0" t="0"/>
                  <wp:docPr descr="" title="" id="505" name="Picture"/>
                  <a:graphic>
                    <a:graphicData uri="http://schemas.openxmlformats.org/drawingml/2006/picture">
                      <pic:pic>
                        <pic:nvPicPr>
                          <pic:cNvPr descr="04_foncier_files/figure-docx/fig-proprietaire-exploitee-1.png" id="506" name="Picture"/>
                          <pic:cNvPicPr>
                            <a:picLocks noChangeArrowheads="1" noChangeAspect="1"/>
                          </pic:cNvPicPr>
                        </pic:nvPicPr>
                        <pic:blipFill>
                          <a:blip r:embed="rId504"/>
                          <a:stretch>
                            <a:fillRect/>
                          </a:stretch>
                        </pic:blipFill>
                        <pic:spPr bwMode="auto">
                          <a:xfrm>
                            <a:off x="0" y="0"/>
                            <a:ext cx="5969000" cy="2611437"/>
                          </a:xfrm>
                          <a:prstGeom prst="rect">
                            <a:avLst/>
                          </a:prstGeom>
                          <a:noFill/>
                          <a:ln w="9525">
                            <a:noFill/>
                            <a:headEnd/>
                            <a:tailEnd/>
                          </a:ln>
                        </pic:spPr>
                      </pic:pic>
                    </a:graphicData>
                  </a:graphic>
                </wp:inline>
              </w:drawing>
            </w:r>
          </w:p>
          <w:bookmarkEnd w:id="507"/>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p>
      <w:pPr>
        <w:pStyle w:val="Corpsdetexte"/>
      </w:pP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p>
    <w:p>
      <w:pPr>
        <w:pStyle w:val="Corpsdetexte"/>
      </w:pPr>
      <w:r>
        <w:t xml:space="preserve">À Marovoay, les modalités d’irrigation des terres exploitées appartenant à autrui montrent une prédominance du réseau traditionnel avec 51.3% des parcelles recensées. La catégorie regroupant les parcelles sans irrigation (incluant celles utilisant des diguettes) arrive en deuxième position avec un taux de 39.3%. Enfin, le recours au réseau aménagé reste marginal et concerne 2.5% des parcelles exploitées dans cet observatoire.</w:t>
      </w:r>
    </w:p>
    <w:tbl>
      <w:tblPr>
        <w:tblStyle w:val="Table"/>
        <w:tblW w:type="pct" w:w="5000"/>
        <w:tblLayout w:type="fixed"/>
        <w:tblLook w:firstRow="0" w:lastRow="0" w:firstColumn="0" w:lastColumn="0" w:noHBand="0" w:noVBand="0" w:val="0000"/>
      </w:tblPr>
      <w:tblGrid>
        <w:gridCol w:w="7920"/>
      </w:tblGrid>
      <w:tr>
        <w:tc>
          <w:tcPr/>
          <w:bookmarkStart w:id="511" w:name="fig-irrigation-exploitee"/>
          <w:p>
            <w:pPr>
              <w:jc w:val="center"/>
            </w:pPr>
            <w:pPr>
              <w:jc w:val="left"/>
              <w:spacing w:before="200"/>
              <w:pStyle w:val="ImageCaption"/>
            </w:pPr>
            <w:r>
              <w:t xml:space="preserve">Figure 4.16: Mode d’irrigation des parcelles exploitées (surface)</w:t>
            </w:r>
          </w:p>
          <w:p>
            <w:pPr>
              <w:pStyle w:val="Compact"/>
              <w:jc w:val="center"/>
            </w:pPr>
            <w:r>
              <w:drawing>
                <wp:inline>
                  <wp:extent cx="5969000" cy="1865312"/>
                  <wp:effectExtent b="0" l="0" r="0" t="0"/>
                  <wp:docPr descr="" title="" id="509" name="Picture"/>
                  <a:graphic>
                    <a:graphicData uri="http://schemas.openxmlformats.org/drawingml/2006/picture">
                      <pic:pic>
                        <pic:nvPicPr>
                          <pic:cNvPr descr="04_foncier_files/figure-docx/fig-irrigation-exploitee-1.png" id="510" name="Picture"/>
                          <pic:cNvPicPr>
                            <a:picLocks noChangeArrowheads="1" noChangeAspect="1"/>
                          </pic:cNvPicPr>
                        </pic:nvPicPr>
                        <pic:blipFill>
                          <a:blip r:embed="rId508"/>
                          <a:stretch>
                            <a:fillRect/>
                          </a:stretch>
                        </pic:blipFill>
                        <pic:spPr bwMode="auto">
                          <a:xfrm>
                            <a:off x="0" y="0"/>
                            <a:ext cx="5969000" cy="1865312"/>
                          </a:xfrm>
                          <a:prstGeom prst="rect">
                            <a:avLst/>
                          </a:prstGeom>
                          <a:noFill/>
                          <a:ln w="9525">
                            <a:noFill/>
                            <a:headEnd/>
                            <a:tailEnd/>
                          </a:ln>
                        </pic:spPr>
                      </pic:pic>
                    </a:graphicData>
                  </a:graphic>
                </wp:inline>
              </w:drawing>
            </w:r>
          </w:p>
          <w:bookmarkEnd w:id="511"/>
        </w:tc>
      </w:tr>
    </w:tbl>
    <w:bookmarkEnd w:id="512"/>
    <w:bookmarkStart w:id="514"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p>
      <w:pPr>
        <w:pStyle w:val="Corpsdetexte"/>
      </w:pPr>
      <w:r>
        <w:rPr>
          <w:b/>
          <w:bCs/>
        </w:rPr>
        <w:t xml:space="preserve">Marovoay.</w:t>
      </w:r>
      <w:r>
        <w:t xml:space="preserve">la proportion de ménages ayant abandonné la culture de parcelles s’établit à 16.8 % représentant 45 ménages sur les 268 enquêtés.</w:t>
      </w:r>
    </w:p>
    <w:tbl>
      <w:tblPr>
        <w:tblStyle w:val="Table"/>
        <w:tblW w:type="pct" w:w="5000"/>
        <w:tblLayout w:type="fixed"/>
        <w:tblLook w:firstRow="0" w:lastRow="0" w:firstColumn="0" w:lastColumn="0" w:noHBand="0" w:noVBand="0" w:val="0000"/>
      </w:tblPr>
      <w:tblGrid>
        <w:gridCol w:w="7920"/>
      </w:tblGrid>
      <w:tr>
        <w:tc>
          <w:tcPr/>
          <w:bookmarkStart w:id="513" w:name="tbl-abandon"/>
          <w:p>
            <w:pPr>
              <w:jc w:val="center"/>
            </w:pPr>
            <w:pPr>
              <w:jc w:val="left"/>
              <w:spacing w:before="200"/>
              <w:pStyle w:val="ImageCaption"/>
            </w:pPr>
            <w:r>
              <w:t xml:space="preserve">Table 4.4: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513"/>
          <w:p/>
        </w:tc>
      </w:tr>
    </w:tbl>
    <w:bookmarkEnd w:id="514"/>
    <w:bookmarkStart w:id="519"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518"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1865312"/>
                  <wp:effectExtent b="0" l="0" r="0" t="0"/>
                  <wp:docPr descr="" title="" id="516" name="Picture"/>
                  <a:graphic>
                    <a:graphicData uri="http://schemas.openxmlformats.org/drawingml/2006/picture">
                      <pic:pic>
                        <pic:nvPicPr>
                          <pic:cNvPr descr="04_foncier_files/figure-docx/fig-satisfaction-1.png" id="517" name="Picture"/>
                          <pic:cNvPicPr>
                            <a:picLocks noChangeArrowheads="1" noChangeAspect="1"/>
                          </pic:cNvPicPr>
                        </pic:nvPicPr>
                        <pic:blipFill>
                          <a:blip r:embed="rId515"/>
                          <a:stretch>
                            <a:fillRect/>
                          </a:stretch>
                        </pic:blipFill>
                        <pic:spPr bwMode="auto">
                          <a:xfrm>
                            <a:off x="0" y="0"/>
                            <a:ext cx="5969000" cy="1865312"/>
                          </a:xfrm>
                          <a:prstGeom prst="rect">
                            <a:avLst/>
                          </a:prstGeom>
                          <a:noFill/>
                          <a:ln w="9525">
                            <a:noFill/>
                            <a:headEnd/>
                            <a:tailEnd/>
                          </a:ln>
                        </pic:spPr>
                      </pic:pic>
                    </a:graphicData>
                  </a:graphic>
                </wp:inline>
              </w:drawing>
            </w:r>
          </w:p>
          <w:bookmarkEnd w:id="518"/>
        </w:tc>
      </w:tr>
    </w:tbl>
    <w:bookmarkEnd w:id="519"/>
    <w:bookmarkEnd w:id="520"/>
    <w:bookmarkStart w:id="681"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p>
      <w:pPr>
        <w:pStyle w:val="Corpsdetexte"/>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21" name="Picture"/>
                  <a:graphic>
                    <a:graphicData uri="http://schemas.openxmlformats.org/drawingml/2006/picture">
                      <pic:pic>
                        <pic:nvPicPr>
                          <pic:cNvPr descr="c:\PROGRA~1\Positron\RESOUR~1\app\quarto\share\formats\docx\warning.png" id="52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24" w:name="sec-agriculture"/>
    <w:p>
      <w:pPr>
        <w:pStyle w:val="Titre2"/>
      </w:pPr>
      <w:r>
        <w:t xml:space="preserve">5.1 Agriculture</w:t>
      </w:r>
    </w:p>
    <w:bookmarkStart w:id="583"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523"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523"/>
          <w:p/>
        </w:tc>
      </w:tr>
    </w:tbl>
    <w:bookmarkStart w:id="532"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 concernées (en nombre).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A Marovoay, le faire valoir direct constitue également la principale forme d’exploitation des parcelles avec 46.5 % des parcelles (en nombre). La prise en métayage occupe une place importante et atteint 24.8 %, tandis que la prise en location représente 18.4 % des parcelles. Les autres modalités restent peu répandues, avec 6.3 % pour la mise en location, 2.2 % pour la mise en métayage et 1.6 % pour le prêt gratuit. Les catégories « autre » et « mise à disposition gratuite » ne représentent chacune que 0.1 % des parcelles.</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27"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611437"/>
                  <wp:effectExtent b="0" l="0" r="0" t="0"/>
                  <wp:docPr descr="" title="" id="525" name="Picture"/>
                  <a:graphic>
                    <a:graphicData uri="http://schemas.openxmlformats.org/drawingml/2006/picture">
                      <pic:pic>
                        <pic:nvPicPr>
                          <pic:cNvPr descr="05_agriculture_files/figure-docx/fig-tenure-riz-1.png" id="526" name="Picture"/>
                          <pic:cNvPicPr>
                            <a:picLocks noChangeArrowheads="1" noChangeAspect="1"/>
                          </pic:cNvPicPr>
                        </pic:nvPicPr>
                        <pic:blipFill>
                          <a:blip r:embed="rId524"/>
                          <a:stretch>
                            <a:fillRect/>
                          </a:stretch>
                        </pic:blipFill>
                        <pic:spPr bwMode="auto">
                          <a:xfrm>
                            <a:off x="0" y="0"/>
                            <a:ext cx="5969000" cy="2611437"/>
                          </a:xfrm>
                          <a:prstGeom prst="rect">
                            <a:avLst/>
                          </a:prstGeom>
                          <a:noFill/>
                          <a:ln w="9525">
                            <a:noFill/>
                            <a:headEnd/>
                            <a:tailEnd/>
                          </a:ln>
                        </pic:spPr>
                      </pic:pic>
                    </a:graphicData>
                  </a:graphic>
                </wp:inline>
              </w:drawing>
            </w:r>
          </w:p>
          <w:bookmarkEnd w:id="527"/>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À Marovoay, le manque d’eau constitue également le principal problème de maîtrise de l’eau et concerne 57.9 % des parcelles rizicoles. Les parcelles ne présentant aucun problème représentent 38 % des cas. Les problèmes d’inondation restent relativement faibles avec 3.4 %, tandis que les problèmes de drainage et les autres difficultés ne concernent chacun que 0.3 % des parcelles.</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31"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238375"/>
                  <wp:effectExtent b="0" l="0" r="0" t="0"/>
                  <wp:docPr descr="" title="" id="529" name="Picture"/>
                  <a:graphic>
                    <a:graphicData uri="http://schemas.openxmlformats.org/drawingml/2006/picture">
                      <pic:pic>
                        <pic:nvPicPr>
                          <pic:cNvPr descr="05_agriculture_files/figure-docx/fig-eau-riz-1.png" id="530" name="Picture"/>
                          <pic:cNvPicPr>
                            <a:picLocks noChangeArrowheads="1" noChangeAspect="1"/>
                          </pic:cNvPicPr>
                        </pic:nvPicPr>
                        <pic:blipFill>
                          <a:blip r:embed="rId528"/>
                          <a:stretch>
                            <a:fillRect/>
                          </a:stretch>
                        </pic:blipFill>
                        <pic:spPr bwMode="auto">
                          <a:xfrm>
                            <a:off x="0" y="0"/>
                            <a:ext cx="5969000" cy="2238375"/>
                          </a:xfrm>
                          <a:prstGeom prst="rect">
                            <a:avLst/>
                          </a:prstGeom>
                          <a:noFill/>
                          <a:ln w="9525">
                            <a:noFill/>
                            <a:headEnd/>
                            <a:tailEnd/>
                          </a:ln>
                        </pic:spPr>
                      </pic:pic>
                    </a:graphicData>
                  </a:graphic>
                </wp:inline>
              </w:drawing>
            </w:r>
          </w:p>
          <w:bookmarkEnd w:id="531"/>
        </w:tc>
      </w:tr>
    </w:tbl>
    <w:bookmarkEnd w:id="532"/>
    <w:bookmarkStart w:id="544"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p>
      <w:pPr>
        <w:pStyle w:val="Corpsdetexte"/>
      </w:pPr>
      <w:r>
        <w:t xml:space="preserve">A Marovoay, la culture rizicole repose très largement sur le repiquage traditionnel utilisé sur 97 % des parcelles. Les autres techniques restent très peu développées, avec seulement 1.8 % pour le repiquage en ligne, 1 % pour le semis direct poquet et 0.1 % pour le SRI. Les techniques telles que le semis à la volée, le SRA, le zéro labour et le semis direct amélioré sont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36"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865312"/>
                  <wp:effectExtent b="0" l="0" r="0" t="0"/>
                  <wp:docPr descr="" title="" id="534" name="Picture"/>
                  <a:graphic>
                    <a:graphicData uri="http://schemas.openxmlformats.org/drawingml/2006/picture">
                      <pic:pic>
                        <pic:nvPicPr>
                          <pic:cNvPr descr="05_agriculture_files/figure-docx/fig-technique-riz-1.png" id="535" name="Picture"/>
                          <pic:cNvPicPr>
                            <a:picLocks noChangeArrowheads="1" noChangeAspect="1"/>
                          </pic:cNvPicPr>
                        </pic:nvPicPr>
                        <pic:blipFill>
                          <a:blip r:embed="rId533"/>
                          <a:stretch>
                            <a:fillRect/>
                          </a:stretch>
                        </pic:blipFill>
                        <pic:spPr bwMode="auto">
                          <a:xfrm>
                            <a:off x="0" y="0"/>
                            <a:ext cx="5969000" cy="1865312"/>
                          </a:xfrm>
                          <a:prstGeom prst="rect">
                            <a:avLst/>
                          </a:prstGeom>
                          <a:noFill/>
                          <a:ln w="9525">
                            <a:noFill/>
                            <a:headEnd/>
                            <a:tailEnd/>
                          </a:ln>
                        </pic:spPr>
                      </pic:pic>
                    </a:graphicData>
                  </a:graphic>
                </wp:inline>
              </w:drawing>
            </w:r>
          </w:p>
          <w:bookmarkEnd w:id="536"/>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p>
      <w:pPr>
        <w:pStyle w:val="Corpsdetexte"/>
      </w:pPr>
      <w:r>
        <w:t xml:space="preserve">À Marovoay, l’absence d’utilisation d’engrais domine largement et concerne 62.6 % des parcelles rizicoles. L’usage exclusif de fumure organique ou de compost représente 11.7 %, tandis que les engrais chimiques seuls concernent 9.8 % des parcelles. Les produits chimiques pérennes occupent également une place notable avec 15.2 %. L’association fumure organique et engrais chimiques reste très faible avec seulement 0.3 %, tandis que la jachère représente 0.4 % des parcelles. Les autres formes d’amendement demeurent quasiment absentes dans l’observatoire.</w:t>
      </w:r>
    </w:p>
    <w:tbl>
      <w:tblPr>
        <w:tblStyle w:val="Table"/>
        <w:tblW w:type="pct" w:w="5000"/>
        <w:tblLayout w:type="fixed"/>
        <w:tblLook w:firstRow="0" w:lastRow="0" w:firstColumn="0" w:lastColumn="0" w:noHBand="0" w:noVBand="0" w:val="0000"/>
      </w:tblPr>
      <w:tblGrid>
        <w:gridCol w:w="7920"/>
      </w:tblGrid>
      <w:tr>
        <w:tc>
          <w:tcPr/>
          <w:bookmarkStart w:id="540"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611437"/>
                  <wp:effectExtent b="0" l="0" r="0" t="0"/>
                  <wp:docPr descr="" title="" id="538" name="Picture"/>
                  <a:graphic>
                    <a:graphicData uri="http://schemas.openxmlformats.org/drawingml/2006/picture">
                      <pic:pic>
                        <pic:nvPicPr>
                          <pic:cNvPr descr="05_agriculture_files/figure-docx/fig-engrais-riz-1.png" id="539" name="Picture"/>
                          <pic:cNvPicPr>
                            <a:picLocks noChangeArrowheads="1" noChangeAspect="1"/>
                          </pic:cNvPicPr>
                        </pic:nvPicPr>
                        <pic:blipFill>
                          <a:blip r:embed="rId537"/>
                          <a:stretch>
                            <a:fillRect/>
                          </a:stretch>
                        </pic:blipFill>
                        <pic:spPr bwMode="auto">
                          <a:xfrm>
                            <a:off x="0" y="0"/>
                            <a:ext cx="5969000" cy="2611437"/>
                          </a:xfrm>
                          <a:prstGeom prst="rect">
                            <a:avLst/>
                          </a:prstGeom>
                          <a:noFill/>
                          <a:ln w="9525">
                            <a:noFill/>
                            <a:headEnd/>
                            <a:tailEnd/>
                          </a:ln>
                        </pic:spPr>
                      </pic:pic>
                    </a:graphicData>
                  </a:graphic>
                </wp:inline>
              </w:drawing>
            </w:r>
          </w:p>
          <w:bookmarkEnd w:id="540"/>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 Marovoay, le travail du sol est principalement réalisé à la charrue, avec une proportion de 78 %. Les autres pratiques restent beaucoup moins fréquentes. Le recours à l’angady concerne 6.7 % des exploitations, tandis que le nettoyage au « mikaoka » représente 6.2 %. Le piétinage est pratiqué par 4.9 % des producteurs et l’utilisation du tracteur ou motoculteur ne concerne que 3.7 % des cas. Les autres modes de travail du sol sont marginaux avec 0.1 %.</w:t>
      </w:r>
    </w:p>
    <w:p>
      <w:pPr>
        <w:pStyle w:val="Corpsdetexte"/>
      </w:pPr>
      <w:r>
        <w:t xml:space="preserve">Aucun cas d’absence de labour n’est signalé dans les deux observatoires.</w:t>
      </w:r>
    </w:p>
    <w:p>
      <w:pPr>
        <w:pStyle w:val="CaptionedFigure"/>
      </w:pPr>
      <w:r>
        <w:drawing>
          <wp:inline>
            <wp:extent cx="4620126" cy="2310063"/>
            <wp:effectExtent b="0" l="0" r="0" t="0"/>
            <wp:docPr descr="Mode de travail du sol sur les parcelles rizicoles" title="" id="542" name="Picture"/>
            <a:graphic>
              <a:graphicData uri="http://schemas.openxmlformats.org/drawingml/2006/picture">
                <pic:pic>
                  <pic:nvPicPr>
                    <pic:cNvPr descr="05_agriculture_files/figure-docx/fig_semences_labour-1.png" id="543" name="Picture"/>
                    <pic:cNvPicPr>
                      <a:picLocks noChangeArrowheads="1" noChangeAspect="1"/>
                    </pic:cNvPicPr>
                  </pic:nvPicPr>
                  <pic:blipFill>
                    <a:blip r:embed="rId54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544"/>
    <w:bookmarkStart w:id="552"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p>
      <w:pPr>
        <w:pStyle w:val="Corpsdetexte"/>
      </w:pPr>
      <w:r>
        <w:t xml:space="preserve">A Marovoay, le rendement rizicole médian s’établit à 1.2 t/ha (hors 5 % des valeurs extrêmes). Les rendements rizicoles sont également perçus de manière défavorable par une grande partie des producteurs. La catégorie « mauvais » regroupe 46.4 % des riziculteurs, alors que 40.2 % considèrent les rendements comme très mauvais. Les avis positifs demeurent limités, avec 12.1 % des producteurs qui jugent les rendements bons et 1.3 % qui les estiment très bons. L’ensemble de ces perceptions met en évidence un ressenti globalement pessimiste concernant les niveaux de rendement rizicole dans cet observatoire.</w:t>
      </w:r>
    </w:p>
    <w:p>
      <w:pPr>
        <w:pStyle w:val="CaptionedFigure"/>
      </w:pPr>
      <w:r>
        <w:drawing>
          <wp:inline>
            <wp:extent cx="4620126" cy="3696101"/>
            <wp:effectExtent b="0" l="0" r="0" t="0"/>
            <wp:docPr descr="Perception des rendements rizicoles" title="" id="546" name="Picture"/>
            <a:graphic>
              <a:graphicData uri="http://schemas.openxmlformats.org/drawingml/2006/picture">
                <pic:pic>
                  <pic:nvPicPr>
                    <pic:cNvPr descr="05_agriculture_files/figure-docx/fig_rendement_perception-1.png" id="547" name="Picture"/>
                    <pic:cNvPicPr>
                      <a:picLocks noChangeArrowheads="1" noChangeAspect="1"/>
                    </pic:cNvPicPr>
                  </pic:nvPicPr>
                  <pic:blipFill>
                    <a:blip r:embed="rId54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p>
      <w:pPr>
        <w:pStyle w:val="Corpsdetexte"/>
      </w:pPr>
      <w:r>
        <w:t xml:space="preserve">A Marovoay, les rendements rizicoles sont globalement concentrés à des niveaux plus faibles, avec une médiane proche de 1.2 t/ha. La majorité des exploitations enregistre des rendements compris entre environ 0.7 et 2 t/ha. Quelques valeurs aberrantes apparaissent au-dessus de 4 t/ha et atteignent près de 5 t/ha, indiquant l’existence de rares exploitations obtenant des rendements nettement supérieurs au reste des producteurs. La distribution met ainsi en évidence une forte concentration des rendements autour de faibles niveaux, accompagnée de quelques performances exceptionnellement élevées.</w:t>
      </w:r>
    </w:p>
    <w:tbl>
      <w:tblPr>
        <w:tblStyle w:val="Table"/>
        <w:tblW w:type="pct" w:w="5000"/>
        <w:tblLayout w:type="fixed"/>
        <w:tblLook w:firstRow="0" w:lastRow="0" w:firstColumn="0" w:lastColumn="0" w:noHBand="0" w:noVBand="0" w:val="0000"/>
      </w:tblPr>
      <w:tblGrid>
        <w:gridCol w:w="7920"/>
      </w:tblGrid>
      <w:tr>
        <w:tc>
          <w:tcPr/>
          <w:bookmarkStart w:id="551"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2611437"/>
                  <wp:effectExtent b="0" l="0" r="0" t="0"/>
                  <wp:docPr descr="" title="" id="549" name="Picture"/>
                  <a:graphic>
                    <a:graphicData uri="http://schemas.openxmlformats.org/drawingml/2006/picture">
                      <pic:pic>
                        <pic:nvPicPr>
                          <pic:cNvPr descr="05_agriculture_files/figure-docx/fig-rendement-riz-tha-1.png" id="550" name="Picture"/>
                          <pic:cNvPicPr>
                            <a:picLocks noChangeArrowheads="1" noChangeAspect="1"/>
                          </pic:cNvPicPr>
                        </pic:nvPicPr>
                        <pic:blipFill>
                          <a:blip r:embed="rId548"/>
                          <a:stretch>
                            <a:fillRect/>
                          </a:stretch>
                        </pic:blipFill>
                        <pic:spPr bwMode="auto">
                          <a:xfrm>
                            <a:off x="0" y="0"/>
                            <a:ext cx="5969000" cy="2611437"/>
                          </a:xfrm>
                          <a:prstGeom prst="rect">
                            <a:avLst/>
                          </a:prstGeom>
                          <a:noFill/>
                          <a:ln w="9525">
                            <a:noFill/>
                            <a:headEnd/>
                            <a:tailEnd/>
                          </a:ln>
                        </pic:spPr>
                      </pic:pic>
                    </a:graphicData>
                  </a:graphic>
                </wp:inline>
              </w:drawing>
            </w:r>
          </w:p>
          <w:bookmarkEnd w:id="551"/>
        </w:tc>
      </w:tr>
    </w:tbl>
    <w:bookmarkEnd w:id="552"/>
    <w:bookmarkStart w:id="565"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p>
      <w:pPr>
        <w:pStyle w:val="Corpsdetexte"/>
      </w:pPr>
      <w:r>
        <w:t xml:space="preserve">À Marovoay, les parcelles agricoles se concentrent principalement dans les zones de bas-fond, qui représentent 34.0 % des parcelles. Les plaines sans inondation occupent également une place importante avec 30.5 %, suivies des plaines à inondation périodique qui représentent 21.3 %. Les tanety constituent 6.7 % des parcelles observées, tandis que les réseaux d’eau représentent 3.4 %. Les rizières en escalier restent très peu représentées avec 0.6 %, et les tay ne concernent que 0.1 % des parcelles.</w:t>
      </w:r>
    </w:p>
    <w:tbl>
      <w:tblPr>
        <w:tblStyle w:val="Table"/>
        <w:tblW w:type="pct" w:w="5000"/>
        <w:tblLayout w:type="fixed"/>
        <w:tblLook w:firstRow="0" w:lastRow="0" w:firstColumn="0" w:lastColumn="0" w:noHBand="0" w:noVBand="0" w:val="0000"/>
      </w:tblPr>
      <w:tblGrid>
        <w:gridCol w:w="7920"/>
      </w:tblGrid>
      <w:tr>
        <w:tc>
          <w:tcPr/>
          <w:bookmarkStart w:id="556" w:name="fig-topographie-riz"/>
          <w:p>
            <w:pPr>
              <w:jc w:val="center"/>
            </w:pPr>
            <w:pPr>
              <w:jc w:val="left"/>
              <w:spacing w:before="200"/>
              <w:pStyle w:val="ImageCaption"/>
            </w:pPr>
            <w:r>
              <w:t xml:space="preserve">Figure 5.6: Topographie des parcelles rizicoles</w:t>
            </w:r>
          </w:p>
          <w:p>
            <w:pPr>
              <w:pStyle w:val="Compact"/>
              <w:jc w:val="center"/>
            </w:pPr>
            <w:r>
              <w:drawing>
                <wp:inline>
                  <wp:extent cx="5969000" cy="2238375"/>
                  <wp:effectExtent b="0" l="0" r="0" t="0"/>
                  <wp:docPr descr="" title="" id="554" name="Picture"/>
                  <a:graphic>
                    <a:graphicData uri="http://schemas.openxmlformats.org/drawingml/2006/picture">
                      <pic:pic>
                        <pic:nvPicPr>
                          <pic:cNvPr descr="05_agriculture_files/figure-docx/fig-topographie-riz-1.png" id="555" name="Picture"/>
                          <pic:cNvPicPr>
                            <a:picLocks noChangeArrowheads="1" noChangeAspect="1"/>
                          </pic:cNvPicPr>
                        </pic:nvPicPr>
                        <pic:blipFill>
                          <a:blip r:embed="rId553"/>
                          <a:stretch>
                            <a:fillRect/>
                          </a:stretch>
                        </pic:blipFill>
                        <pic:spPr bwMode="auto">
                          <a:xfrm>
                            <a:off x="0" y="0"/>
                            <a:ext cx="5969000" cy="2238375"/>
                          </a:xfrm>
                          <a:prstGeom prst="rect">
                            <a:avLst/>
                          </a:prstGeom>
                          <a:noFill/>
                          <a:ln w="9525">
                            <a:noFill/>
                            <a:headEnd/>
                            <a:tailEnd/>
                          </a:ln>
                        </pic:spPr>
                      </pic:pic>
                    </a:graphicData>
                  </a:graphic>
                </wp:inline>
              </w:drawing>
            </w:r>
          </w:p>
          <w:bookmarkEnd w:id="556"/>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p>
      <w:pPr>
        <w:pStyle w:val="Corpsdetexte"/>
      </w:pPr>
      <w:r>
        <w:t xml:space="preserve">À Marovoay, la saison principale représente également la période de culture la plus importante avec 72 % des parcelles. Toutefois, la contre-saison occupe une place plus notable, atteignant 23.2 % des parcelles cultivées. La saison intermédiaire reste minoritaire avec 4.7 %. La distribution des saisons culturales traduit ainsi une organisation des cultures principalement centrée sur la saison principale, tout en intégrant une part non négligeable de cultures réalisées en contre-saison.</w:t>
      </w:r>
    </w:p>
    <w:tbl>
      <w:tblPr>
        <w:tblStyle w:val="Table"/>
        <w:tblW w:type="pct" w:w="5000"/>
        <w:tblLayout w:type="fixed"/>
        <w:tblLook w:firstRow="0" w:lastRow="0" w:firstColumn="0" w:lastColumn="0" w:noHBand="0" w:noVBand="0" w:val="0000"/>
      </w:tblPr>
      <w:tblGrid>
        <w:gridCol w:w="7920"/>
      </w:tblGrid>
      <w:tr>
        <w:tc>
          <w:tcPr/>
          <w:bookmarkStart w:id="560" w:name="fig-saison-riz"/>
          <w:p>
            <w:pPr>
              <w:jc w:val="center"/>
            </w:pPr>
            <w:pPr>
              <w:jc w:val="left"/>
              <w:spacing w:before="200"/>
              <w:pStyle w:val="ImageCaption"/>
            </w:pPr>
            <w:r>
              <w:t xml:space="preserve">Figure 5.7: Saison de culture rizicole</w:t>
            </w:r>
          </w:p>
          <w:p>
            <w:pPr>
              <w:pStyle w:val="Compact"/>
              <w:jc w:val="center"/>
            </w:pPr>
            <w:r>
              <w:drawing>
                <wp:inline>
                  <wp:extent cx="5969000" cy="1492250"/>
                  <wp:effectExtent b="0" l="0" r="0" t="0"/>
                  <wp:docPr descr="" title="" id="558" name="Picture"/>
                  <a:graphic>
                    <a:graphicData uri="http://schemas.openxmlformats.org/drawingml/2006/picture">
                      <pic:pic>
                        <pic:nvPicPr>
                          <pic:cNvPr descr="05_agriculture_files/figure-docx/fig-saison-riz-1.png" id="559" name="Picture"/>
                          <pic:cNvPicPr>
                            <a:picLocks noChangeArrowheads="1" noChangeAspect="1"/>
                          </pic:cNvPicPr>
                        </pic:nvPicPr>
                        <pic:blipFill>
                          <a:blip r:embed="rId557"/>
                          <a:stretch>
                            <a:fillRect/>
                          </a:stretch>
                        </pic:blipFill>
                        <pic:spPr bwMode="auto">
                          <a:xfrm>
                            <a:off x="0" y="0"/>
                            <a:ext cx="5969000" cy="1492250"/>
                          </a:xfrm>
                          <a:prstGeom prst="rect">
                            <a:avLst/>
                          </a:prstGeom>
                          <a:noFill/>
                          <a:ln w="9525">
                            <a:noFill/>
                            <a:headEnd/>
                            <a:tailEnd/>
                          </a:ln>
                        </pic:spPr>
                      </pic:pic>
                    </a:graphicData>
                  </a:graphic>
                </wp:inline>
              </w:drawing>
            </w:r>
          </w:p>
          <w:bookmarkEnd w:id="560"/>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p>
      <w:pPr>
        <w:pStyle w:val="Corpsdetexte"/>
      </w:pPr>
      <w:r>
        <w:t xml:space="preserve">À Marovoay, la dernière récolte constitue également la principale origine des semences avec 55.1 % des parcelles. Les commerçants arrivent ensuite avec 30.8 %, suivis des semences fournies par le propriétaire qui représentent 11 %. Les autres agriculteurs ne contribuent qu’à 0.7 % des approvisionnements. Les coopératives, organismes de développement et autres sources restent très peu représentés, avec des proportions avoisinant 1 % ou moins.</w:t>
      </w:r>
    </w:p>
    <w:tbl>
      <w:tblPr>
        <w:tblStyle w:val="Table"/>
        <w:tblW w:type="pct" w:w="5000"/>
        <w:tblLayout w:type="fixed"/>
        <w:tblLook w:firstRow="0" w:lastRow="0" w:firstColumn="0" w:lastColumn="0" w:noHBand="0" w:noVBand="0" w:val="0000"/>
      </w:tblPr>
      <w:tblGrid>
        <w:gridCol w:w="7920"/>
      </w:tblGrid>
      <w:tr>
        <w:tc>
          <w:tcPr/>
          <w:bookmarkStart w:id="564" w:name="fig-origine-semence"/>
          <w:p>
            <w:pPr>
              <w:jc w:val="center"/>
            </w:pPr>
            <w:pPr>
              <w:jc w:val="left"/>
              <w:spacing w:before="200"/>
              <w:pStyle w:val="ImageCaption"/>
            </w:pPr>
            <w:r>
              <w:t xml:space="preserve">Figure 5.8: Origine des semences de riz</w:t>
            </w:r>
          </w:p>
          <w:p>
            <w:pPr>
              <w:pStyle w:val="Compact"/>
              <w:jc w:val="center"/>
            </w:pPr>
            <w:r>
              <w:drawing>
                <wp:inline>
                  <wp:extent cx="5969000" cy="2238375"/>
                  <wp:effectExtent b="0" l="0" r="0" t="0"/>
                  <wp:docPr descr="" title="" id="562" name="Picture"/>
                  <a:graphic>
                    <a:graphicData uri="http://schemas.openxmlformats.org/drawingml/2006/picture">
                      <pic:pic>
                        <pic:nvPicPr>
                          <pic:cNvPr descr="05_agriculture_files/figure-docx/fig-origine-semence-1.png" id="563" name="Picture"/>
                          <pic:cNvPicPr>
                            <a:picLocks noChangeArrowheads="1" noChangeAspect="1"/>
                          </pic:cNvPicPr>
                        </pic:nvPicPr>
                        <pic:blipFill>
                          <a:blip r:embed="rId561"/>
                          <a:stretch>
                            <a:fillRect/>
                          </a:stretch>
                        </pic:blipFill>
                        <pic:spPr bwMode="auto">
                          <a:xfrm>
                            <a:off x="0" y="0"/>
                            <a:ext cx="5969000" cy="2238375"/>
                          </a:xfrm>
                          <a:prstGeom prst="rect">
                            <a:avLst/>
                          </a:prstGeom>
                          <a:noFill/>
                          <a:ln w="9525">
                            <a:noFill/>
                            <a:headEnd/>
                            <a:tailEnd/>
                          </a:ln>
                        </pic:spPr>
                      </pic:pic>
                    </a:graphicData>
                  </a:graphic>
                </wp:inline>
              </w:drawing>
            </w:r>
          </w:p>
          <w:bookmarkEnd w:id="564"/>
        </w:tc>
      </w:tr>
    </w:tbl>
    <w:bookmarkEnd w:id="565"/>
    <w:bookmarkStart w:id="578"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riziculteurs déclarent avoir vendu du riz au cours de la campagne.</w:t>
      </w:r>
    </w:p>
    <w:p>
      <w:pPr>
        <w:pStyle w:val="Corpsdetexte"/>
      </w:pPr>
      <w:r>
        <w:t xml:space="preserve">A Marovoay, 44.2 %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69" w:name="fig-ventes-riz-taux"/>
          <w:p>
            <w:pPr>
              <w:jc w:val="center"/>
            </w:pPr>
            <w:pPr>
              <w:jc w:val="left"/>
              <w:spacing w:before="200"/>
              <w:pStyle w:val="ImageCaption"/>
            </w:pPr>
            <w:r>
              <w:t xml:space="preserve">Figure 5.9: Taux de vente de riz par observatoire</w:t>
            </w:r>
          </w:p>
          <w:p>
            <w:pPr>
              <w:pStyle w:val="Compact"/>
              <w:jc w:val="center"/>
            </w:pPr>
            <w:r>
              <w:drawing>
                <wp:inline>
                  <wp:extent cx="5969000" cy="4263571"/>
                  <wp:effectExtent b="0" l="0" r="0" t="0"/>
                  <wp:docPr descr="" title="" id="567" name="Picture"/>
                  <a:graphic>
                    <a:graphicData uri="http://schemas.openxmlformats.org/drawingml/2006/picture">
                      <pic:pic>
                        <pic:nvPicPr>
                          <pic:cNvPr descr="05_agriculture_files/figure-docx/fig-ventes-riz-taux-1.png" id="568" name="Picture"/>
                          <pic:cNvPicPr>
                            <a:picLocks noChangeArrowheads="1" noChangeAspect="1"/>
                          </pic:cNvPicPr>
                        </pic:nvPicPr>
                        <pic:blipFill>
                          <a:blip r:embed="rId566"/>
                          <a:stretch>
                            <a:fillRect/>
                          </a:stretch>
                        </pic:blipFill>
                        <pic:spPr bwMode="auto">
                          <a:xfrm>
                            <a:off x="0" y="0"/>
                            <a:ext cx="5969000" cy="4263571"/>
                          </a:xfrm>
                          <a:prstGeom prst="rect">
                            <a:avLst/>
                          </a:prstGeom>
                          <a:noFill/>
                          <a:ln w="9525">
                            <a:noFill/>
                            <a:headEnd/>
                            <a:tailEnd/>
                          </a:ln>
                        </pic:spPr>
                      </pic:pic>
                    </a:graphicData>
                  </a:graphic>
                </wp:inline>
              </w:drawing>
            </w:r>
          </w:p>
          <w:bookmarkEnd w:id="569"/>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p>
      <w:pPr>
        <w:pStyle w:val="Corpsdetexte"/>
      </w:pPr>
      <w:r>
        <w:t xml:space="preserve">À Marovoay, le profil des ventes est nettement plus étalé, avec un plateau soutenu entre juin et août où les ventes oscillent entre 16 % et 17 %, suivi d’un sommet en septembre atteignant 23 %. Ce rythme de vente plus régulier s’explique par la multiplicité des cycles de culture dans le Nord-Ouest, où les récoltes des campagnes Atriatry et Asara s’échelonnent entre avril et juin.</w:t>
      </w:r>
      <w:r>
        <w:t xml:space="preserve"> </w:t>
      </w:r>
      <w:r>
        <w:t xml:space="preserve">Le pic majeur observé en septembre correspond précisément au déclenchement de la récolte de la campagne Jeby, la plus importante de la zone, qui s’étend de mi-septembre à novembre. Cette répartition témoigne d’une stratégie de commercialisation mieux répartie sur l’année, permise par l’accès à plusieurs récoltes successives qui alimentent le marché de façon continue.</w:t>
      </w:r>
    </w:p>
    <w:tbl>
      <w:tblPr>
        <w:tblStyle w:val="Table"/>
        <w:tblW w:type="pct" w:w="5000"/>
        <w:tblLayout w:type="fixed"/>
        <w:tblLook w:firstRow="0" w:lastRow="0" w:firstColumn="0" w:lastColumn="0" w:noHBand="0" w:noVBand="0" w:val="0000"/>
      </w:tblPr>
      <w:tblGrid>
        <w:gridCol w:w="7920"/>
      </w:tblGrid>
      <w:tr>
        <w:tc>
          <w:tcPr/>
          <w:bookmarkStart w:id="573"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2238375"/>
                  <wp:effectExtent b="0" l="0" r="0" t="0"/>
                  <wp:docPr descr="" title="" id="571" name="Picture"/>
                  <a:graphic>
                    <a:graphicData uri="http://schemas.openxmlformats.org/drawingml/2006/picture">
                      <pic:pic>
                        <pic:nvPicPr>
                          <pic:cNvPr descr="05_agriculture_files/figure-docx/fig-ventes-riz-mois-1.png" id="572" name="Picture"/>
                          <pic:cNvPicPr>
                            <a:picLocks noChangeArrowheads="1" noChangeAspect="1"/>
                          </pic:cNvPicPr>
                        </pic:nvPicPr>
                        <pic:blipFill>
                          <a:blip r:embed="rId570"/>
                          <a:stretch>
                            <a:fillRect/>
                          </a:stretch>
                        </pic:blipFill>
                        <pic:spPr bwMode="auto">
                          <a:xfrm>
                            <a:off x="0" y="0"/>
                            <a:ext cx="5969000" cy="2238375"/>
                          </a:xfrm>
                          <a:prstGeom prst="rect">
                            <a:avLst/>
                          </a:prstGeom>
                          <a:noFill/>
                          <a:ln w="9525">
                            <a:noFill/>
                            <a:headEnd/>
                            <a:tailEnd/>
                          </a:ln>
                        </pic:spPr>
                      </pic:pic>
                    </a:graphicData>
                  </a:graphic>
                </wp:inline>
              </w:drawing>
            </w:r>
          </w:p>
          <w:bookmarkEnd w:id="573"/>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p>
      <w:pPr>
        <w:pStyle w:val="Corpsdetexte"/>
      </w:pPr>
      <w:r>
        <w:t xml:space="preserve">À Marovoay, les transactions sont principalement regroupées entre 1200 et 1800 Ar/kg. Les fréquences les plus importantes se situent autour de 1400 à 1600 Ar/kg, où l’on observe les barres les plus élevées de l’histogramme. Les transactions à des prix très bas ou très élevés sont relativement rares, ce qui montre que la majorité des ventes s’effectue dans une fourchette de prix bien définie. La distribution reste globalement concentrée autour des valeurs centrales, avec quelques observations dispersées vers les extrémités, traduisant des variations occasionnelles des prix sur le marché local.</w:t>
      </w:r>
    </w:p>
    <w:tbl>
      <w:tblPr>
        <w:tblStyle w:val="Table"/>
        <w:tblW w:type="pct" w:w="5000"/>
        <w:tblLayout w:type="fixed"/>
        <w:tblLook w:firstRow="0" w:lastRow="0" w:firstColumn="0" w:lastColumn="0" w:noHBand="0" w:noVBand="0" w:val="0000"/>
      </w:tblPr>
      <w:tblGrid>
        <w:gridCol w:w="7920"/>
      </w:tblGrid>
      <w:tr>
        <w:tc>
          <w:tcPr/>
          <w:bookmarkStart w:id="577"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1865312"/>
                  <wp:effectExtent b="0" l="0" r="0" t="0"/>
                  <wp:docPr descr="" title="" id="575" name="Picture"/>
                  <a:graphic>
                    <a:graphicData uri="http://schemas.openxmlformats.org/drawingml/2006/picture">
                      <pic:pic>
                        <pic:nvPicPr>
                          <pic:cNvPr descr="05_agriculture_files/figure-docx/fig-prix-paddy-1.png" id="576" name="Picture"/>
                          <pic:cNvPicPr>
                            <a:picLocks noChangeArrowheads="1" noChangeAspect="1"/>
                          </pic:cNvPicPr>
                        </pic:nvPicPr>
                        <pic:blipFill>
                          <a:blip r:embed="rId574"/>
                          <a:stretch>
                            <a:fillRect/>
                          </a:stretch>
                        </pic:blipFill>
                        <pic:spPr bwMode="auto">
                          <a:xfrm>
                            <a:off x="0" y="0"/>
                            <a:ext cx="5969000" cy="1865312"/>
                          </a:xfrm>
                          <a:prstGeom prst="rect">
                            <a:avLst/>
                          </a:prstGeom>
                          <a:noFill/>
                          <a:ln w="9525">
                            <a:noFill/>
                            <a:headEnd/>
                            <a:tailEnd/>
                          </a:ln>
                        </pic:spPr>
                      </pic:pic>
                    </a:graphicData>
                  </a:graphic>
                </wp:inline>
              </w:drawing>
            </w:r>
          </w:p>
          <w:bookmarkEnd w:id="577"/>
        </w:tc>
      </w:tr>
    </w:tbl>
    <w:bookmarkEnd w:id="578"/>
    <w:bookmarkStart w:id="582"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p>
      <w:pPr>
        <w:pStyle w:val="Corpsdetexte"/>
      </w:pPr>
      <w:r>
        <w:t xml:space="preserve">À Marovoay, la production totale moyenne par ménage est d’environ 1977 kg de paddy. Sur cette quantité, 759 kg sont vendus, tandis que 490 kg sont destinés à l’alimentation du ménage. Le stock conservé en fin de campagne atteint 626 kg, ce qui montre l’importance de la réserve constituée après récolte. Les rentes versées en nature représentent 152 kg, alors que les rentes perçues restent limitées à 17 kg. Les autres postes, notamment les dons, les achats de paddy, les semences ou les paiements en main-d’œuvre en nature, concernent des volumes relativement réduits.</w:t>
      </w:r>
    </w:p>
    <w:p>
      <w:pPr>
        <w:pStyle w:val="CaptionedFigure"/>
      </w:pPr>
      <w:r>
        <w:drawing>
          <wp:inline>
            <wp:extent cx="4620126" cy="3696101"/>
            <wp:effectExtent b="0" l="0" r="0" t="0"/>
            <wp:docPr descr="Bilan rizicole moyen par ménage (kg de paddy)" title="" id="580" name="Picture"/>
            <a:graphic>
              <a:graphicData uri="http://schemas.openxmlformats.org/drawingml/2006/picture">
                <pic:pic>
                  <pic:nvPicPr>
                    <pic:cNvPr descr="05_agriculture_files/figure-docx/fig_bilan_riz-1.png" id="581" name="Picture"/>
                    <pic:cNvPicPr>
                      <a:picLocks noChangeArrowheads="1" noChangeAspect="1"/>
                    </pic:cNvPicPr>
                  </pic:nvPicPr>
                  <pic:blipFill>
                    <a:blip r:embed="rId57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582"/>
    <w:bookmarkEnd w:id="583"/>
    <w:bookmarkStart w:id="608"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p>
      <w:pPr>
        <w:pStyle w:val="Corpsdetexte"/>
      </w:pPr>
      <w:r>
        <w:t xml:space="preserve">A Marovoay, au-delà du riz, 28.8 % des ménages pratiquent au moins une culture non rizicole avec une prédominance des maïs.</w:t>
      </w:r>
    </w:p>
    <w:tbl>
      <w:tblPr>
        <w:tblStyle w:val="Table"/>
        <w:tblW w:type="pct" w:w="5000"/>
        <w:tblLayout w:type="fixed"/>
        <w:tblLook w:firstRow="0" w:lastRow="0" w:firstColumn="0" w:lastColumn="0" w:noHBand="0" w:noVBand="0" w:val="0000"/>
      </w:tblPr>
      <w:tblGrid>
        <w:gridCol w:w="7920"/>
      </w:tblGrid>
      <w:tr>
        <w:tc>
          <w:tcPr/>
          <w:bookmarkStart w:id="584" w:name="tbl-pratique-autres"/>
          <w:p>
            <w:pPr>
              <w:jc w:val="center"/>
            </w:pPr>
            <w:pPr>
              <w:jc w:val="left"/>
              <w:spacing w:before="200"/>
              <w:pStyle w:val="ImageCaption"/>
            </w:pPr>
            <w:r>
              <w:t xml:space="preserve">Table 5.2: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584"/>
          <w:p/>
        </w:tc>
      </w:tr>
    </w:tbl>
    <w:bookmarkStart w:id="593"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p>
      <w:pPr>
        <w:pStyle w:val="Corpsdetexte"/>
      </w:pPr>
      <w:r>
        <w:t xml:space="preserve">À Marovoay, la distribution indique également une concentration des ménages autour d’un faible nombre de cultures non rizicoles. La majorité des ménages, soit environ 67.8 %, pratiquent deux cultures non rizicoles, tandis que 30.3 % en cultivent trois. Les ménages ayant un nombre plus élevé de cultures demeurent très rares, avec seulement quelques cas observés pour quatre ou six cultures. Cette structure traduit une diversification agricole relativement limitée, où les exploitations privilégient un nombre restreint de spéculations non rizicoles dans leur système de production.</w:t>
      </w:r>
    </w:p>
    <w:tbl>
      <w:tblPr>
        <w:tblStyle w:val="Table"/>
        <w:tblW w:type="pct" w:w="5000"/>
        <w:tblLayout w:type="fixed"/>
        <w:tblLook w:firstRow="0" w:lastRow="0" w:firstColumn="0" w:lastColumn="0" w:noHBand="0" w:noVBand="0" w:val="0000"/>
      </w:tblPr>
      <w:tblGrid>
        <w:gridCol w:w="7920"/>
      </w:tblGrid>
      <w:tr>
        <w:tc>
          <w:tcPr/>
          <w:bookmarkStart w:id="588"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1865312"/>
                  <wp:effectExtent b="0" l="0" r="0" t="0"/>
                  <wp:docPr descr="" title="" id="586" name="Picture"/>
                  <a:graphic>
                    <a:graphicData uri="http://schemas.openxmlformats.org/drawingml/2006/picture">
                      <pic:pic>
                        <pic:nvPicPr>
                          <pic:cNvPr descr="05_agriculture_files/figure-docx/fig-diversification-1.png" id="587" name="Picture"/>
                          <pic:cNvPicPr>
                            <a:picLocks noChangeArrowheads="1" noChangeAspect="1"/>
                          </pic:cNvPicPr>
                        </pic:nvPicPr>
                        <pic:blipFill>
                          <a:blip r:embed="rId585"/>
                          <a:stretch>
                            <a:fillRect/>
                          </a:stretch>
                        </pic:blipFill>
                        <pic:spPr bwMode="auto">
                          <a:xfrm>
                            <a:off x="0" y="0"/>
                            <a:ext cx="5969000" cy="1865312"/>
                          </a:xfrm>
                          <a:prstGeom prst="rect">
                            <a:avLst/>
                          </a:prstGeom>
                          <a:noFill/>
                          <a:ln w="9525">
                            <a:noFill/>
                            <a:headEnd/>
                            <a:tailEnd/>
                          </a:ln>
                        </pic:spPr>
                      </pic:pic>
                    </a:graphicData>
                  </a:graphic>
                </wp:inline>
              </w:drawing>
            </w:r>
          </w:p>
          <w:bookmarkEnd w:id="588"/>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p>
      <w:pPr>
        <w:pStyle w:val="Corpsdetexte"/>
      </w:pPr>
      <w:r>
        <w:t xml:space="preserve">A Marovoay, les cultures non rizicoles les plus fréquentes sont dominées par l’arachide, pratiquée par 61 % des ménages. Le haricot occupe la deuxième position avec 20.6 %, tandis que le voanjobory représente 6.6 % des ménages pratiquants. Le maïs et le pois du Cap enregistrent respectivement 3 % et 3.7 %. D’autres cultures comme le manioc, le voatabia, le melon ou encore l’oignon restent faiblement représentées avec des proportions proches ou inférieures à 2 %. Certaines cultures maraîchères et cultures de diversification ne concernent qu’une minorité très réduite de ménages, ce qui montre une présence plus ponctuelle de ces spéculations dans les systèmes de production locaux.</w:t>
      </w:r>
    </w:p>
    <w:tbl>
      <w:tblPr>
        <w:tblStyle w:val="Table"/>
        <w:tblW w:type="pct" w:w="5000"/>
        <w:tblLayout w:type="fixed"/>
        <w:tblLook w:firstRow="0" w:lastRow="0" w:firstColumn="0" w:lastColumn="0" w:noHBand="0" w:noVBand="0" w:val="0000"/>
      </w:tblPr>
      <w:tblGrid>
        <w:gridCol w:w="7920"/>
      </w:tblGrid>
      <w:tr>
        <w:tc>
          <w:tcPr/>
          <w:bookmarkStart w:id="592"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4103687"/>
                  <wp:effectExtent b="0" l="0" r="0" t="0"/>
                  <wp:docPr descr="" title="" id="590" name="Picture"/>
                  <a:graphic>
                    <a:graphicData uri="http://schemas.openxmlformats.org/drawingml/2006/picture">
                      <pic:pic>
                        <pic:nvPicPr>
                          <pic:cNvPr descr="05_agriculture_files/figure-docx/fig-top-cultures-1.png" id="591" name="Picture"/>
                          <pic:cNvPicPr>
                            <a:picLocks noChangeArrowheads="1" noChangeAspect="1"/>
                          </pic:cNvPicPr>
                        </pic:nvPicPr>
                        <pic:blipFill>
                          <a:blip r:embed="rId589"/>
                          <a:stretch>
                            <a:fillRect/>
                          </a:stretch>
                        </pic:blipFill>
                        <pic:spPr bwMode="auto">
                          <a:xfrm>
                            <a:off x="0" y="0"/>
                            <a:ext cx="5969000" cy="4103687"/>
                          </a:xfrm>
                          <a:prstGeom prst="rect">
                            <a:avLst/>
                          </a:prstGeom>
                          <a:noFill/>
                          <a:ln w="9525">
                            <a:noFill/>
                            <a:headEnd/>
                            <a:tailEnd/>
                          </a:ln>
                        </pic:spPr>
                      </pic:pic>
                    </a:graphicData>
                  </a:graphic>
                </wp:inline>
              </w:drawing>
            </w:r>
          </w:p>
          <w:bookmarkEnd w:id="592"/>
        </w:tc>
      </w:tr>
    </w:tbl>
    <w:bookmarkEnd w:id="593"/>
    <w:bookmarkStart w:id="598"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Les pratiques de fertilisation diffèrent sensiblement entre les deux observatoires en raison de l’accessibilité et du coût des intrants.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p>
      <w:pPr>
        <w:pStyle w:val="Corpsdetexte"/>
      </w:pPr>
      <w:r>
        <w:t xml:space="preserve">A Marovoay, la très grande majorité des parcelles de cultures non rizicoles ne bénéficie d’aucun apport d’engrais. En effet, 91.4 % des parcelles sont exploitées sans fertilisation. Le fumier-compost est utilisé dans 7.1 % des parcelles, alors que les engrais chimiques seuls ne concernent qu’environ 1 % des parcelles. Les autres formes de fertilisation sont quasiment absentes dans cet observatoire. Cette situation traduit une faible intensité d’utilisation des intrants fertilisants dans les cultures non rizicoles pratiquées par les ménages.</w:t>
      </w:r>
    </w:p>
    <w:tbl>
      <w:tblPr>
        <w:tblStyle w:val="Table"/>
        <w:tblW w:type="pct" w:w="5000"/>
        <w:tblLayout w:type="fixed"/>
        <w:tblLook w:firstRow="0" w:lastRow="0" w:firstColumn="0" w:lastColumn="0" w:noHBand="0" w:noVBand="0" w:val="0000"/>
      </w:tblPr>
      <w:tblGrid>
        <w:gridCol w:w="7920"/>
      </w:tblGrid>
      <w:tr>
        <w:tc>
          <w:tcPr/>
          <w:bookmarkStart w:id="597"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1865312"/>
                  <wp:effectExtent b="0" l="0" r="0" t="0"/>
                  <wp:docPr descr="" title="" id="595" name="Picture"/>
                  <a:graphic>
                    <a:graphicData uri="http://schemas.openxmlformats.org/drawingml/2006/picture">
                      <pic:pic>
                        <pic:nvPicPr>
                          <pic:cNvPr descr="05_agriculture_files/figure-docx/fig-engrais-autres-1.png" id="596" name="Picture"/>
                          <pic:cNvPicPr>
                            <a:picLocks noChangeArrowheads="1" noChangeAspect="1"/>
                          </pic:cNvPicPr>
                        </pic:nvPicPr>
                        <pic:blipFill>
                          <a:blip r:embed="rId594"/>
                          <a:stretch>
                            <a:fillRect/>
                          </a:stretch>
                        </pic:blipFill>
                        <pic:spPr bwMode="auto">
                          <a:xfrm>
                            <a:off x="0" y="0"/>
                            <a:ext cx="5969000" cy="1865312"/>
                          </a:xfrm>
                          <a:prstGeom prst="rect">
                            <a:avLst/>
                          </a:prstGeom>
                          <a:noFill/>
                          <a:ln w="9525">
                            <a:noFill/>
                            <a:headEnd/>
                            <a:tailEnd/>
                          </a:ln>
                        </pic:spPr>
                      </pic:pic>
                    </a:graphicData>
                  </a:graphic>
                </wp:inline>
              </w:drawing>
            </w:r>
          </w:p>
          <w:bookmarkEnd w:id="597"/>
        </w:tc>
      </w:tr>
    </w:tbl>
    <w:p>
      <w:pPr>
        <w:pStyle w:val="Corpsdetexte"/>
      </w:pPr>
      <w:r>
        <w:t xml:space="preserve">À Alaotra, la production et les ventes des principales cultures non rizicoles montrent une forte diversité selon les spéculations. Le haricot</w:t>
      </w:r>
      <w:r>
        <w:t xml:space="preserve"> </w:t>
      </w:r>
      <w:r>
        <w:rPr>
          <w:b/>
          <w:bCs/>
        </w:rPr>
        <w:t xml:space="preserve">«Tsaramaso»</w:t>
      </w:r>
      <w:r>
        <w:t xml:space="preserve"> </w:t>
      </w:r>
      <w:r>
        <w:t xml:space="preserve">constitue la culture la plus représentée avec 145 parcelles, une production de 105 t et un taux de vente de 62.3 %, générant une valeur de vente de 234.486 Ar. Le manioc</w:t>
      </w:r>
      <w:r>
        <w:t xml:space="preserve"> </w:t>
      </w:r>
      <w:r>
        <w:rPr>
          <w:b/>
          <w:bCs/>
        </w:rPr>
        <w:t xml:space="preserve">«Mangahazo, Bala»</w:t>
      </w:r>
      <w:r>
        <w:t xml:space="preserve"> </w:t>
      </w:r>
      <w:r>
        <w:t xml:space="preserve">affiche également une place importante avec 94 parcelles et une production de 253 t, mais seulement 27.0 % de la production est commercialisée. L’ arachide</w:t>
      </w:r>
      <w:r>
        <w:t xml:space="preserve"> </w:t>
      </w:r>
      <w:r>
        <w:rPr>
          <w:b/>
          <w:bCs/>
        </w:rPr>
        <w:t xml:space="preserve">«voanjo, kapika»</w:t>
      </w:r>
      <w:r>
        <w:t xml:space="preserve"> </w:t>
      </w:r>
      <w:r>
        <w:t xml:space="preserve">atteint un taux de vente relativement élevé de 47.8 % pour une production de 167 t, tandis que le</w:t>
      </w:r>
      <w:r>
        <w:t xml:space="preserve"> </w:t>
      </w:r>
      <w:r>
        <w:rPr>
          <w:b/>
          <w:bCs/>
        </w:rPr>
        <w:t xml:space="preserve">(vomanga, tsoman)</w:t>
      </w:r>
      <w:r>
        <w:t xml:space="preserve"> </w:t>
      </w:r>
      <w:r>
        <w:t xml:space="preserve">présente une production plus limitée de 160 t avec seulement 27.1 % vendu. Les cultures de</w:t>
      </w:r>
      <w:r>
        <w:t xml:space="preserve"> </w:t>
      </w:r>
      <w:r>
        <w:rPr>
          <w:b/>
          <w:bCs/>
        </w:rPr>
        <w:t xml:space="preserve">soja</w:t>
      </w:r>
      <w:r>
        <w:t xml:space="preserve"> </w:t>
      </w:r>
      <w:r>
        <w:t xml:space="preserve">et de</w:t>
      </w:r>
      <w:r>
        <w:t xml:space="preserve"> </w:t>
      </w:r>
      <w:r>
        <w:rPr>
          <w:b/>
          <w:bCs/>
        </w:rPr>
        <w:t xml:space="preserve">voanjobory</w:t>
      </w:r>
      <w:r>
        <w:t xml:space="preserve"> </w:t>
      </w:r>
      <w:r>
        <w:t xml:space="preserve">se distinguent par des taux de commercialisation élevés, respectivement 86.5 % et 60.8 %, ce qui traduit une forte orientation marchande de ces productions.</w:t>
      </w:r>
      <w:r>
        <w:t xml:space="preserve"> </w:t>
      </w:r>
      <w:r>
        <w:t xml:space="preserve">Certaines cultures présentent des performances commerciales particulièrement marquées. La canne à sucre</w:t>
      </w:r>
      <w:r>
        <w:t xml:space="preserve"> </w:t>
      </w:r>
      <w:r>
        <w:rPr>
          <w:b/>
          <w:bCs/>
        </w:rPr>
        <w:t xml:space="preserve">«fary»</w:t>
      </w:r>
      <w:r>
        <w:t xml:space="preserve"> </w:t>
      </w:r>
      <w:r>
        <w:t xml:space="preserve">enregistre le taux de vente le plus élevé avec 87.9 % de la production écoulée et une valeur de vente de 354.286 Ar. Le</w:t>
      </w:r>
      <w:r>
        <w:t xml:space="preserve"> </w:t>
      </w:r>
      <w:r>
        <w:rPr>
          <w:b/>
          <w:bCs/>
        </w:rPr>
        <w:t xml:space="preserve">«voanemba»</w:t>
      </w:r>
      <w:r>
        <w:t xml:space="preserve"> </w:t>
      </w:r>
      <w:r>
        <w:t xml:space="preserve">atteint également un bon niveau de commercialisation avec 69.9 % vendu, tandis que la mangue</w:t>
      </w:r>
      <w:r>
        <w:t xml:space="preserve"> </w:t>
      </w:r>
      <w:r>
        <w:rPr>
          <w:b/>
          <w:bCs/>
        </w:rPr>
        <w:t xml:space="preserve">«manga»</w:t>
      </w:r>
      <w:r>
        <w:t xml:space="preserve"> </w:t>
      </w:r>
      <w:r>
        <w:t xml:space="preserve">ne commercialise que 15.8 % de sa production malgré un volume de 410 t. Le tabac</w:t>
      </w:r>
      <w:r>
        <w:t xml:space="preserve"> </w:t>
      </w:r>
      <w:r>
        <w:rPr>
          <w:b/>
          <w:bCs/>
        </w:rPr>
        <w:t xml:space="preserve">«paraky»</w:t>
      </w:r>
      <w:r>
        <w:t xml:space="preserve"> </w:t>
      </w:r>
      <w:r>
        <w:t xml:space="preserve">affiche un taux de vente de 66.0 %, traduisant une bonne insertion sur le marché. Enfin, le maïs</w:t>
      </w:r>
      <w:r>
        <w:t xml:space="preserve"> </w:t>
      </w:r>
      <w:r>
        <w:rPr>
          <w:b/>
          <w:bCs/>
        </w:rPr>
        <w:t xml:space="preserve">«katsaka»</w:t>
      </w:r>
      <w:r>
        <w:t xml:space="preserve"> </w:t>
      </w:r>
      <w:r>
        <w:t xml:space="preserve">produit 351 t mais seulement 29.2 % de cette quantité est vendue, ce qui montre une part importante destinée à l’autoconsommation ou au stockage.</w:t>
      </w:r>
    </w:p>
    <w:p>
      <w:pPr>
        <w:pStyle w:val="Corpsdetexte"/>
      </w:pPr>
      <w:r>
        <w:t xml:space="preserve">À Marovoay, les cultures non rizicoles occupent également une place importante dans les activités agricoles. Le manioc</w:t>
      </w:r>
      <w:r>
        <w:t xml:space="preserve"> </w:t>
      </w:r>
      <w:r>
        <w:rPr>
          <w:b/>
          <w:bCs/>
        </w:rPr>
        <w:t xml:space="preserve">«bala»</w:t>
      </w:r>
      <w:r>
        <w:t xml:space="preserve"> </w:t>
      </w:r>
      <w:r>
        <w:t xml:space="preserve">représente une culture majeure avec 38 parcelles et une production de 272 t, dont 39.0 % est commercialisé. L’ arachide</w:t>
      </w:r>
      <w:r>
        <w:t xml:space="preserve"> </w:t>
      </w:r>
      <w:r>
        <w:rPr>
          <w:b/>
          <w:bCs/>
        </w:rPr>
        <w:t xml:space="preserve">«voanjo kapika»</w:t>
      </w:r>
      <w:r>
        <w:t xml:space="preserve"> </w:t>
      </w:r>
      <w:r>
        <w:t xml:space="preserve">affiche une production de 366 t et un taux de vente de 56.7 %, révélant une orientation commerciale assez soutenue. La canne à sucre</w:t>
      </w:r>
      <w:r>
        <w:t xml:space="preserve"> </w:t>
      </w:r>
      <w:r>
        <w:rPr>
          <w:b/>
          <w:bCs/>
        </w:rPr>
        <w:t xml:space="preserve">«fary»</w:t>
      </w:r>
      <w:r>
        <w:t xml:space="preserve"> </w:t>
      </w:r>
      <w:r>
        <w:t xml:space="preserve">se démarque particulièrement avec un taux de vente très élevé de 90.8 %, ce qui traduit une forte demande ou une bonne valorisation sur le marché local. Le</w:t>
      </w:r>
      <w:r>
        <w:t xml:space="preserve"> </w:t>
      </w:r>
      <w:r>
        <w:rPr>
          <w:b/>
          <w:bCs/>
        </w:rPr>
        <w:t xml:space="preserve">lojy</w:t>
      </w:r>
      <w:r>
        <w:t xml:space="preserve"> </w:t>
      </w:r>
      <w:r>
        <w:t xml:space="preserve">présente aussi un niveau de commercialisation important avec 55.7 % des productions vendues.</w:t>
      </w:r>
      <w:r>
        <w:t xml:space="preserve"> </w:t>
      </w:r>
      <w:r>
        <w:t xml:space="preserve">La culture de la patate dans l’observatoire de Marovoay se distingue par la production la plus élevée du tableau avec 7.146 t. Malgré cette quantité importante, seulement 36.7 % de la récolte est écoulé sur le marché. Cette culture génère néanmoins la valeur de vente la plus élevée, estimée à 5.260.000 Ar, ce qui montre son poids économique dans la zone. Dans l’ensemble, les données mettent en évidence des niveaux de commercialisation variables selon les cultures, certaines étant davantage destinées au marché alors que d’autres semblent principalement réservées à la consommation des ménages agricoles.</w:t>
      </w:r>
    </w:p>
    <w:bookmarkEnd w:id="598"/>
    <w:bookmarkStart w:id="607"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p>
      <w:pPr>
        <w:pStyle w:val="Corpsdetexte"/>
      </w:pPr>
      <w:r>
        <w:t xml:space="preserve">À Marovoay, les perceptions des producteurs concernant les rendements de la campagne sont également dominées par des appréciations négatives. La majorité des pratiquants, soit 53.0 %, juge les rendements mauvais, tandis que 26.2 % les considèrent très mauvais. Les avis positifs restent plus limités, avec 20.1 % des producteurs estimant les rendements bons et seulement 0.7 % les qualifiant de très bons. Ces données montrent que les exploitants agricoles ont majoritairement ressenti des difficultés importantes dans la production des cultures non rizicoles durant cette campagne. Concernant l’évolution des rendements par rapport à l’année précédente, les perceptions y restent principalement orientées vers une baisse. Près de la moitié des producteurs, soit 49.7 %, déclarent une diminution des rendements. Toutefois, une part importante de 41.5 % estime que les rendements sont restés inchangés, tandis que seulement 8.2 % observent une amélioration. Ces résultats traduisent une situation perçue comme relativement stable pour une partie des producteurs, mais marquée dans l’ensemble par une tendance défavorable des performances agricoles.</w:t>
      </w:r>
    </w:p>
    <w:tbl>
      <w:tblPr>
        <w:tblStyle w:val="Table"/>
        <w:tblW w:type="pct" w:w="5000"/>
        <w:tblLayout w:type="fixed"/>
        <w:tblLook w:firstRow="0" w:lastRow="0" w:firstColumn="0" w:lastColumn="0" w:noHBand="0" w:noVBand="0" w:val="0000"/>
      </w:tblPr>
      <w:tblGrid>
        <w:gridCol w:w="7920"/>
      </w:tblGrid>
      <w:tr>
        <w:tc>
          <w:tcPr/>
          <w:bookmarkStart w:id="602" w:name="fig-rendement-perception-autres"/>
          <w:p>
            <w:pPr>
              <w:jc w:val="center"/>
            </w:pPr>
            <w:pPr>
              <w:jc w:val="left"/>
              <w:spacing w:before="200"/>
              <w:pStyle w:val="ImageCaption"/>
            </w:pPr>
            <w:r>
              <w:t xml:space="preserve">Figure 5.15: Perception des rendements des cultures non rizicoles</w:t>
            </w:r>
          </w:p>
          <w:p>
            <w:pPr>
              <w:pStyle w:val="Compact"/>
              <w:jc w:val="center"/>
            </w:pPr>
            <w:r>
              <w:drawing>
                <wp:inline>
                  <wp:extent cx="5969000" cy="4263571"/>
                  <wp:effectExtent b="0" l="0" r="0" t="0"/>
                  <wp:docPr descr="" title="" id="600" name="Picture"/>
                  <a:graphic>
                    <a:graphicData uri="http://schemas.openxmlformats.org/drawingml/2006/picture">
                      <pic:pic>
                        <pic:nvPicPr>
                          <pic:cNvPr descr="05_agriculture_files/figure-docx/fig-rendement-perception-autres-1.png" id="601" name="Picture"/>
                          <pic:cNvPicPr>
                            <a:picLocks noChangeArrowheads="1" noChangeAspect="1"/>
                          </pic:cNvPicPr>
                        </pic:nvPicPr>
                        <pic:blipFill>
                          <a:blip r:embed="rId599"/>
                          <a:stretch>
                            <a:fillRect/>
                          </a:stretch>
                        </pic:blipFill>
                        <pic:spPr bwMode="auto">
                          <a:xfrm>
                            <a:off x="0" y="0"/>
                            <a:ext cx="5969000" cy="4263571"/>
                          </a:xfrm>
                          <a:prstGeom prst="rect">
                            <a:avLst/>
                          </a:prstGeom>
                          <a:noFill/>
                          <a:ln w="9525">
                            <a:noFill/>
                            <a:headEnd/>
                            <a:tailEnd/>
                          </a:ln>
                        </pic:spPr>
                      </pic:pic>
                    </a:graphicData>
                  </a:graphic>
                </wp:inline>
              </w:drawing>
            </w:r>
          </w:p>
          <w:bookmarkEnd w:id="602"/>
        </w:tc>
      </w:tr>
    </w:tbl>
    <w:tbl>
      <w:tblPr>
        <w:tblStyle w:val="Table"/>
        <w:tblW w:type="pct" w:w="5000"/>
        <w:tblLayout w:type="fixed"/>
        <w:tblLook w:firstRow="0" w:lastRow="0" w:firstColumn="0" w:lastColumn="0" w:noHBand="0" w:noVBand="0" w:val="0000"/>
      </w:tblPr>
      <w:tblGrid>
        <w:gridCol w:w="7920"/>
      </w:tblGrid>
      <w:tr>
        <w:tc>
          <w:tcPr/>
          <w:bookmarkStart w:id="606" w:name="fig-rendement-evolution-autres"/>
          <w:p>
            <w:pPr>
              <w:jc w:val="center"/>
            </w:pPr>
            <w:pPr>
              <w:jc w:val="left"/>
              <w:spacing w:before="200"/>
              <w:pStyle w:val="ImageCaption"/>
            </w:pPr>
            <w:r>
              <w:t xml:space="preserve">Figure 5.16: Évolution des rendements des cultures non rizicoles par rapport à l’an dernier</w:t>
            </w:r>
          </w:p>
          <w:p>
            <w:pPr>
              <w:pStyle w:val="Compact"/>
              <w:jc w:val="center"/>
            </w:pPr>
            <w:r>
              <w:drawing>
                <wp:inline>
                  <wp:extent cx="5969000" cy="4263571"/>
                  <wp:effectExtent b="0" l="0" r="0" t="0"/>
                  <wp:docPr descr="" title="" id="604" name="Picture"/>
                  <a:graphic>
                    <a:graphicData uri="http://schemas.openxmlformats.org/drawingml/2006/picture">
                      <pic:pic>
                        <pic:nvPicPr>
                          <pic:cNvPr descr="05_agriculture_files/figure-docx/fig-rendement-evolution-autres-1.png" id="605" name="Picture"/>
                          <pic:cNvPicPr>
                            <a:picLocks noChangeArrowheads="1" noChangeAspect="1"/>
                          </pic:cNvPicPr>
                        </pic:nvPicPr>
                        <pic:blipFill>
                          <a:blip r:embed="rId603"/>
                          <a:stretch>
                            <a:fillRect/>
                          </a:stretch>
                        </pic:blipFill>
                        <pic:spPr bwMode="auto">
                          <a:xfrm>
                            <a:off x="0" y="0"/>
                            <a:ext cx="5969000" cy="4263571"/>
                          </a:xfrm>
                          <a:prstGeom prst="rect">
                            <a:avLst/>
                          </a:prstGeom>
                          <a:noFill/>
                          <a:ln w="9525">
                            <a:noFill/>
                            <a:headEnd/>
                            <a:tailEnd/>
                          </a:ln>
                        </pic:spPr>
                      </pic:pic>
                    </a:graphicData>
                  </a:graphic>
                </wp:inline>
              </w:drawing>
            </w:r>
          </w:p>
          <w:bookmarkEnd w:id="606"/>
        </w:tc>
      </w:tr>
    </w:tbl>
    <w:bookmarkEnd w:id="607"/>
    <w:bookmarkEnd w:id="608"/>
    <w:bookmarkStart w:id="614"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p>
      <w:pPr>
        <w:pStyle w:val="Corpsdetexte"/>
      </w:pPr>
      <w:r>
        <w:t xml:space="preserve">À Marovoay, les pratiques de jardin potager et d’exploitation forestière restent présentes mais concernent une proportion plus limitée de ménages. Le jardin potager est pratiqué par 46 % des ménages, indiquant que cette activité contribue néanmoins à l’alimentation et aux ressources domestiques d’une partie importante de la population. L’exploitation forestière touche quant à elle 36 % des ménages.</w:t>
      </w:r>
    </w:p>
    <w:tbl>
      <w:tblPr>
        <w:tblStyle w:val="Table"/>
        <w:tblW w:type="pct" w:w="5000"/>
        <w:tblLayout w:type="fixed"/>
        <w:tblLook w:firstRow="0" w:lastRow="0" w:firstColumn="0" w:lastColumn="0" w:noHBand="0" w:noVBand="0" w:val="0000"/>
      </w:tblPr>
      <w:tblGrid>
        <w:gridCol w:w="7920"/>
      </w:tblGrid>
      <w:tr>
        <w:tc>
          <w:tcPr/>
          <w:bookmarkStart w:id="609" w:name="tbl-jardin-pratique"/>
          <w:p>
            <w:pPr>
              <w:jc w:val="center"/>
            </w:pPr>
            <w:pPr>
              <w:jc w:val="left"/>
              <w:spacing w:before="200"/>
              <w:pStyle w:val="ImageCaption"/>
            </w:pPr>
            <w:r>
              <w:t xml:space="preserve">Table 5.3: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609"/>
          <w:p/>
        </w:tc>
      </w:tr>
    </w:tbl>
    <w:p>
      <w:pPr>
        <w:pStyle w:val="Corpsdetexte"/>
      </w:pPr>
      <w:r>
        <w:t xml:space="preserve">A Alaotra, les produits de jardin les plus fréquemment cueillis sont nettement dominés par le</w:t>
      </w:r>
      <w:r>
        <w:t xml:space="preserve"> </w:t>
      </w:r>
      <w:r>
        <w:rPr>
          <w:b/>
          <w:bCs/>
        </w:rPr>
        <w:t xml:space="preserve">manga</w:t>
      </w:r>
      <w:r>
        <w:t xml:space="preserve">, cité par 58.9 % des ménages. Le</w:t>
      </w:r>
      <w:r>
        <w:t xml:space="preserve"> </w:t>
      </w:r>
      <w:r>
        <w:rPr>
          <w:b/>
          <w:bCs/>
        </w:rPr>
        <w:t xml:space="preserve">voanazo hazo</w:t>
      </w:r>
      <w:r>
        <w:t xml:space="preserve"> </w:t>
      </w:r>
      <w:r>
        <w:t xml:space="preserve">occupe également une place importante avec 41.7 %, suivi par l’</w:t>
      </w:r>
      <w:r>
        <w:rPr>
          <w:b/>
          <w:bCs/>
        </w:rPr>
        <w:t xml:space="preserve">anana</w:t>
      </w:r>
      <w:r>
        <w:t xml:space="preserve"> </w:t>
      </w:r>
      <w:r>
        <w:t xml:space="preserve">à 30.4 % et le</w:t>
      </w:r>
      <w:r>
        <w:t xml:space="preserve"> </w:t>
      </w:r>
      <w:r>
        <w:rPr>
          <w:b/>
          <w:bCs/>
        </w:rPr>
        <w:t xml:space="preserve">legioma laha</w:t>
      </w:r>
      <w:r>
        <w:t xml:space="preserve"> </w:t>
      </w:r>
      <w:r>
        <w:t xml:space="preserve">à 21.7 %. Les autres produits sont mentionnés par des proportions plus modestes de ménages, notamment le</w:t>
      </w:r>
      <w:r>
        <w:t xml:space="preserve"> </w:t>
      </w:r>
      <w:r>
        <w:rPr>
          <w:b/>
          <w:bCs/>
        </w:rPr>
        <w:t xml:space="preserve">goavy</w:t>
      </w:r>
      <w:r>
        <w:t xml:space="preserve"> </w:t>
      </w:r>
      <w:r>
        <w:t xml:space="preserve">(16.6 %), le haricot vert (16.1 %) et le concombre (10.7 %). Plusieurs produits restent faiblement représentés, comme l’</w:t>
      </w:r>
      <w:r>
        <w:rPr>
          <w:b/>
          <w:bCs/>
        </w:rPr>
        <w:t xml:space="preserve">akondro fontsy</w:t>
      </w:r>
      <w:r>
        <w:t xml:space="preserve"> </w:t>
      </w:r>
      <w:r>
        <w:t xml:space="preserve">et le</w:t>
      </w:r>
      <w:r>
        <w:t xml:space="preserve"> </w:t>
      </w:r>
      <w:r>
        <w:rPr>
          <w:b/>
          <w:bCs/>
        </w:rPr>
        <w:t xml:space="preserve">paiso</w:t>
      </w:r>
      <w:r>
        <w:t xml:space="preserve">, chacun autour de 4.2 à 4.8 %, tandis que le</w:t>
      </w:r>
      <w:r>
        <w:t xml:space="preserve"> </w:t>
      </w:r>
      <w:r>
        <w:rPr>
          <w:b/>
          <w:bCs/>
        </w:rPr>
        <w:t xml:space="preserve">kozety</w:t>
      </w:r>
      <w:r>
        <w:t xml:space="preserve">, le</w:t>
      </w:r>
      <w:r>
        <w:t xml:space="preserve"> </w:t>
      </w:r>
      <w:r>
        <w:rPr>
          <w:b/>
          <w:bCs/>
        </w:rPr>
        <w:t xml:space="preserve">fary</w:t>
      </w:r>
      <w:r>
        <w:t xml:space="preserve"> </w:t>
      </w:r>
      <w:r>
        <w:t xml:space="preserve">ou encore l’</w:t>
      </w:r>
      <w:r>
        <w:rPr>
          <w:b/>
          <w:bCs/>
        </w:rPr>
        <w:t xml:space="preserve">ampalibe</w:t>
      </w:r>
      <w:r>
        <w:t xml:space="preserve"> </w:t>
      </w:r>
      <w:r>
        <w:t xml:space="preserve">sont cités par moins de 3 % des ménages.</w:t>
      </w:r>
    </w:p>
    <w:p>
      <w:pPr>
        <w:pStyle w:val="Corpsdetexte"/>
      </w:pPr>
      <w:r>
        <w:t xml:space="preserve">A Marovoay, le</w:t>
      </w:r>
      <w:r>
        <w:t xml:space="preserve"> </w:t>
      </w:r>
      <w:r>
        <w:rPr>
          <w:b/>
          <w:bCs/>
        </w:rPr>
        <w:t xml:space="preserve">manga</w:t>
      </w:r>
      <w:r>
        <w:t xml:space="preserve"> </w:t>
      </w:r>
      <w:r>
        <w:t xml:space="preserve">apparaît également comme le produit le plus fréquemment cueilli, avec 71.4 % des ménages concernés. Le deuxième produit le plus cité est l’</w:t>
      </w:r>
      <w:r>
        <w:rPr>
          <w:b/>
          <w:bCs/>
        </w:rPr>
        <w:t xml:space="preserve">anana</w:t>
      </w:r>
      <w:r>
        <w:t xml:space="preserve"> </w:t>
      </w:r>
      <w:r>
        <w:t xml:space="preserve">avec 20.2 %, tandis que le</w:t>
      </w:r>
      <w:r>
        <w:t xml:space="preserve"> </w:t>
      </w:r>
      <w:r>
        <w:rPr>
          <w:b/>
          <w:bCs/>
        </w:rPr>
        <w:t xml:space="preserve">voatavo</w:t>
      </w:r>
      <w:r>
        <w:t xml:space="preserve"> </w:t>
      </w:r>
      <w:r>
        <w:t xml:space="preserve">atteint 14.3 % et le concombre 10.9 %. Certains produits restent marginaux dans les pratiques de cueillette, notamment le</w:t>
      </w:r>
      <w:r>
        <w:t xml:space="preserve"> </w:t>
      </w:r>
      <w:r>
        <w:rPr>
          <w:b/>
          <w:bCs/>
        </w:rPr>
        <w:t xml:space="preserve">voankazo hazo</w:t>
      </w:r>
      <w:r>
        <w:t xml:space="preserve"> </w:t>
      </w:r>
      <w:r>
        <w:t xml:space="preserve">et le</w:t>
      </w:r>
      <w:r>
        <w:t xml:space="preserve"> </w:t>
      </w:r>
      <w:r>
        <w:rPr>
          <w:b/>
          <w:bCs/>
        </w:rPr>
        <w:t xml:space="preserve">legioma laha</w:t>
      </w:r>
      <w:r>
        <w:t xml:space="preserve">, qui ne dépassent pas 1.3 %. D’autres produits comme l’</w:t>
      </w:r>
      <w:r>
        <w:rPr>
          <w:b/>
          <w:bCs/>
        </w:rPr>
        <w:t xml:space="preserve">akondro fontsy</w:t>
      </w:r>
      <w:r>
        <w:t xml:space="preserve"> </w:t>
      </w:r>
      <w:r>
        <w:t xml:space="preserve">représentent 10.1 % des ménages, alors que le</w:t>
      </w:r>
      <w:r>
        <w:t xml:space="preserve"> </w:t>
      </w:r>
      <w:r>
        <w:rPr>
          <w:b/>
          <w:bCs/>
        </w:rPr>
        <w:t xml:space="preserve">kozety</w:t>
      </w:r>
      <w:r>
        <w:t xml:space="preserve">, le</w:t>
      </w:r>
      <w:r>
        <w:t xml:space="preserve"> </w:t>
      </w:r>
      <w:r>
        <w:rPr>
          <w:b/>
          <w:bCs/>
        </w:rPr>
        <w:t xml:space="preserve">fary</w:t>
      </w:r>
      <w:r>
        <w:t xml:space="preserve">, l’</w:t>
      </w:r>
      <w:r>
        <w:rPr>
          <w:b/>
          <w:bCs/>
        </w:rPr>
        <w:t xml:space="preserve">ampalibe</w:t>
      </w:r>
      <w:r>
        <w:t xml:space="preserve"> </w:t>
      </w:r>
      <w:r>
        <w:t xml:space="preserve">et le</w:t>
      </w:r>
      <w:r>
        <w:t xml:space="preserve"> </w:t>
      </w:r>
      <w:r>
        <w:rPr>
          <w:b/>
          <w:bCs/>
        </w:rPr>
        <w:t xml:space="preserve">pinakena</w:t>
      </w:r>
      <w:r>
        <w:t xml:space="preserve"> </w:t>
      </w:r>
      <w:r>
        <w:t xml:space="preserve">sont mentionnés par moins de 3 % des ménages.</w:t>
      </w:r>
    </w:p>
    <w:tbl>
      <w:tblPr>
        <w:tblStyle w:val="Table"/>
        <w:tblW w:type="pct" w:w="5000"/>
        <w:tblLayout w:type="fixed"/>
        <w:tblLook w:firstRow="0" w:lastRow="0" w:firstColumn="0" w:lastColumn="0" w:noHBand="0" w:noVBand="0" w:val="0000"/>
      </w:tblPr>
      <w:tblGrid>
        <w:gridCol w:w="7920"/>
      </w:tblGrid>
      <w:tr>
        <w:tc>
          <w:tcPr/>
          <w:bookmarkStart w:id="613" w:name="fig-top-jardin"/>
          <w:p>
            <w:pPr>
              <w:jc w:val="center"/>
            </w:pPr>
            <w:pPr>
              <w:jc w:val="left"/>
              <w:spacing w:before="200"/>
              <w:pStyle w:val="ImageCaption"/>
            </w:pPr>
            <w:r>
              <w:t xml:space="preserve">Figure 5.17: Produits de jardin / cueillette les plus fréquents</w:t>
            </w:r>
          </w:p>
          <w:p>
            <w:pPr>
              <w:pStyle w:val="Compact"/>
              <w:jc w:val="center"/>
            </w:pPr>
            <w:r>
              <w:drawing>
                <wp:inline>
                  <wp:extent cx="5969000" cy="2984500"/>
                  <wp:effectExtent b="0" l="0" r="0" t="0"/>
                  <wp:docPr descr="" title="" id="611" name="Picture"/>
                  <a:graphic>
                    <a:graphicData uri="http://schemas.openxmlformats.org/drawingml/2006/picture">
                      <pic:pic>
                        <pic:nvPicPr>
                          <pic:cNvPr descr="05_agriculture_files/figure-docx/fig-top-jardin-1.png" id="612" name="Picture"/>
                          <pic:cNvPicPr>
                            <a:picLocks noChangeArrowheads="1" noChangeAspect="1"/>
                          </pic:cNvPicPr>
                        </pic:nvPicPr>
                        <pic:blipFill>
                          <a:blip r:embed="rId610"/>
                          <a:stretch>
                            <a:fillRect/>
                          </a:stretch>
                        </pic:blipFill>
                        <pic:spPr bwMode="auto">
                          <a:xfrm>
                            <a:off x="0" y="0"/>
                            <a:ext cx="5969000" cy="2984500"/>
                          </a:xfrm>
                          <a:prstGeom prst="rect">
                            <a:avLst/>
                          </a:prstGeom>
                          <a:noFill/>
                          <a:ln w="9525">
                            <a:noFill/>
                            <a:headEnd/>
                            <a:tailEnd/>
                          </a:ln>
                        </pic:spPr>
                      </pic:pic>
                    </a:graphicData>
                  </a:graphic>
                </wp:inline>
              </w:drawing>
            </w:r>
          </w:p>
          <w:bookmarkEnd w:id="613"/>
        </w:tc>
      </w:tr>
    </w:tbl>
    <w:bookmarkEnd w:id="614"/>
    <w:bookmarkStart w:id="623"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618" w:name="fig-pratique-foret"/>
          <w:p>
            <w:pPr>
              <w:jc w:val="center"/>
            </w:pPr>
            <w:pPr>
              <w:jc w:val="left"/>
              <w:spacing w:before="200"/>
              <w:pStyle w:val="ImageCaption"/>
            </w:pPr>
            <w:r>
              <w:t xml:space="preserve">Figure 5.18: Part des ménages pratiquant l’exploitation forestière</w:t>
            </w:r>
          </w:p>
          <w:p>
            <w:pPr>
              <w:pStyle w:val="Compact"/>
              <w:jc w:val="center"/>
            </w:pPr>
            <w:r>
              <w:drawing>
                <wp:inline>
                  <wp:extent cx="5969000" cy="4263571"/>
                  <wp:effectExtent b="0" l="0" r="0" t="0"/>
                  <wp:docPr descr="" title="" id="616" name="Picture"/>
                  <a:graphic>
                    <a:graphicData uri="http://schemas.openxmlformats.org/drawingml/2006/picture">
                      <pic:pic>
                        <pic:nvPicPr>
                          <pic:cNvPr descr="05_agriculture_files/figure-docx/fig-pratique-foret-1.png" id="617" name="Picture"/>
                          <pic:cNvPicPr>
                            <a:picLocks noChangeArrowheads="1" noChangeAspect="1"/>
                          </pic:cNvPicPr>
                        </pic:nvPicPr>
                        <pic:blipFill>
                          <a:blip r:embed="rId615"/>
                          <a:stretch>
                            <a:fillRect/>
                          </a:stretch>
                        </pic:blipFill>
                        <pic:spPr bwMode="auto">
                          <a:xfrm>
                            <a:off x="0" y="0"/>
                            <a:ext cx="5969000" cy="4263571"/>
                          </a:xfrm>
                          <a:prstGeom prst="rect">
                            <a:avLst/>
                          </a:prstGeom>
                          <a:noFill/>
                          <a:ln w="9525">
                            <a:noFill/>
                            <a:headEnd/>
                            <a:tailEnd/>
                          </a:ln>
                        </pic:spPr>
                      </pic:pic>
                    </a:graphicData>
                  </a:graphic>
                </wp:inline>
              </w:drawing>
            </w:r>
          </w:p>
          <w:bookmarkEnd w:id="618"/>
        </w:tc>
      </w:tr>
    </w:tbl>
    <w:p>
      <w:pPr>
        <w:pStyle w:val="Corpsdetexte"/>
      </w:pPr>
      <w:r>
        <w:t xml:space="preserve">A Alaotra, parmi les ménages pratiquant l’exploitation forestière, les principaux produits sont très largement dominés par le</w:t>
      </w:r>
      <w:r>
        <w:t xml:space="preserve"> </w:t>
      </w:r>
      <w:r>
        <w:rPr>
          <w:b/>
          <w:bCs/>
        </w:rPr>
        <w:t xml:space="preserve">kitay</w:t>
      </w:r>
      <w:r>
        <w:t xml:space="preserve">, cité par 99.6 % d’entre eux. Le</w:t>
      </w:r>
      <w:r>
        <w:t xml:space="preserve"> </w:t>
      </w:r>
      <w:r>
        <w:rPr>
          <w:b/>
          <w:bCs/>
        </w:rPr>
        <w:t xml:space="preserve">saribao</w:t>
      </w:r>
      <w:r>
        <w:t xml:space="preserve"> </w:t>
      </w:r>
      <w:r>
        <w:t xml:space="preserve">est également presque systématiquement exploité, avec une proportion de 98.9 %, tandis que le</w:t>
      </w:r>
      <w:r>
        <w:t xml:space="preserve"> </w:t>
      </w:r>
      <w:r>
        <w:rPr>
          <w:b/>
          <w:bCs/>
        </w:rPr>
        <w:t xml:space="preserve">hazo afok’ampy</w:t>
      </w:r>
      <w:r>
        <w:t xml:space="preserve"> </w:t>
      </w:r>
      <w:r>
        <w:t xml:space="preserve">concerne 94.6 % de ces ménages. En revanche, le</w:t>
      </w:r>
      <w:r>
        <w:t xml:space="preserve"> </w:t>
      </w:r>
      <w:r>
        <w:rPr>
          <w:b/>
          <w:bCs/>
        </w:rPr>
        <w:t xml:space="preserve">hazo ampiasaina</w:t>
      </w:r>
      <w:r>
        <w:t xml:space="preserve"> </w:t>
      </w:r>
      <w:r>
        <w:t xml:space="preserve">reste très peu mentionné, avec seulement 2.9 % des ménages concernés. Ces résultats montrent que l’exploitation forestière dans cet observatoire repose essentiellement sur quelques produits largement répandus parmi les ménages exploitants.</w:t>
      </w:r>
    </w:p>
    <w:p>
      <w:pPr>
        <w:pStyle w:val="Corpsdetexte"/>
      </w:pPr>
      <w:r>
        <w:t xml:space="preserve">A Marovoay, parmi les ménages pratiquant l’exploitation forestière, le</w:t>
      </w:r>
      <w:r>
        <w:t xml:space="preserve"> </w:t>
      </w:r>
      <w:r>
        <w:rPr>
          <w:b/>
          <w:bCs/>
        </w:rPr>
        <w:t xml:space="preserve">kitay</w:t>
      </w:r>
      <w:r>
        <w:t xml:space="preserve"> </w:t>
      </w:r>
      <w:r>
        <w:t xml:space="preserve">constitue aussi le principal produit, utilisé par 99.5 % d’entre eux. Le</w:t>
      </w:r>
      <w:r>
        <w:t xml:space="preserve"> </w:t>
      </w:r>
      <w:r>
        <w:rPr>
          <w:b/>
          <w:bCs/>
        </w:rPr>
        <w:t xml:space="preserve">saribao</w:t>
      </w:r>
      <w:r>
        <w:t xml:space="preserve"> </w:t>
      </w:r>
      <w:r>
        <w:t xml:space="preserve">occupe une place tout aussi importante avec 98.9 %, alors que le</w:t>
      </w:r>
      <w:r>
        <w:t xml:space="preserve"> </w:t>
      </w:r>
      <w:r>
        <w:rPr>
          <w:b/>
          <w:bCs/>
        </w:rPr>
        <w:t xml:space="preserve">hazo afok’ampy</w:t>
      </w:r>
      <w:r>
        <w:t xml:space="preserve"> </w:t>
      </w:r>
      <w:r>
        <w:t xml:space="preserve">est mentionné par 89.9 % de ces ménages. Le</w:t>
      </w:r>
      <w:r>
        <w:t xml:space="preserve"> </w:t>
      </w:r>
      <w:r>
        <w:rPr>
          <w:b/>
          <w:bCs/>
        </w:rPr>
        <w:t xml:space="preserve">hazo ampiasaina</w:t>
      </w:r>
      <w:r>
        <w:t xml:space="preserve"> </w:t>
      </w:r>
      <w:r>
        <w:t xml:space="preserve">demeure marginal, avec une fréquence de seulement 6.4 %. L’exploitation forestière dans cet observatoire se caractérise ainsi par une forte concentration autour des produits énergétiques et du bois de chauffage.</w:t>
      </w:r>
    </w:p>
    <w:tbl>
      <w:tblPr>
        <w:tblStyle w:val="Table"/>
        <w:tblW w:type="pct" w:w="5000"/>
        <w:tblLayout w:type="fixed"/>
        <w:tblLook w:firstRow="0" w:lastRow="0" w:firstColumn="0" w:lastColumn="0" w:noHBand="0" w:noVBand="0" w:val="0000"/>
      </w:tblPr>
      <w:tblGrid>
        <w:gridCol w:w="7920"/>
      </w:tblGrid>
      <w:tr>
        <w:tc>
          <w:tcPr/>
          <w:bookmarkStart w:id="622" w:name="fig-produits-foret"/>
          <w:p>
            <w:pPr>
              <w:jc w:val="center"/>
            </w:pPr>
            <w:pPr>
              <w:jc w:val="left"/>
              <w:spacing w:before="200"/>
              <w:pStyle w:val="ImageCaption"/>
            </w:pPr>
            <w:r>
              <w:t xml:space="preserve">Figure 5.19: Principaux produits de l’exploitation forestière (% des ménages pratiquant l’exploitation forestière)</w:t>
            </w:r>
          </w:p>
          <w:p>
            <w:pPr>
              <w:pStyle w:val="Compact"/>
              <w:jc w:val="center"/>
            </w:pPr>
            <w:r>
              <w:drawing>
                <wp:inline>
                  <wp:extent cx="5969000" cy="1492250"/>
                  <wp:effectExtent b="0" l="0" r="0" t="0"/>
                  <wp:docPr descr="" title="" id="620" name="Picture"/>
                  <a:graphic>
                    <a:graphicData uri="http://schemas.openxmlformats.org/drawingml/2006/picture">
                      <pic:pic>
                        <pic:nvPicPr>
                          <pic:cNvPr descr="05_agriculture_files/figure-docx/fig-produits-foret-1.png" id="621" name="Picture"/>
                          <pic:cNvPicPr>
                            <a:picLocks noChangeArrowheads="1" noChangeAspect="1"/>
                          </pic:cNvPicPr>
                        </pic:nvPicPr>
                        <pic:blipFill>
                          <a:blip r:embed="rId619"/>
                          <a:stretch>
                            <a:fillRect/>
                          </a:stretch>
                        </pic:blipFill>
                        <pic:spPr bwMode="auto">
                          <a:xfrm>
                            <a:off x="0" y="0"/>
                            <a:ext cx="5969000" cy="1492250"/>
                          </a:xfrm>
                          <a:prstGeom prst="rect">
                            <a:avLst/>
                          </a:prstGeom>
                          <a:noFill/>
                          <a:ln w="9525">
                            <a:noFill/>
                            <a:headEnd/>
                            <a:tailEnd/>
                          </a:ln>
                        </pic:spPr>
                      </pic:pic>
                    </a:graphicData>
                  </a:graphic>
                </wp:inline>
              </w:drawing>
            </w:r>
          </w:p>
          <w:bookmarkEnd w:id="622"/>
        </w:tc>
      </w:tr>
    </w:tbl>
    <w:bookmarkEnd w:id="623"/>
    <w:bookmarkEnd w:id="624"/>
    <w:bookmarkStart w:id="647" w:name="sec-elevage"/>
    <w:p>
      <w:pPr>
        <w:pStyle w:val="Titre2"/>
      </w:pPr>
      <w:r>
        <w:t xml:space="preserve">5.2 Élevage</w:t>
      </w:r>
    </w:p>
    <w:bookmarkStart w:id="626"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625" w:name="tbl-elevage-pratique"/>
          <w:p>
            <w:pPr>
              <w:jc w:val="center"/>
            </w:pPr>
            <w:pPr>
              <w:jc w:val="left"/>
              <w:spacing w:before="200"/>
              <w:pStyle w:val="ImageCaption"/>
            </w:pPr>
            <w:r>
              <w:t xml:space="preserve">Table 5.4: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625"/>
          <w:p/>
        </w:tc>
      </w:tr>
    </w:tbl>
    <w:bookmarkEnd w:id="626"/>
    <w:bookmarkStart w:id="631"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l’espèce la plus fréquemment élevée parmi les ménages pratiquant l’élevage est l’</w:t>
      </w:r>
      <w:r>
        <w:rPr>
          <w:b/>
          <w:bCs/>
        </w:rPr>
        <w:t xml:space="preserve">akoho</w:t>
      </w:r>
      <w:r>
        <w:t xml:space="preserve">, présente chez 69.2 % d’entre eux. Les</w:t>
      </w:r>
      <w:r>
        <w:t xml:space="preserve"> </w:t>
      </w:r>
      <w:r>
        <w:rPr>
          <w:b/>
          <w:bCs/>
        </w:rPr>
        <w:t xml:space="preserve">kisoa</w:t>
      </w:r>
      <w:r>
        <w:t xml:space="preserve"> </w:t>
      </w:r>
      <w:r>
        <w:t xml:space="preserve">arrivent ensuite avec 29.6 %, suivis des</w:t>
      </w:r>
      <w:r>
        <w:t xml:space="preserve"> </w:t>
      </w:r>
      <w:r>
        <w:rPr>
          <w:b/>
          <w:bCs/>
        </w:rPr>
        <w:t xml:space="preserve">gisa</w:t>
      </w:r>
      <w:r>
        <w:t xml:space="preserve"> </w:t>
      </w:r>
      <w:r>
        <w:t xml:space="preserve">(22.4 %) et des</w:t>
      </w:r>
      <w:r>
        <w:t xml:space="preserve"> </w:t>
      </w:r>
      <w:r>
        <w:rPr>
          <w:b/>
          <w:bCs/>
        </w:rPr>
        <w:t xml:space="preserve">gana</w:t>
      </w:r>
      <w:r>
        <w:t xml:space="preserve"> </w:t>
      </w:r>
      <w:r>
        <w:t xml:space="preserve">(16.9 %). Les bovins restent moins répandus, avec 14.8 % pour les</w:t>
      </w:r>
      <w:r>
        <w:t xml:space="preserve"> </w:t>
      </w:r>
      <w:r>
        <w:rPr>
          <w:b/>
          <w:bCs/>
        </w:rPr>
        <w:t xml:space="preserve">omby miasa</w:t>
      </w:r>
      <w:r>
        <w:t xml:space="preserve">, 11.8 % pour les</w:t>
      </w:r>
      <w:r>
        <w:t xml:space="preserve"> </w:t>
      </w:r>
      <w:r>
        <w:rPr>
          <w:b/>
          <w:bCs/>
        </w:rPr>
        <w:t xml:space="preserve">omby vavy</w:t>
      </w:r>
      <w:r>
        <w:t xml:space="preserve"> </w:t>
      </w:r>
      <w:r>
        <w:t xml:space="preserve">et 7.3 % pour les</w:t>
      </w:r>
      <w:r>
        <w:t xml:space="preserve"> </w:t>
      </w:r>
      <w:r>
        <w:rPr>
          <w:b/>
          <w:bCs/>
        </w:rPr>
        <w:t xml:space="preserve">omby hafa</w:t>
      </w:r>
      <w:r>
        <w:t xml:space="preserve">. Les</w:t>
      </w:r>
      <w:r>
        <w:t xml:space="preserve"> </w:t>
      </w:r>
      <w:r>
        <w:rPr>
          <w:b/>
          <w:bCs/>
        </w:rPr>
        <w:t xml:space="preserve">ondry</w:t>
      </w:r>
      <w:r>
        <w:t xml:space="preserve"> </w:t>
      </w:r>
      <w:r>
        <w:t xml:space="preserve">concernent 4.8 % des ménages pratiquants, tandis que le</w:t>
      </w:r>
      <w:r>
        <w:t xml:space="preserve"> </w:t>
      </w:r>
      <w:r>
        <w:rPr>
          <w:b/>
          <w:bCs/>
        </w:rPr>
        <w:t xml:space="preserve">voron-tsiloza</w:t>
      </w:r>
      <w:r>
        <w:t xml:space="preserve"> </w:t>
      </w:r>
      <w:r>
        <w:t xml:space="preserve">demeure marginal avec 1.2 %. Les</w:t>
      </w:r>
      <w:r>
        <w:t xml:space="preserve"> </w:t>
      </w:r>
      <w:r>
        <w:rPr>
          <w:b/>
          <w:bCs/>
        </w:rPr>
        <w:t xml:space="preserve">osy</w:t>
      </w:r>
      <w:r>
        <w:t xml:space="preserve"> </w:t>
      </w:r>
      <w:r>
        <w:t xml:space="preserve">et le</w:t>
      </w:r>
      <w:r>
        <w:t xml:space="preserve"> </w:t>
      </w:r>
      <w:r>
        <w:rPr>
          <w:b/>
          <w:bCs/>
        </w:rPr>
        <w:t xml:space="preserve">trondro</w:t>
      </w:r>
      <w:r>
        <w:t xml:space="preserve"> </w:t>
      </w:r>
      <w:r>
        <w:t xml:space="preserve">sont absents des déclarations dans cet observatoire.</w:t>
      </w:r>
    </w:p>
    <w:p>
      <w:pPr>
        <w:pStyle w:val="Corpsdetexte"/>
      </w:pPr>
      <w:r>
        <w:t xml:space="preserve">A Marovoay, l’</w:t>
      </w:r>
      <w:r>
        <w:rPr>
          <w:b/>
          <w:bCs/>
        </w:rPr>
        <w:t xml:space="preserve">akoho</w:t>
      </w:r>
      <w:r>
        <w:t xml:space="preserve"> </w:t>
      </w:r>
      <w:r>
        <w:t xml:space="preserve">est également l’espèce la plus fréquemment élevée parmi les ménages pratiquants, avec 53.5 %. Les</w:t>
      </w:r>
      <w:r>
        <w:t xml:space="preserve"> </w:t>
      </w:r>
      <w:r>
        <w:rPr>
          <w:b/>
          <w:bCs/>
        </w:rPr>
        <w:t xml:space="preserve">gana</w:t>
      </w:r>
      <w:r>
        <w:t xml:space="preserve"> </w:t>
      </w:r>
      <w:r>
        <w:t xml:space="preserve">occupent la deuxième position avec 44.7 %, suivis des</w:t>
      </w:r>
      <w:r>
        <w:t xml:space="preserve"> </w:t>
      </w:r>
      <w:r>
        <w:rPr>
          <w:b/>
          <w:bCs/>
        </w:rPr>
        <w:t xml:space="preserve">omby miasa</w:t>
      </w:r>
      <w:r>
        <w:t xml:space="preserve"> </w:t>
      </w:r>
      <w:r>
        <w:t xml:space="preserve">(36.1 %) et des</w:t>
      </w:r>
      <w:r>
        <w:t xml:space="preserve"> </w:t>
      </w:r>
      <w:r>
        <w:rPr>
          <w:b/>
          <w:bCs/>
        </w:rPr>
        <w:t xml:space="preserve">kisoa</w:t>
      </w:r>
      <w:r>
        <w:t xml:space="preserve"> </w:t>
      </w:r>
      <w:r>
        <w:t xml:space="preserve">(27.3 %). Les</w:t>
      </w:r>
      <w:r>
        <w:t xml:space="preserve"> </w:t>
      </w:r>
      <w:r>
        <w:rPr>
          <w:b/>
          <w:bCs/>
        </w:rPr>
        <w:t xml:space="preserve">omby vavy</w:t>
      </w:r>
      <w:r>
        <w:t xml:space="preserve"> </w:t>
      </w:r>
      <w:r>
        <w:t xml:space="preserve">concernent 19.0 % des ménages pratiquants, tandis que les</w:t>
      </w:r>
      <w:r>
        <w:t xml:space="preserve"> </w:t>
      </w:r>
      <w:r>
        <w:rPr>
          <w:b/>
          <w:bCs/>
        </w:rPr>
        <w:t xml:space="preserve">omby hafa</w:t>
      </w:r>
      <w:r>
        <w:t xml:space="preserve"> </w:t>
      </w:r>
      <w:r>
        <w:t xml:space="preserve">représentent 12.8 % et les</w:t>
      </w:r>
      <w:r>
        <w:t xml:space="preserve"> </w:t>
      </w:r>
      <w:r>
        <w:rPr>
          <w:b/>
          <w:bCs/>
        </w:rPr>
        <w:t xml:space="preserve">ondry</w:t>
      </w:r>
      <w:r>
        <w:t xml:space="preserve"> </w:t>
      </w:r>
      <w:r>
        <w:t xml:space="preserve">7.5 %. Les autres espèces restent marginales, notamment les</w:t>
      </w:r>
      <w:r>
        <w:t xml:space="preserve"> </w:t>
      </w:r>
      <w:r>
        <w:rPr>
          <w:b/>
          <w:bCs/>
        </w:rPr>
        <w:t xml:space="preserve">gisa</w:t>
      </w:r>
      <w:r>
        <w:t xml:space="preserve"> </w:t>
      </w:r>
      <w:r>
        <w:t xml:space="preserve">(2.4 %), les</w:t>
      </w:r>
      <w:r>
        <w:t xml:space="preserve"> </w:t>
      </w:r>
      <w:r>
        <w:rPr>
          <w:b/>
          <w:bCs/>
        </w:rPr>
        <w:t xml:space="preserve">voron-tsiloza</w:t>
      </w:r>
      <w:r>
        <w:t xml:space="preserve"> </w:t>
      </w:r>
      <w:r>
        <w:t xml:space="preserve">(2.1 %) et les</w:t>
      </w:r>
      <w:r>
        <w:t xml:space="preserve"> </w:t>
      </w:r>
      <w:r>
        <w:rPr>
          <w:b/>
          <w:bCs/>
        </w:rPr>
        <w:t xml:space="preserve">osy</w:t>
      </w:r>
      <w:r>
        <w:t xml:space="preserve"> </w:t>
      </w:r>
      <w:r>
        <w:t xml:space="preserve">(1.3 %). Le</w:t>
      </w:r>
      <w:r>
        <w:t xml:space="preserve"> </w:t>
      </w:r>
      <w:r>
        <w:rPr>
          <w:b/>
          <w:bCs/>
        </w:rPr>
        <w:t xml:space="preserve">trondro</w:t>
      </w:r>
      <w:r>
        <w:t xml:space="preserve"> </w:t>
      </w:r>
      <w:r>
        <w:t xml:space="preserve">n’est pas déclaré dans cet observatoire.</w:t>
      </w:r>
    </w:p>
    <w:tbl>
      <w:tblPr>
        <w:tblStyle w:val="Table"/>
        <w:tblW w:type="pct" w:w="5000"/>
        <w:tblLayout w:type="fixed"/>
        <w:tblLook w:firstRow="0" w:lastRow="0" w:firstColumn="0" w:lastColumn="0" w:noHBand="0" w:noVBand="0" w:val="0000"/>
      </w:tblPr>
      <w:tblGrid>
        <w:gridCol w:w="7920"/>
      </w:tblGrid>
      <w:tr>
        <w:tc>
          <w:tcPr/>
          <w:bookmarkStart w:id="630" w:name="fig-especes-elevage"/>
          <w:p>
            <w:pPr>
              <w:jc w:val="center"/>
            </w:pPr>
            <w:pPr>
              <w:jc w:val="left"/>
              <w:spacing w:before="200"/>
              <w:pStyle w:val="ImageCaption"/>
            </w:pPr>
            <w:r>
              <w:t xml:space="preserve">Figure 5.20: Espèces élevées (% des ménages pratiquant)</w:t>
            </w:r>
          </w:p>
          <w:p>
            <w:pPr>
              <w:pStyle w:val="Compact"/>
              <w:jc w:val="center"/>
            </w:pPr>
            <w:r>
              <w:drawing>
                <wp:inline>
                  <wp:extent cx="5969000" cy="1865312"/>
                  <wp:effectExtent b="0" l="0" r="0" t="0"/>
                  <wp:docPr descr="" title="" id="628" name="Picture"/>
                  <a:graphic>
                    <a:graphicData uri="http://schemas.openxmlformats.org/drawingml/2006/picture">
                      <pic:pic>
                        <pic:nvPicPr>
                          <pic:cNvPr descr="05_agriculture_files/figure-docx/fig-especes-elevage-1.png" id="629" name="Picture"/>
                          <pic:cNvPicPr>
                            <a:picLocks noChangeArrowheads="1" noChangeAspect="1"/>
                          </pic:cNvPicPr>
                        </pic:nvPicPr>
                        <pic:blipFill>
                          <a:blip r:embed="rId627"/>
                          <a:stretch>
                            <a:fillRect/>
                          </a:stretch>
                        </pic:blipFill>
                        <pic:spPr bwMode="auto">
                          <a:xfrm>
                            <a:off x="0" y="0"/>
                            <a:ext cx="5969000" cy="1865312"/>
                          </a:xfrm>
                          <a:prstGeom prst="rect">
                            <a:avLst/>
                          </a:prstGeom>
                          <a:noFill/>
                          <a:ln w="9525">
                            <a:noFill/>
                            <a:headEnd/>
                            <a:tailEnd/>
                          </a:ln>
                        </pic:spPr>
                      </pic:pic>
                    </a:graphicData>
                  </a:graphic>
                </wp:inline>
              </w:drawing>
            </w:r>
          </w:p>
          <w:bookmarkEnd w:id="630"/>
        </w:tc>
      </w:tr>
    </w:tbl>
    <w:bookmarkEnd w:id="631"/>
    <w:bookmarkStart w:id="636"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p>
      <w:pPr>
        <w:pStyle w:val="Corpsdetexte"/>
      </w:pPr>
      <w:r>
        <w:t xml:space="preserve">L’épargne/assurance est le motif principal pour les bovidés, tandis que la vente domine pour les porcs et la consommation pour la volaille.</w:t>
      </w:r>
    </w:p>
    <w:p>
      <w:pPr>
        <w:pStyle w:val="Corpsdetexte"/>
      </w:pPr>
      <w:r>
        <w:t xml:space="preserve">L’épargne/assurance est la modalité qui présente globalement les proportions les plus élevées dans la majorité des observatoires. Elle dépasse souvent 50.0 % des ménages éleveurs et atteint même plus de 80.0 % à Omby Hafa (83.4 %), Omby Miasa (81.0 %) et Omby Vavy (79.8 %). Cela montre que cette fonction constitue l’objectif prioritaire de l’élevage pour la plupart des ménages.</w:t>
      </w:r>
    </w:p>
    <w:p>
      <w:pPr>
        <w:pStyle w:val="Corpsdetexte"/>
      </w:pPr>
      <w:r>
        <w:t xml:space="preserve">La vente occupe généralement la deuxième position. Les proportions varient entre 13.9 % et 41.0 %, avec les valeurs les plus fortes observées à Kisoa (41.0 %), Gisa (39.8 %) et Osy (38.7 %). Cette modalité reste donc importante, mais elle demeure inférieure à l’épargne/assurance dans la plupart des cas.</w:t>
      </w:r>
    </w:p>
    <w:p>
      <w:pPr>
        <w:pStyle w:val="Corpsdetexte"/>
      </w:pPr>
      <w:r>
        <w:t xml:space="preserve">L’autoconsommation représente enfin la modalité la moins importante dans presque tous les observatoires. Les proportions sont souvent inférieures à 10.0 %, notamment à Kisoa et Omby Hafa (2.7 %). Les niveaux les plus élevés sont enregistrés à Gisa (25.1 %) et Akobo (25.0 %), mais cette modalité reste globalement secondaire par rapport aux deux autres objectifs.</w:t>
      </w:r>
    </w:p>
    <w:tbl>
      <w:tblPr>
        <w:tblStyle w:val="Table"/>
        <w:tblW w:type="pct" w:w="5000"/>
        <w:tblLayout w:type="fixed"/>
        <w:tblLook w:firstRow="0" w:lastRow="0" w:firstColumn="0" w:lastColumn="0" w:noHBand="0" w:noVBand="0" w:val="0000"/>
      </w:tblPr>
      <w:tblGrid>
        <w:gridCol w:w="7920"/>
      </w:tblGrid>
      <w:tr>
        <w:tc>
          <w:tcPr/>
          <w:bookmarkStart w:id="635" w:name="fig-objectifs-elevage"/>
          <w:p>
            <w:pPr>
              <w:jc w:val="center"/>
            </w:pPr>
            <w:pPr>
              <w:jc w:val="left"/>
              <w:spacing w:before="200"/>
              <w:pStyle w:val="ImageCaption"/>
            </w:pPr>
            <w:r>
              <w:t xml:space="preserve">Figure 5.21: Objectifs de l’élevage par espèce (% des ménages éleveurs)</w:t>
            </w:r>
          </w:p>
          <w:p>
            <w:pPr>
              <w:pStyle w:val="Compact"/>
              <w:jc w:val="center"/>
            </w:pPr>
            <w:r>
              <w:drawing>
                <wp:inline>
                  <wp:extent cx="5969000" cy="1865312"/>
                  <wp:effectExtent b="0" l="0" r="0" t="0"/>
                  <wp:docPr descr="" title="" id="633" name="Picture"/>
                  <a:graphic>
                    <a:graphicData uri="http://schemas.openxmlformats.org/drawingml/2006/picture">
                      <pic:pic>
                        <pic:nvPicPr>
                          <pic:cNvPr descr="05_agriculture_files/figure-docx/fig-objectifs-elevage-1.png" id="634" name="Picture"/>
                          <pic:cNvPicPr>
                            <a:picLocks noChangeArrowheads="1" noChangeAspect="1"/>
                          </pic:cNvPicPr>
                        </pic:nvPicPr>
                        <pic:blipFill>
                          <a:blip r:embed="rId632"/>
                          <a:stretch>
                            <a:fillRect/>
                          </a:stretch>
                        </pic:blipFill>
                        <pic:spPr bwMode="auto">
                          <a:xfrm>
                            <a:off x="0" y="0"/>
                            <a:ext cx="5969000" cy="1865312"/>
                          </a:xfrm>
                          <a:prstGeom prst="rect">
                            <a:avLst/>
                          </a:prstGeom>
                          <a:noFill/>
                          <a:ln w="9525">
                            <a:noFill/>
                            <a:headEnd/>
                            <a:tailEnd/>
                          </a:ln>
                        </pic:spPr>
                      </pic:pic>
                    </a:graphicData>
                  </a:graphic>
                </wp:inline>
              </w:drawing>
            </w:r>
          </w:p>
          <w:bookmarkEnd w:id="635"/>
        </w:tc>
      </w:tr>
    </w:tbl>
    <w:bookmarkEnd w:id="636"/>
    <w:bookmarkStart w:id="642"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ventes concernent principalement les</w:t>
      </w:r>
      <w:r>
        <w:t xml:space="preserve"> </w:t>
      </w:r>
      <w:r>
        <w:rPr>
          <w:b/>
          <w:bCs/>
        </w:rPr>
        <w:t xml:space="preserve">Gisa</w:t>
      </w:r>
      <w:r>
        <w:t xml:space="preserve">, avec 269 animaux vendus pour une valeur totale d’environ 89,771 Ar. Les</w:t>
      </w:r>
      <w:r>
        <w:t xml:space="preserve"> </w:t>
      </w:r>
      <w:r>
        <w:rPr>
          <w:b/>
          <w:bCs/>
        </w:rPr>
        <w:t xml:space="preserve">Akoho</w:t>
      </w:r>
      <w:r>
        <w:t xml:space="preserve"> </w:t>
      </w:r>
      <w:r>
        <w:t xml:space="preserve">occupent la deuxième position avec 948 animaux vendus et une valeur de 22,055 Ar, suivis des</w:t>
      </w:r>
      <w:r>
        <w:t xml:space="preserve"> </w:t>
      </w:r>
      <w:r>
        <w:rPr>
          <w:b/>
          <w:bCs/>
        </w:rPr>
        <w:t xml:space="preserve">Kisoa</w:t>
      </w:r>
      <w:r>
        <w:t xml:space="preserve"> </w:t>
      </w:r>
      <w:r>
        <w:t xml:space="preserve">avec 80 animaux et 25,625 Ar. Les</w:t>
      </w:r>
      <w:r>
        <w:t xml:space="preserve"> </w:t>
      </w:r>
      <w:r>
        <w:rPr>
          <w:b/>
          <w:bCs/>
        </w:rPr>
        <w:t xml:space="preserve">Gana</w:t>
      </w:r>
      <w:r>
        <w:t xml:space="preserve"> </w:t>
      </w:r>
      <w:r>
        <w:t xml:space="preserve">représentent 341 animaux vendus pour une valeur de 6,763 Ar. Les autres espèces enregistrent des niveaux plus faibles, notamment les</w:t>
      </w:r>
      <w:r>
        <w:t xml:space="preserve"> </w:t>
      </w:r>
      <w:r>
        <w:rPr>
          <w:b/>
          <w:bCs/>
        </w:rPr>
        <w:t xml:space="preserve">Ondry</w:t>
      </w:r>
      <w:r>
        <w:t xml:space="preserve"> </w:t>
      </w:r>
      <w:r>
        <w:t xml:space="preserve">avec 33 animaux et 3,936 Ar, les</w:t>
      </w:r>
      <w:r>
        <w:t xml:space="preserve"> </w:t>
      </w:r>
      <w:r>
        <w:rPr>
          <w:b/>
          <w:bCs/>
        </w:rPr>
        <w:t xml:space="preserve">Omby Miasa</w:t>
      </w:r>
      <w:r>
        <w:t xml:space="preserve"> </w:t>
      </w:r>
      <w:r>
        <w:t xml:space="preserve">avec 7 animaux et 9,930 Ar, les</w:t>
      </w:r>
      <w:r>
        <w:t xml:space="preserve"> </w:t>
      </w:r>
      <w:r>
        <w:rPr>
          <w:b/>
          <w:bCs/>
        </w:rPr>
        <w:t xml:space="preserve">Omby Vavy</w:t>
      </w:r>
      <w:r>
        <w:t xml:space="preserve"> </w:t>
      </w:r>
      <w:r>
        <w:t xml:space="preserve">avec 3 animaux et 2,580 Ar, les</w:t>
      </w:r>
      <w:r>
        <w:t xml:space="preserve"> </w:t>
      </w:r>
      <w:r>
        <w:rPr>
          <w:b/>
          <w:bCs/>
        </w:rPr>
        <w:t xml:space="preserve">Omby Hafa</w:t>
      </w:r>
      <w:r>
        <w:t xml:space="preserve"> </w:t>
      </w:r>
      <w:r>
        <w:t xml:space="preserve">avec 2 animaux et 1,550 Ar, ainsi que les</w:t>
      </w:r>
      <w:r>
        <w:t xml:space="preserve"> </w:t>
      </w:r>
      <w:r>
        <w:rPr>
          <w:b/>
          <w:bCs/>
        </w:rPr>
        <w:t xml:space="preserve">Voron-Tsilozà</w:t>
      </w:r>
      <w:r>
        <w:t xml:space="preserve"> </w:t>
      </w:r>
      <w:r>
        <w:t xml:space="preserve">avec 25 animaux et 1,875 Ar. Les transactions sont particulièrement nombreuses pour les</w:t>
      </w:r>
      <w:r>
        <w:t xml:space="preserve"> </w:t>
      </w:r>
      <w:r>
        <w:rPr>
          <w:b/>
          <w:bCs/>
        </w:rPr>
        <w:t xml:space="preserve">Akoho</w:t>
      </w:r>
      <w:r>
        <w:t xml:space="preserve"> </w:t>
      </w:r>
      <w:r>
        <w:t xml:space="preserve">avec 112 transactions, suivis des</w:t>
      </w:r>
      <w:r>
        <w:t xml:space="preserve"> </w:t>
      </w:r>
      <w:r>
        <w:rPr>
          <w:b/>
          <w:bCs/>
        </w:rPr>
        <w:t xml:space="preserve">Kisoa</w:t>
      </w:r>
      <w:r>
        <w:t xml:space="preserve"> </w:t>
      </w:r>
      <w:r>
        <w:t xml:space="preserve">avec 50 transactions et des</w:t>
      </w:r>
      <w:r>
        <w:t xml:space="preserve"> </w:t>
      </w:r>
      <w:r>
        <w:rPr>
          <w:b/>
          <w:bCs/>
        </w:rPr>
        <w:t xml:space="preserve">Gisa</w:t>
      </w:r>
      <w:r>
        <w:t xml:space="preserve"> </w:t>
      </w:r>
      <w:r>
        <w:t xml:space="preserve">avec 29 transactions.</w:t>
      </w:r>
    </w:p>
    <w:p>
      <w:pPr>
        <w:pStyle w:val="Corpsdetexte"/>
      </w:pPr>
      <w:r>
        <w:t xml:space="preserve">A Marovoay, les ventes sont dominées par les</w:t>
      </w:r>
      <w:r>
        <w:t xml:space="preserve"> </w:t>
      </w:r>
      <w:r>
        <w:rPr>
          <w:b/>
          <w:bCs/>
        </w:rPr>
        <w:t xml:space="preserve">Gana</w:t>
      </w:r>
      <w:r>
        <w:t xml:space="preserve"> </w:t>
      </w:r>
      <w:r>
        <w:t xml:space="preserve">avec 1,319 animaux vendus pour une valeur totale de 19,398 Ar. Les</w:t>
      </w:r>
      <w:r>
        <w:t xml:space="preserve"> </w:t>
      </w:r>
      <w:r>
        <w:rPr>
          <w:b/>
          <w:bCs/>
        </w:rPr>
        <w:t xml:space="preserve">Akoho</w:t>
      </w:r>
      <w:r>
        <w:t xml:space="preserve"> </w:t>
      </w:r>
      <w:r>
        <w:t xml:space="preserve">arrivent ensuite avec 778 animaux et 60,200 Ar, tandis que les</w:t>
      </w:r>
      <w:r>
        <w:t xml:space="preserve"> </w:t>
      </w:r>
      <w:r>
        <w:rPr>
          <w:b/>
          <w:bCs/>
        </w:rPr>
        <w:t xml:space="preserve">Kisoa</w:t>
      </w:r>
      <w:r>
        <w:t xml:space="preserve"> </w:t>
      </w:r>
      <w:r>
        <w:t xml:space="preserve">enregistrent 102 animaux vendus pour une valeur de 36,995 Ar. Les</w:t>
      </w:r>
      <w:r>
        <w:t xml:space="preserve"> </w:t>
      </w:r>
      <w:r>
        <w:rPr>
          <w:b/>
          <w:bCs/>
        </w:rPr>
        <w:t xml:space="preserve">Omby Miasa</w:t>
      </w:r>
      <w:r>
        <w:t xml:space="preserve"> </w:t>
      </w:r>
      <w:r>
        <w:t xml:space="preserve">représentent 37 animaux vendus pour 45,650 Ar. Les autres espèces affichent des niveaux plus réduits, notamment les</w:t>
      </w:r>
      <w:r>
        <w:t xml:space="preserve"> </w:t>
      </w:r>
      <w:r>
        <w:rPr>
          <w:b/>
          <w:bCs/>
        </w:rPr>
        <w:t xml:space="preserve">Ondry</w:t>
      </w:r>
      <w:r>
        <w:t xml:space="preserve"> </w:t>
      </w:r>
      <w:r>
        <w:t xml:space="preserve">avec 30 animaux et 3,080 Ar, les</w:t>
      </w:r>
      <w:r>
        <w:t xml:space="preserve"> </w:t>
      </w:r>
      <w:r>
        <w:rPr>
          <w:b/>
          <w:bCs/>
        </w:rPr>
        <w:t xml:space="preserve">Voron-Tsilozà</w:t>
      </w:r>
      <w:r>
        <w:t xml:space="preserve"> </w:t>
      </w:r>
      <w:r>
        <w:t xml:space="preserve">avec 34 animaux et 1,260 Ar, les</w:t>
      </w:r>
      <w:r>
        <w:t xml:space="preserve"> </w:t>
      </w:r>
      <w:r>
        <w:rPr>
          <w:b/>
          <w:bCs/>
        </w:rPr>
        <w:t xml:space="preserve">Omby Vavy</w:t>
      </w:r>
      <w:r>
        <w:t xml:space="preserve"> </w:t>
      </w:r>
      <w:r>
        <w:t xml:space="preserve">avec 11 animaux et 9,400 Ar, les</w:t>
      </w:r>
      <w:r>
        <w:t xml:space="preserve"> </w:t>
      </w:r>
      <w:r>
        <w:rPr>
          <w:b/>
          <w:bCs/>
        </w:rPr>
        <w:t xml:space="preserve">Osy</w:t>
      </w:r>
      <w:r>
        <w:t xml:space="preserve"> </w:t>
      </w:r>
      <w:r>
        <w:t xml:space="preserve">avec 10 animaux et 1,000 Ar, les</w:t>
      </w:r>
      <w:r>
        <w:t xml:space="preserve"> </w:t>
      </w:r>
      <w:r>
        <w:rPr>
          <w:b/>
          <w:bCs/>
        </w:rPr>
        <w:t xml:space="preserve">Omby Hafa</w:t>
      </w:r>
      <w:r>
        <w:t xml:space="preserve"> </w:t>
      </w:r>
      <w:r>
        <w:t xml:space="preserve">avec 5 animaux et 3,859 Ar, ainsi que les</w:t>
      </w:r>
      <w:r>
        <w:t xml:space="preserve"> </w:t>
      </w:r>
      <w:r>
        <w:rPr>
          <w:b/>
          <w:bCs/>
        </w:rPr>
        <w:t xml:space="preserve">Gisa</w:t>
      </w:r>
      <w:r>
        <w:t xml:space="preserve"> </w:t>
      </w:r>
      <w:r>
        <w:t xml:space="preserve">avec 10 animaux et seulement 290 Ar. En termes de transactions, les</w:t>
      </w:r>
      <w:r>
        <w:t xml:space="preserve"> </w:t>
      </w:r>
      <w:r>
        <w:rPr>
          <w:b/>
          <w:bCs/>
        </w:rPr>
        <w:t xml:space="preserve">Akoho</w:t>
      </w:r>
      <w:r>
        <w:t xml:space="preserve"> </w:t>
      </w:r>
      <w:r>
        <w:t xml:space="preserve">et les</w:t>
      </w:r>
      <w:r>
        <w:t xml:space="preserve"> </w:t>
      </w:r>
      <w:r>
        <w:rPr>
          <w:b/>
          <w:bCs/>
        </w:rPr>
        <w:t xml:space="preserve">Gana</w:t>
      </w:r>
      <w:r>
        <w:t xml:space="preserve"> </w:t>
      </w:r>
      <w:r>
        <w:t xml:space="preserve">se distinguent également avec respectivement 112 et 90 transactions, traduisant une activité commerciale particulièrement soutenue pour ces espèces.</w:t>
      </w:r>
    </w:p>
    <w:tbl>
      <w:tblPr>
        <w:tblStyle w:val="Table"/>
        <w:tblW w:type="pct" w:w="5000"/>
        <w:tblLayout w:type="fixed"/>
        <w:tblLook w:firstRow="0" w:lastRow="0" w:firstColumn="0" w:lastColumn="0" w:noHBand="0" w:noVBand="0" w:val="0000"/>
      </w:tblPr>
      <w:tblGrid>
        <w:gridCol w:w="7920"/>
      </w:tblGrid>
      <w:tr>
        <w:tc>
          <w:tcPr/>
          <w:bookmarkStart w:id="637" w:name="tbl-ventes-elevage"/>
          <w:p>
            <w:pPr>
              <w:jc w:val="center"/>
            </w:pPr>
            <w:pPr>
              <w:jc w:val="left"/>
              <w:spacing w:before="200"/>
              <w:pStyle w:val="ImageCaption"/>
            </w:pPr>
            <w:r>
              <w:t xml:space="preserve">Table 5.5: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637"/>
          <w:p/>
        </w:tc>
      </w:tr>
    </w:tbl>
    <w:p>
      <w:pPr>
        <w:pStyle w:val="Corpsdetexte"/>
      </w:pPr>
      <w:r>
        <w:t xml:space="preserve">A Alaotra, les pertes de bétail concernent principalement les</w:t>
      </w:r>
      <w:r>
        <w:t xml:space="preserve"> </w:t>
      </w:r>
      <w:r>
        <w:rPr>
          <w:b/>
          <w:bCs/>
        </w:rPr>
        <w:t xml:space="preserve">Akoho</w:t>
      </w:r>
      <w:r>
        <w:t xml:space="preserve">, avec environ 160 ménages ayant subi des pertes. Les</w:t>
      </w:r>
      <w:r>
        <w:t xml:space="preserve"> </w:t>
      </w:r>
      <w:r>
        <w:rPr>
          <w:b/>
          <w:bCs/>
        </w:rPr>
        <w:t xml:space="preserve">Gisa</w:t>
      </w:r>
      <w:r>
        <w:t xml:space="preserve"> </w:t>
      </w:r>
      <w:r>
        <w:t xml:space="preserve">arrivent ensuite avec près de 25 ménages touchés, suivis des</w:t>
      </w:r>
      <w:r>
        <w:t xml:space="preserve"> </w:t>
      </w:r>
      <w:r>
        <w:rPr>
          <w:b/>
          <w:bCs/>
        </w:rPr>
        <w:t xml:space="preserve">Gana</w:t>
      </w:r>
      <w:r>
        <w:t xml:space="preserve"> </w:t>
      </w:r>
      <w:r>
        <w:t xml:space="preserve">et des</w:t>
      </w:r>
      <w:r>
        <w:t xml:space="preserve"> </w:t>
      </w:r>
      <w:r>
        <w:rPr>
          <w:b/>
          <w:bCs/>
        </w:rPr>
        <w:t xml:space="preserve">Kisoa</w:t>
      </w:r>
      <w:r>
        <w:t xml:space="preserve"> </w:t>
      </w:r>
      <w:r>
        <w:t xml:space="preserve">avec environ 15 ménages chacun. Les</w:t>
      </w:r>
      <w:r>
        <w:t xml:space="preserve"> </w:t>
      </w:r>
      <w:r>
        <w:rPr>
          <w:b/>
          <w:bCs/>
        </w:rPr>
        <w:t xml:space="preserve">Ondry</w:t>
      </w:r>
      <w:r>
        <w:t xml:space="preserve"> </w:t>
      </w:r>
      <w:r>
        <w:t xml:space="preserve">enregistrent des pertes plus limitées, autour de 5 ménages. Les autres espèces, notamment les</w:t>
      </w:r>
      <w:r>
        <w:t xml:space="preserve"> </w:t>
      </w:r>
      <w:r>
        <w:rPr>
          <w:b/>
          <w:bCs/>
        </w:rPr>
        <w:t xml:space="preserve">Omby Miasa</w:t>
      </w:r>
      <w:r>
        <w:t xml:space="preserve">,</w:t>
      </w:r>
      <w:r>
        <w:t xml:space="preserve"> </w:t>
      </w:r>
      <w:r>
        <w:rPr>
          <w:b/>
          <w:bCs/>
        </w:rPr>
        <w:t xml:space="preserve">Omby Vavy</w:t>
      </w:r>
      <w:r>
        <w:t xml:space="preserve">,</w:t>
      </w:r>
      <w:r>
        <w:t xml:space="preserve"> </w:t>
      </w:r>
      <w:r>
        <w:rPr>
          <w:b/>
          <w:bCs/>
        </w:rPr>
        <w:t xml:space="preserve">Voron-tsilozà</w:t>
      </w:r>
      <w:r>
        <w:t xml:space="preserve"> </w:t>
      </w:r>
      <w:r>
        <w:t xml:space="preserve">et</w:t>
      </w:r>
      <w:r>
        <w:t xml:space="preserve"> </w:t>
      </w:r>
      <w:r>
        <w:rPr>
          <w:b/>
          <w:bCs/>
        </w:rPr>
        <w:t xml:space="preserve">Omby Hafa</w:t>
      </w:r>
      <w:r>
        <w:t xml:space="preserve">, présentent des effectifs très faibles, proches de 1 à 3 ménages concernés.</w:t>
      </w:r>
    </w:p>
    <w:p>
      <w:pPr>
        <w:pStyle w:val="Corpsdetexte"/>
      </w:pPr>
      <w:r>
        <w:t xml:space="preserve">A Marovoay, les</w:t>
      </w:r>
      <w:r>
        <w:t xml:space="preserve"> </w:t>
      </w:r>
      <w:r>
        <w:rPr>
          <w:b/>
          <w:bCs/>
        </w:rPr>
        <w:t xml:space="preserve">Akoho</w:t>
      </w:r>
      <w:r>
        <w:t xml:space="preserve"> </w:t>
      </w:r>
      <w:r>
        <w:t xml:space="preserve">demeurent également l’espèce la plus touchée, avec environ 120 ménages ayant subi des pertes. Les</w:t>
      </w:r>
      <w:r>
        <w:t xml:space="preserve"> </w:t>
      </w:r>
      <w:r>
        <w:rPr>
          <w:b/>
          <w:bCs/>
        </w:rPr>
        <w:t xml:space="preserve">Gana</w:t>
      </w:r>
      <w:r>
        <w:t xml:space="preserve"> </w:t>
      </w:r>
      <w:r>
        <w:t xml:space="preserve">occupent la deuxième position avec près de 70 ménages concernés. Les</w:t>
      </w:r>
      <w:r>
        <w:t xml:space="preserve"> </w:t>
      </w:r>
      <w:r>
        <w:rPr>
          <w:b/>
          <w:bCs/>
        </w:rPr>
        <w:t xml:space="preserve">Kisoa</w:t>
      </w:r>
      <w:r>
        <w:t xml:space="preserve"> </w:t>
      </w:r>
      <w:r>
        <w:t xml:space="preserve">enregistrent environ 15 ménages touchés, tandis que les autres espèces présentent des niveaux très faibles. Les</w:t>
      </w:r>
      <w:r>
        <w:t xml:space="preserve"> </w:t>
      </w:r>
      <w:r>
        <w:rPr>
          <w:b/>
          <w:bCs/>
        </w:rPr>
        <w:t xml:space="preserve">Osy, Ondry, Omby Miasa, Omby Vavy et Voron-Tsilozà</w:t>
      </w:r>
      <w:r>
        <w:t xml:space="preserve"> </w:t>
      </w:r>
      <w:r>
        <w:t xml:space="preserve">concernent seulement quelques ménages, traduisant une fréquence plus réduite des pertes pour ces espèces dans cet observatoire.</w:t>
      </w:r>
    </w:p>
    <w:tbl>
      <w:tblPr>
        <w:tblStyle w:val="Table"/>
        <w:tblW w:type="pct" w:w="5000"/>
        <w:tblLayout w:type="fixed"/>
        <w:tblLook w:firstRow="0" w:lastRow="0" w:firstColumn="0" w:lastColumn="0" w:noHBand="0" w:noVBand="0" w:val="0000"/>
      </w:tblPr>
      <w:tblGrid>
        <w:gridCol w:w="7920"/>
      </w:tblGrid>
      <w:tr>
        <w:tc>
          <w:tcPr/>
          <w:bookmarkStart w:id="641" w:name="fig-pertes-elevage"/>
          <w:p>
            <w:pPr>
              <w:jc w:val="center"/>
            </w:pPr>
            <w:pPr>
              <w:jc w:val="left"/>
              <w:spacing w:before="200"/>
              <w:pStyle w:val="ImageCaption"/>
            </w:pPr>
            <w:r>
              <w:t xml:space="preserve">Figure 5.22: Ménages ayant subi des pertes de bétail</w:t>
            </w:r>
          </w:p>
          <w:p>
            <w:pPr>
              <w:pStyle w:val="Compact"/>
              <w:jc w:val="center"/>
            </w:pPr>
            <w:r>
              <w:drawing>
                <wp:inline>
                  <wp:extent cx="5969000" cy="1865312"/>
                  <wp:effectExtent b="0" l="0" r="0" t="0"/>
                  <wp:docPr descr="" title="" id="639" name="Picture"/>
                  <a:graphic>
                    <a:graphicData uri="http://schemas.openxmlformats.org/drawingml/2006/picture">
                      <pic:pic>
                        <pic:nvPicPr>
                          <pic:cNvPr descr="05_agriculture_files/figure-docx/fig-pertes-elevage-1.png" id="640" name="Picture"/>
                          <pic:cNvPicPr>
                            <a:picLocks noChangeArrowheads="1" noChangeAspect="1"/>
                          </pic:cNvPicPr>
                        </pic:nvPicPr>
                        <pic:blipFill>
                          <a:blip r:embed="rId638"/>
                          <a:stretch>
                            <a:fillRect/>
                          </a:stretch>
                        </pic:blipFill>
                        <pic:spPr bwMode="auto">
                          <a:xfrm>
                            <a:off x="0" y="0"/>
                            <a:ext cx="5969000" cy="1865312"/>
                          </a:xfrm>
                          <a:prstGeom prst="rect">
                            <a:avLst/>
                          </a:prstGeom>
                          <a:noFill/>
                          <a:ln w="9525">
                            <a:noFill/>
                            <a:headEnd/>
                            <a:tailEnd/>
                          </a:ln>
                        </pic:spPr>
                      </pic:pic>
                    </a:graphicData>
                  </a:graphic>
                </wp:inline>
              </w:drawing>
            </w:r>
          </w:p>
          <w:bookmarkEnd w:id="641"/>
        </w:tc>
      </w:tr>
    </w:tbl>
    <w:bookmarkEnd w:id="642"/>
    <w:bookmarkStart w:id="646"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w:t>
      </w:r>
      <w:r>
        <w:t xml:space="preserve"> </w:t>
      </w:r>
      <w:r>
        <w:rPr>
          <w:b/>
          <w:bCs/>
        </w:rPr>
        <w:t xml:space="preserve">ronono</w:t>
      </w:r>
      <w:r>
        <w:t xml:space="preserve"> </w:t>
      </w:r>
      <w:r>
        <w:t xml:space="preserve">avec 99 %, suivi de l’</w:t>
      </w:r>
      <w:r>
        <w:rPr>
          <w:b/>
          <w:bCs/>
        </w:rPr>
        <w:t xml:space="preserve">atody</w:t>
      </w:r>
      <w:r>
        <w:t xml:space="preserve"> </w:t>
      </w:r>
      <w:r>
        <w:t xml:space="preserve">à 91.3 %. Le</w:t>
      </w:r>
      <w:r>
        <w:t xml:space="preserve"> </w:t>
      </w:r>
      <w:r>
        <w:rPr>
          <w:b/>
          <w:bCs/>
        </w:rPr>
        <w:t xml:space="preserve">yaourt/habobo</w:t>
      </w:r>
      <w:r>
        <w:t xml:space="preserve"> </w:t>
      </w:r>
      <w:r>
        <w:t xml:space="preserve">représente également une part importante avec 85.6 %, tandis que le</w:t>
      </w:r>
      <w:r>
        <w:t xml:space="preserve"> </w:t>
      </w:r>
      <w:r>
        <w:rPr>
          <w:b/>
          <w:bCs/>
        </w:rPr>
        <w:t xml:space="preserve">hena</w:t>
      </w:r>
      <w:r>
        <w:t xml:space="preserve"> </w:t>
      </w:r>
      <w:r>
        <w:t xml:space="preserve">atteint 83.7 %. En revanche, les autres produits restent très peu déclarés par les ménages. Le</w:t>
      </w:r>
      <w:r>
        <w:t xml:space="preserve"> </w:t>
      </w:r>
      <w:r>
        <w:rPr>
          <w:b/>
          <w:bCs/>
        </w:rPr>
        <w:t xml:space="preserve">henan’ondry</w:t>
      </w:r>
      <w:r>
        <w:t xml:space="preserve"> </w:t>
      </w:r>
      <w:r>
        <w:t xml:space="preserve">ne concerne que 1.9 % des déclarations, alors que le</w:t>
      </w:r>
      <w:r>
        <w:t xml:space="preserve"> </w:t>
      </w:r>
      <w:r>
        <w:rPr>
          <w:b/>
          <w:bCs/>
        </w:rPr>
        <w:t xml:space="preserve">vorona</w:t>
      </w:r>
      <w:r>
        <w:t xml:space="preserve"> </w:t>
      </w:r>
      <w:r>
        <w:t xml:space="preserve">et le</w:t>
      </w:r>
      <w:r>
        <w:t xml:space="preserve"> </w:t>
      </w:r>
      <w:r>
        <w:rPr>
          <w:b/>
          <w:bCs/>
        </w:rPr>
        <w:t xml:space="preserve">henan-kisoa</w:t>
      </w:r>
      <w:r>
        <w:t xml:space="preserve"> </w:t>
      </w:r>
      <w:r>
        <w:t xml:space="preserve">représentent chacun 1 %.</w:t>
      </w:r>
    </w:p>
    <w:p>
      <w:pPr>
        <w:pStyle w:val="Corpsdetexte"/>
      </w:pPr>
      <w:r>
        <w:t xml:space="preserve">A Marovoay, le</w:t>
      </w:r>
      <w:r>
        <w:t xml:space="preserve"> </w:t>
      </w:r>
      <w:r>
        <w:rPr>
          <w:b/>
          <w:bCs/>
        </w:rPr>
        <w:t xml:space="preserve">ronono</w:t>
      </w:r>
      <w:r>
        <w:t xml:space="preserve"> </w:t>
      </w:r>
      <w:r>
        <w:t xml:space="preserve">et l’</w:t>
      </w:r>
      <w:r>
        <w:rPr>
          <w:b/>
          <w:bCs/>
        </w:rPr>
        <w:t xml:space="preserve">atody</w:t>
      </w:r>
      <w:r>
        <w:t xml:space="preserve"> </w:t>
      </w:r>
      <w:r>
        <w:t xml:space="preserve">sont déclarés par 99 % des ménages. Le</w:t>
      </w:r>
      <w:r>
        <w:t xml:space="preserve"> </w:t>
      </w:r>
      <w:r>
        <w:rPr>
          <w:b/>
          <w:bCs/>
        </w:rPr>
        <w:t xml:space="preserve">yaourt/habobo</w:t>
      </w:r>
      <w:r>
        <w:t xml:space="preserve"> </w:t>
      </w:r>
      <w:r>
        <w:t xml:space="preserve">atteint 93.9 %, ce qui montre également une forte présence de ce produit dans les habitudes des ménages. Le</w:t>
      </w:r>
      <w:r>
        <w:t xml:space="preserve"> </w:t>
      </w:r>
      <w:r>
        <w:rPr>
          <w:b/>
          <w:bCs/>
        </w:rPr>
        <w:t xml:space="preserve">hena</w:t>
      </w:r>
      <w:r>
        <w:t xml:space="preserve"> </w:t>
      </w:r>
      <w:r>
        <w:t xml:space="preserve">est déclaré par 88.9 % des ménages. Les autres produits restent marginaux, avec 7.1 % pour le</w:t>
      </w:r>
      <w:r>
        <w:t xml:space="preserve"> </w:t>
      </w:r>
      <w:r>
        <w:rPr>
          <w:b/>
          <w:bCs/>
        </w:rPr>
        <w:t xml:space="preserve">henan’ondry</w:t>
      </w:r>
      <w:r>
        <w:t xml:space="preserve">, et seulement 1 % pour le</w:t>
      </w:r>
      <w:r>
        <w:t xml:space="preserve"> </w:t>
      </w:r>
      <w:r>
        <w:rPr>
          <w:b/>
          <w:bCs/>
        </w:rPr>
        <w:t xml:space="preserve">vorona</w:t>
      </w:r>
      <w:r>
        <w:t xml:space="preserve"> </w:t>
      </w:r>
      <w:r>
        <w:t xml:space="preserve">ainsi que le</w:t>
      </w:r>
      <w:r>
        <w:t xml:space="preserve"> </w:t>
      </w:r>
      <w:r>
        <w:rPr>
          <w:b/>
          <w:bCs/>
        </w:rPr>
        <w:t xml:space="preserve">trondro nompiana</w:t>
      </w:r>
      <w:r>
        <w:t xml:space="preserve">.</w:t>
      </w:r>
    </w:p>
    <w:p>
      <w:pPr>
        <w:pStyle w:val="CaptionedFigure"/>
      </w:pPr>
      <w:r>
        <w:drawing>
          <wp:inline>
            <wp:extent cx="4620126" cy="2310063"/>
            <wp:effectExtent b="0" l="0" r="0" t="0"/>
            <wp:docPr descr="Produits de l’élevage déclarés par les ménages" title="" id="644" name="Picture"/>
            <a:graphic>
              <a:graphicData uri="http://schemas.openxmlformats.org/drawingml/2006/picture">
                <pic:pic>
                  <pic:nvPicPr>
                    <pic:cNvPr descr="05_agriculture_files/figure-docx/fig_produits_elevage-1.png" id="645" name="Picture"/>
                    <pic:cNvPicPr>
                      <a:picLocks noChangeArrowheads="1" noChangeAspect="1"/>
                    </pic:cNvPicPr>
                  </pic:nvPicPr>
                  <pic:blipFill>
                    <a:blip r:embed="rId643"/>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646"/>
    <w:bookmarkEnd w:id="647"/>
    <w:bookmarkStart w:id="666"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p>
      <w:pPr>
        <w:pStyle w:val="Corpsdetexte"/>
      </w:pPr>
      <w:r>
        <w:t xml:space="preserve">A Marovoay, 34.5 % des ménages déclarent pratiquer la chasse et la pêche. .</w:t>
      </w:r>
    </w:p>
    <w:tbl>
      <w:tblPr>
        <w:tblStyle w:val="Table"/>
        <w:tblW w:type="pct" w:w="5000"/>
        <w:tblLayout w:type="fixed"/>
        <w:tblLook w:firstRow="0" w:lastRow="0" w:firstColumn="0" w:lastColumn="0" w:noHBand="0" w:noVBand="0" w:val="0000"/>
      </w:tblPr>
      <w:tblGrid>
        <w:gridCol w:w="7920"/>
      </w:tblGrid>
      <w:tr>
        <w:tc>
          <w:tcPr/>
          <w:bookmarkStart w:id="648" w:name="tbl-chasse-peche-pratique"/>
          <w:p>
            <w:pPr>
              <w:jc w:val="center"/>
            </w:pPr>
            <w:pPr>
              <w:jc w:val="left"/>
              <w:spacing w:before="200"/>
              <w:pStyle w:val="ImageCaption"/>
            </w:pPr>
            <w:r>
              <w:t xml:space="preserve">Table 5.6: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648"/>
          <w:p/>
        </w:tc>
      </w:tr>
    </w:tbl>
    <w:p>
      <w:pPr>
        <w:pStyle w:val="Corpsdetexte"/>
      </w:pPr>
      <w:r>
        <w:t xml:space="preserve">À Alaotra, les</w:t>
      </w:r>
      <w:r>
        <w:t xml:space="preserve"> </w:t>
      </w:r>
      <w:r>
        <w:rPr>
          <w:b/>
          <w:bCs/>
        </w:rPr>
        <w:t xml:space="preserve">trondro</w:t>
      </w:r>
      <w:r>
        <w:t xml:space="preserve"> </w:t>
      </w:r>
      <w:r>
        <w:t xml:space="preserve">dominent très largement les débarquements avec environ 75 mentions enregistrées, ce qui montre leur place centrale dans l’activité de pêche observée. Les</w:t>
      </w:r>
      <w:r>
        <w:t xml:space="preserve"> </w:t>
      </w:r>
      <w:r>
        <w:rPr>
          <w:b/>
          <w:bCs/>
        </w:rPr>
        <w:t xml:space="preserve">Tilapia</w:t>
      </w:r>
      <w:r>
        <w:t xml:space="preserve"> </w:t>
      </w:r>
      <w:r>
        <w:t xml:space="preserve">arrivent loin derrière avec près de 8 mentions, suivis des</w:t>
      </w:r>
      <w:r>
        <w:t xml:space="preserve"> </w:t>
      </w:r>
      <w:r>
        <w:rPr>
          <w:b/>
          <w:bCs/>
        </w:rPr>
        <w:t xml:space="preserve">Lapia</w:t>
      </w:r>
      <w:r>
        <w:t xml:space="preserve"> </w:t>
      </w:r>
      <w:r>
        <w:t xml:space="preserve">et des</w:t>
      </w:r>
      <w:r>
        <w:t xml:space="preserve"> </w:t>
      </w:r>
      <w:r>
        <w:rPr>
          <w:b/>
          <w:bCs/>
        </w:rPr>
        <w:t xml:space="preserve">fibata</w:t>
      </w:r>
      <w:r>
        <w:t xml:space="preserve"> </w:t>
      </w:r>
      <w:r>
        <w:t xml:space="preserve">et</w:t>
      </w:r>
      <w:r>
        <w:t xml:space="preserve"> </w:t>
      </w:r>
      <w:r>
        <w:rPr>
          <w:b/>
          <w:bCs/>
        </w:rPr>
        <w:t xml:space="preserve">pirina</w:t>
      </w:r>
      <w:r>
        <w:t xml:space="preserve"> </w:t>
      </w:r>
      <w:r>
        <w:t xml:space="preserve">qui représentent chacun environ 3 à 4 mentions.</w:t>
      </w:r>
    </w:p>
    <w:p>
      <w:pPr>
        <w:pStyle w:val="Corpsdetexte"/>
      </w:pPr>
      <w:r>
        <w:t xml:space="preserve">À Marovoay, les</w:t>
      </w:r>
      <w:r>
        <w:t xml:space="preserve"> </w:t>
      </w:r>
      <w:r>
        <w:rPr>
          <w:b/>
          <w:bCs/>
        </w:rPr>
        <w:t xml:space="preserve">trondro</w:t>
      </w:r>
      <w:r>
        <w:t xml:space="preserve"> </w:t>
      </w:r>
      <w:r>
        <w:t xml:space="preserve">occupent également une place prépondérante avec près de 95 mentions, ce qui en fait l’espèce la plus représentée dans les captures enregistrées. Les</w:t>
      </w:r>
      <w:r>
        <w:t xml:space="preserve"> </w:t>
      </w:r>
      <w:r>
        <w:rPr>
          <w:b/>
          <w:bCs/>
        </w:rPr>
        <w:t xml:space="preserve">kalapia</w:t>
      </w:r>
      <w:r>
        <w:t xml:space="preserve"> </w:t>
      </w:r>
      <w:r>
        <w:t xml:space="preserve">et les</w:t>
      </w:r>
      <w:r>
        <w:t xml:space="preserve"> </w:t>
      </w:r>
      <w:r>
        <w:rPr>
          <w:b/>
          <w:bCs/>
        </w:rPr>
        <w:t xml:space="preserve">filao</w:t>
      </w:r>
      <w:r>
        <w:t xml:space="preserve"> </w:t>
      </w:r>
      <w:r>
        <w:t xml:space="preserve">suivent avec environ 5 à 7 mentions chacun, alors que certaines espèces démersales, comme les</w:t>
      </w:r>
      <w:r>
        <w:t xml:space="preserve"> </w:t>
      </w:r>
      <w:r>
        <w:rPr>
          <w:b/>
          <w:bCs/>
        </w:rPr>
        <w:t xml:space="preserve">pirina</w:t>
      </w:r>
      <w:r>
        <w:t xml:space="preserve"> </w:t>
      </w:r>
      <w:r>
        <w:t xml:space="preserve">et</w:t>
      </w:r>
      <w:r>
        <w:t xml:space="preserve"> </w:t>
      </w:r>
      <w:r>
        <w:rPr>
          <w:b/>
          <w:bCs/>
        </w:rPr>
        <w:t xml:space="preserve">drakabato</w:t>
      </w:r>
      <w:r>
        <w:t xml:space="preserve">, restent faiblement représentées avec moins de 5 mentions.</w:t>
      </w:r>
    </w:p>
    <w:tbl>
      <w:tblPr>
        <w:tblStyle w:val="Table"/>
        <w:tblW w:type="pct" w:w="5000"/>
        <w:tblLayout w:type="fixed"/>
        <w:tblLook w:firstRow="0" w:lastRow="0" w:firstColumn="0" w:lastColumn="0" w:noHBand="0" w:noVBand="0" w:val="0000"/>
      </w:tblPr>
      <w:tblGrid>
        <w:gridCol w:w="7920"/>
      </w:tblGrid>
      <w:tr>
        <w:tc>
          <w:tcPr/>
          <w:bookmarkStart w:id="652" w:name="fig-chasse-especes"/>
          <w:p>
            <w:pPr>
              <w:jc w:val="center"/>
            </w:pPr>
            <w:pPr>
              <w:jc w:val="left"/>
              <w:spacing w:before="200"/>
              <w:pStyle w:val="ImageCaption"/>
            </w:pPr>
            <w:r>
              <w:t xml:space="preserve">Figure 5.23: Principales espèces chassées/pêchées</w:t>
            </w:r>
          </w:p>
          <w:p>
            <w:pPr>
              <w:pStyle w:val="Compact"/>
              <w:jc w:val="center"/>
            </w:pPr>
            <w:r>
              <w:drawing>
                <wp:inline>
                  <wp:extent cx="5969000" cy="3730624"/>
                  <wp:effectExtent b="0" l="0" r="0" t="0"/>
                  <wp:docPr descr="" title="" id="650" name="Picture"/>
                  <a:graphic>
                    <a:graphicData uri="http://schemas.openxmlformats.org/drawingml/2006/picture">
                      <pic:pic>
                        <pic:nvPicPr>
                          <pic:cNvPr descr="05_agriculture_files/figure-docx/fig-chasse-especes-1.png" id="651" name="Picture"/>
                          <pic:cNvPicPr>
                            <a:picLocks noChangeArrowheads="1" noChangeAspect="1"/>
                          </pic:cNvPicPr>
                        </pic:nvPicPr>
                        <pic:blipFill>
                          <a:blip r:embed="rId649"/>
                          <a:stretch>
                            <a:fillRect/>
                          </a:stretch>
                        </pic:blipFill>
                        <pic:spPr bwMode="auto">
                          <a:xfrm>
                            <a:off x="0" y="0"/>
                            <a:ext cx="5969000" cy="3730624"/>
                          </a:xfrm>
                          <a:prstGeom prst="rect">
                            <a:avLst/>
                          </a:prstGeom>
                          <a:noFill/>
                          <a:ln w="9525">
                            <a:noFill/>
                            <a:headEnd/>
                            <a:tailEnd/>
                          </a:ln>
                        </pic:spPr>
                      </pic:pic>
                    </a:graphicData>
                  </a:graphic>
                </wp:inline>
              </w:drawing>
            </w:r>
          </w:p>
          <w:bookmarkEnd w:id="652"/>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p>
      <w:pPr>
        <w:pStyle w:val="Corpsdetexte"/>
      </w:pPr>
      <w:r>
        <w:t xml:space="preserve">À Marovoay, l’alimentation et la vente apparaissent comme les deux motivations dominantes des activités de chasse et de pêche. L’alimentation représente environ 40 % des mentions, tandis que la vente atteint 39.5 %, ce qui montre l’importance simultanée des besoins de subsistance et des revenus tirés de ces activités. Une autre part importante des réponses, estimée à 20.5 %, correspond</w:t>
      </w:r>
      <w:r>
        <w:t xml:space="preserve"> </w:t>
      </w:r>
      <w:r>
        <w:rPr>
          <w:b/>
          <w:bCs/>
        </w:rPr>
        <w:t xml:space="preserve">7</w:t>
      </w:r>
      <w:r>
        <w:t xml:space="preserve">. Cette répartition met en évidence une utilisation des ressources animales à la fois pour la consommation des ménages et pour les activités économiques locales.</w:t>
      </w:r>
    </w:p>
    <w:tbl>
      <w:tblPr>
        <w:tblStyle w:val="Table"/>
        <w:tblW w:type="pct" w:w="5000"/>
        <w:tblLayout w:type="fixed"/>
        <w:tblLook w:firstRow="0" w:lastRow="0" w:firstColumn="0" w:lastColumn="0" w:noHBand="0" w:noVBand="0" w:val="0000"/>
      </w:tblPr>
      <w:tblGrid>
        <w:gridCol w:w="7920"/>
      </w:tblGrid>
      <w:tr>
        <w:tc>
          <w:tcPr/>
          <w:bookmarkStart w:id="656" w:name="fig-chasse-raison"/>
          <w:p>
            <w:pPr>
              <w:jc w:val="center"/>
            </w:pPr>
            <w:pPr>
              <w:jc w:val="left"/>
              <w:spacing w:before="200"/>
              <w:pStyle w:val="ImageCaption"/>
            </w:pPr>
            <w:r>
              <w:t xml:space="preserve">Figure 5.24: Raisons de la chasse/pêche par observatoire</w:t>
            </w:r>
          </w:p>
          <w:p>
            <w:pPr>
              <w:pStyle w:val="Compact"/>
              <w:jc w:val="center"/>
            </w:pPr>
            <w:r>
              <w:drawing>
                <wp:inline>
                  <wp:extent cx="5969000" cy="3730624"/>
                  <wp:effectExtent b="0" l="0" r="0" t="0"/>
                  <wp:docPr descr="" title="" id="654" name="Picture"/>
                  <a:graphic>
                    <a:graphicData uri="http://schemas.openxmlformats.org/drawingml/2006/picture">
                      <pic:pic>
                        <pic:nvPicPr>
                          <pic:cNvPr descr="05_agriculture_files/figure-docx/fig-chasse-raison-1.png" id="655" name="Picture"/>
                          <pic:cNvPicPr>
                            <a:picLocks noChangeArrowheads="1" noChangeAspect="1"/>
                          </pic:cNvPicPr>
                        </pic:nvPicPr>
                        <pic:blipFill>
                          <a:blip r:embed="rId653"/>
                          <a:stretch>
                            <a:fillRect/>
                          </a:stretch>
                        </pic:blipFill>
                        <pic:spPr bwMode="auto">
                          <a:xfrm>
                            <a:off x="0" y="0"/>
                            <a:ext cx="5969000" cy="3730624"/>
                          </a:xfrm>
                          <a:prstGeom prst="rect">
                            <a:avLst/>
                          </a:prstGeom>
                          <a:noFill/>
                          <a:ln w="9525">
                            <a:noFill/>
                            <a:headEnd/>
                            <a:tailEnd/>
                          </a:ln>
                        </pic:spPr>
                      </pic:pic>
                    </a:graphicData>
                  </a:graphic>
                </wp:inline>
              </w:drawing>
            </w:r>
          </w:p>
          <w:bookmarkEnd w:id="656"/>
        </w:tc>
      </w:tr>
    </w:tbl>
    <w:bookmarkStart w:id="665"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p>
      <w:pPr>
        <w:pStyle w:val="Corpsdetexte"/>
      </w:pPr>
      <w:r>
        <w:t xml:space="preserve">À Alaotra, la fréquence de chasse-pêche la plus souvent mentionnée est la pratique journalière, citée par 31.7 % des répondants. La fréquence hebdomadaire arrive ensuite avec 28.7 % des mentions, traduisant une pratique régulière pour une part importante des enquêtés. Les activités réalisées une fois par mois représentent 13.9 %, tandis que les pratiques plus espacées restent minoritaires. Les fréquences annuelles atteignent 8.9 %, suivies des pratiques effectuées toutes les deux semaines avec 7.9 %, puis tous les six mois avec 5 %. Enfin, la fréquence bimensuelle est la moins représentée avec 4 % des mentions. Ces résultats montrent une prédominance des pratiques fréquentes au sein de cet observatoire.</w:t>
      </w:r>
    </w:p>
    <w:p>
      <w:pPr>
        <w:pStyle w:val="Corpsdetexte"/>
      </w:pPr>
      <w:r>
        <w:t xml:space="preserve">À Marovoay, la fréquence de chasse-pêche quotidienne domine largement avec 41.2 % des mentions. La pratique hebdomadaire occupe également une place importante, représentant 38.7 % des réponses. Les activités mensuelles concernent 13.9 % des enquêtés, alors que les autres fréquences apparaissent beaucoup plus marginales. La pratique toutes les deux semaines représente 4.1 % des mentions, tandis que les fréquences annuelles et bimensuelles ne totalisent chacune que 1 %. Cette distribution met en évidence une forte concentration des activités de chasse-pêche dans des rythmes réguliers et rapprochés.</w:t>
      </w:r>
    </w:p>
    <w:tbl>
      <w:tblPr>
        <w:tblStyle w:val="Table"/>
        <w:tblW w:type="pct" w:w="5000"/>
        <w:tblLayout w:type="fixed"/>
        <w:tblLook w:firstRow="0" w:lastRow="0" w:firstColumn="0" w:lastColumn="0" w:noHBand="0" w:noVBand="0" w:val="0000"/>
      </w:tblPr>
      <w:tblGrid>
        <w:gridCol w:w="7920"/>
      </w:tblGrid>
      <w:tr>
        <w:tc>
          <w:tcPr/>
          <w:bookmarkStart w:id="660" w:name="fig-frequence-peche"/>
          <w:p>
            <w:pPr>
              <w:jc w:val="center"/>
            </w:pPr>
            <w:pPr>
              <w:jc w:val="left"/>
              <w:spacing w:before="200"/>
              <w:pStyle w:val="ImageCaption"/>
            </w:pPr>
            <w:r>
              <w:t xml:space="preserve">Figure 5.25: Fréquence de la chasse/pêche</w:t>
            </w:r>
          </w:p>
          <w:p>
            <w:pPr>
              <w:pStyle w:val="Compact"/>
              <w:jc w:val="center"/>
            </w:pPr>
            <w:r>
              <w:drawing>
                <wp:inline>
                  <wp:extent cx="5969000" cy="1865312"/>
                  <wp:effectExtent b="0" l="0" r="0" t="0"/>
                  <wp:docPr descr="" title="" id="658" name="Picture"/>
                  <a:graphic>
                    <a:graphicData uri="http://schemas.openxmlformats.org/drawingml/2006/picture">
                      <pic:pic>
                        <pic:nvPicPr>
                          <pic:cNvPr descr="05_agriculture_files/figure-docx/fig-frequence-peche-1.png" id="659" name="Picture"/>
                          <pic:cNvPicPr>
                            <a:picLocks noChangeArrowheads="1" noChangeAspect="1"/>
                          </pic:cNvPicPr>
                        </pic:nvPicPr>
                        <pic:blipFill>
                          <a:blip r:embed="rId657"/>
                          <a:stretch>
                            <a:fillRect/>
                          </a:stretch>
                        </pic:blipFill>
                        <pic:spPr bwMode="auto">
                          <a:xfrm>
                            <a:off x="0" y="0"/>
                            <a:ext cx="5969000" cy="1865312"/>
                          </a:xfrm>
                          <a:prstGeom prst="rect">
                            <a:avLst/>
                          </a:prstGeom>
                          <a:noFill/>
                          <a:ln w="9525">
                            <a:noFill/>
                            <a:headEnd/>
                            <a:tailEnd/>
                          </a:ln>
                        </pic:spPr>
                      </pic:pic>
                    </a:graphicData>
                  </a:graphic>
                </wp:inline>
              </w:drawing>
            </w:r>
          </w:p>
          <w:bookmarkEnd w:id="660"/>
        </w:tc>
      </w:tr>
    </w:tbl>
    <w:p>
      <w:pPr>
        <w:pStyle w:val="Corpsdetexte"/>
      </w:pPr>
      <w:r>
        <w:t xml:space="preserve">A Alaotra, une intensification de l’activité de la chasse et de la pêche à partir du mois de janvier, pour atteindre un sommet en avril avec 55 mentions, suivi du mois de mai avec 43 mentions est observée . Ce pic d’activité se situe à la transition entre la fin de la période humide (octobre-avril) et le début de la saison sèche (mai-septembre). Les mois les moins actifs correspondent au cœur de la saison sèche et au début de la saison des pluies, notamment en juillet avec seulement 11 mentions et en novembre où elles tombent à leur niveau le plus bas avec 8 mentions. Cette recrudescence des activités de prélèvement en avril et mai coïncide précisément avec la période de récolte du riz pluvial (avril-mai) et le déclenchement de celle du riz irrigué (mai-juin) documentée dans la zone du Moyen-Est. Le recours à la chasse et à la pêche semble s’intensifier juste avant que la production de la grande saison rizicole ne soit pleinement disponible, jouant potentiellement un rôle de complément alimentaire ou de source de revenus immédiate durant cette phase charnière du calendrier agricole.</w:t>
      </w:r>
    </w:p>
    <w:p>
      <w:pPr>
        <w:pStyle w:val="Corpsdetexte"/>
      </w:pPr>
      <w:r>
        <w:t xml:space="preserve">À Marovoay, la saisonnalité est marquée par une concentration massive des activités de chasse et de pêche durant la période humide, avec un pic exceptionnel en février atteignant 138 mentions mensuelles, suivi de près par le mois de mars avec 131 mentions. L’activité chute de manière spectaculaire dès le début de la saison sèche, passant de 80 mentions en avril à seulement 49 en mai, et reste à un niveau relativement bas et stable jusqu’en octobre où elle s’établit à 40 mentions. Cette dynamique suggère que les conditions de la période humide sont particulièrement nécessaires à la pratique intensive de ces activités dans le Nord-Ouest.</w:t>
      </w:r>
      <w:r>
        <w:t xml:space="preserve"> </w:t>
      </w:r>
      <w:r>
        <w:t xml:space="preserve">Le pic observé en février et mars intervient durant une phase de soudure majeure , alors que les récoltes des campagnes de riz Asara et Atriatry ne débutent qu’en avril. L’activité de chasse et de pêche diminue fortement au moment précis où ces récoltes commencent. Elle fonctionne ici comme une stratégie de survie ou de diversification essentielle pendant les mois les plus difficiles de la saison des pluies, s’effaçant dès que les campagne de récolte mobilisent la main-d’œuvre des ménages.</w:t>
      </w:r>
    </w:p>
    <w:tbl>
      <w:tblPr>
        <w:tblStyle w:val="Table"/>
        <w:tblW w:type="pct" w:w="5000"/>
        <w:tblLayout w:type="fixed"/>
        <w:tblLook w:firstRow="0" w:lastRow="0" w:firstColumn="0" w:lastColumn="0" w:noHBand="0" w:noVBand="0" w:val="0000"/>
      </w:tblPr>
      <w:tblGrid>
        <w:gridCol w:w="7920"/>
      </w:tblGrid>
      <w:tr>
        <w:tc>
          <w:tcPr/>
          <w:bookmarkStart w:id="664" w:name="fig-saisonnalite-peche"/>
          <w:p>
            <w:pPr>
              <w:jc w:val="center"/>
            </w:pPr>
            <w:pPr>
              <w:jc w:val="left"/>
              <w:spacing w:before="200"/>
              <w:pStyle w:val="ImageCaption"/>
            </w:pPr>
            <w:r>
              <w:t xml:space="preserve">Figure 5.26: Saisonnalité de la chasse/pêche (% de mentions par mois)</w:t>
            </w:r>
          </w:p>
          <w:p>
            <w:pPr>
              <w:pStyle w:val="Compact"/>
              <w:jc w:val="center"/>
            </w:pPr>
            <w:r>
              <w:drawing>
                <wp:inline>
                  <wp:extent cx="5969000" cy="2238375"/>
                  <wp:effectExtent b="0" l="0" r="0" t="0"/>
                  <wp:docPr descr="" title="" id="662" name="Picture"/>
                  <a:graphic>
                    <a:graphicData uri="http://schemas.openxmlformats.org/drawingml/2006/picture">
                      <pic:pic>
                        <pic:nvPicPr>
                          <pic:cNvPr descr="05_agriculture_files/figure-docx/fig-saisonnalite-peche-1.png" id="663" name="Picture"/>
                          <pic:cNvPicPr>
                            <a:picLocks noChangeArrowheads="1" noChangeAspect="1"/>
                          </pic:cNvPicPr>
                        </pic:nvPicPr>
                        <pic:blipFill>
                          <a:blip r:embed="rId661"/>
                          <a:stretch>
                            <a:fillRect/>
                          </a:stretch>
                        </pic:blipFill>
                        <pic:spPr bwMode="auto">
                          <a:xfrm>
                            <a:off x="0" y="0"/>
                            <a:ext cx="5969000" cy="2238375"/>
                          </a:xfrm>
                          <a:prstGeom prst="rect">
                            <a:avLst/>
                          </a:prstGeom>
                          <a:noFill/>
                          <a:ln w="9525">
                            <a:noFill/>
                            <a:headEnd/>
                            <a:tailEnd/>
                          </a:ln>
                        </pic:spPr>
                      </pic:pic>
                    </a:graphicData>
                  </a:graphic>
                </wp:inline>
              </w:drawing>
            </w:r>
          </w:p>
          <w:bookmarkEnd w:id="664"/>
        </w:tc>
      </w:tr>
    </w:tbl>
    <w:bookmarkEnd w:id="665"/>
    <w:bookmarkEnd w:id="666"/>
    <w:bookmarkStart w:id="673"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68"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p>
      <w:pPr>
        <w:pStyle w:val="Corpsdetexte"/>
      </w:pPr>
      <w:r>
        <w:t xml:space="preserve">A Marovoay, Le recours à la main d’œuvre extérieure (salariée ou par entraide) concerne 58.8 % des ménages. En revanche, la main-d’œuvre permanente demeure très faiblement mobilisée avec 4 % des mentions. Cette situation montre que les ménages agricoles s’appuient surtout sur une main-d’œuvre temporaire pour assurer les travaux liés aux activités agricoles.</w:t>
      </w:r>
    </w:p>
    <w:tbl>
      <w:tblPr>
        <w:tblStyle w:val="Table"/>
        <w:tblW w:type="pct" w:w="5000"/>
        <w:tblLayout w:type="fixed"/>
        <w:tblLook w:firstRow="0" w:lastRow="0" w:firstColumn="0" w:lastColumn="0" w:noHBand="0" w:noVBand="0" w:val="0000"/>
      </w:tblPr>
      <w:tblGrid>
        <w:gridCol w:w="7920"/>
      </w:tblGrid>
      <w:tr>
        <w:tc>
          <w:tcPr/>
          <w:bookmarkStart w:id="667" w:name="tbl-main-oeuvre-pratique"/>
          <w:p>
            <w:pPr>
              <w:jc w:val="center"/>
            </w:pPr>
            <w:pPr>
              <w:jc w:val="left"/>
              <w:spacing w:before="200"/>
              <w:pStyle w:val="ImageCaption"/>
            </w:pPr>
            <w:r>
              <w:t xml:space="preserve">Table 5.7: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667"/>
          <w:p/>
        </w:tc>
      </w:tr>
    </w:tbl>
    <w:bookmarkEnd w:id="668"/>
    <w:bookmarkStart w:id="670"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p>
      <w:pPr>
        <w:pStyle w:val="Corpsdetexte"/>
      </w:pPr>
      <w:r>
        <w:t xml:space="preserve">À Marovoay, la moisson se caractérise par une forte présence de la main-d’œuvre salariée, qui représente 91.1 % des opérations, alors que l’entraide ne concerne que 8.9 %, avec un salaire moyen de 182,954 Ar. Pour le sarclage, la proportion de salariat atteint 84.6 %, tandis que l’entraide représente 7.2 %, et le salaire moyen est de 150,626 Ar. Concernant le travail du sol, la main-d’œuvre salariée constitue 79.0 % des pratiques observées, contre 6.9 % pour l’entraide, avec un salaire moyen de 193,831 Ar. L’ensemble des données met en évidence une forte prédominance du recours au salariat dans les différentes opérations agricoles de cet observatoire.</w:t>
      </w:r>
    </w:p>
    <w:tbl>
      <w:tblPr>
        <w:tblStyle w:val="Table"/>
        <w:tblW w:type="pct" w:w="5000"/>
        <w:tblLayout w:type="fixed"/>
        <w:tblLook w:firstRow="0" w:lastRow="0" w:firstColumn="0" w:lastColumn="0" w:noHBand="0" w:noVBand="0" w:val="0000"/>
      </w:tblPr>
      <w:tblGrid>
        <w:gridCol w:w="7920"/>
      </w:tblGrid>
      <w:tr>
        <w:tc>
          <w:tcPr/>
          <w:bookmarkStart w:id="669" w:name="tbl-operations-mo"/>
          <w:p>
            <w:pPr>
              <w:jc w:val="center"/>
            </w:pPr>
            <w:pPr>
              <w:jc w:val="left"/>
              <w:spacing w:before="200"/>
              <w:pStyle w:val="ImageCaption"/>
            </w:pPr>
            <w:r>
              <w:t xml:space="preserve">Table 5.8: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669"/>
          <w:p/>
        </w:tc>
      </w:tr>
    </w:tbl>
    <w:bookmarkEnd w:id="670"/>
    <w:bookmarkStart w:id="672"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p>
      <w:pPr>
        <w:pStyle w:val="Corpsdetexte"/>
      </w:pPr>
      <w:r>
        <w:t xml:space="preserve">À Marovoay, l’élevage mobilise 15 employés permanents, avec un salaire moyen en argent de 252,500 Ar et une rémunération en nature de 285,714 Ar. Les activités d’aide ménagère comptent 4 employés permanents et affichent un salaire moyen monétaire de 445,000 Ar, sans rémunération en nature déclarée. Les autres activités emploient également 4 travailleurs permanents, avec un salaire moyen en argent de 907,500 Ar et aucune rémunération en nature enregistrée. Enfin, les autres cultures ne regroupent qu’un seul employé permanent, dont le salaire moyen en argent est de 250,000 Ar, sans avantage en nature indiqué. Ces données montrent une diversité des activités concernées par l’emploi permanent au sein de cet observatoire, avec des niveaux de rémunération variables selon les secteurs d’activité.</w:t>
      </w:r>
    </w:p>
    <w:tbl>
      <w:tblPr>
        <w:tblStyle w:val="Table"/>
        <w:tblW w:type="pct" w:w="5000"/>
        <w:tblLayout w:type="fixed"/>
        <w:tblLook w:firstRow="0" w:lastRow="0" w:firstColumn="0" w:lastColumn="0" w:noHBand="0" w:noVBand="0" w:val="0000"/>
      </w:tblPr>
      <w:tblGrid>
        <w:gridCol w:w="7920"/>
      </w:tblGrid>
      <w:tr>
        <w:tc>
          <w:tcPr/>
          <w:bookmarkStart w:id="671" w:name="tbl-main-oeuvre-perm"/>
          <w:p>
            <w:pPr>
              <w:jc w:val="center"/>
            </w:pPr>
            <w:pPr>
              <w:jc w:val="left"/>
              <w:spacing w:before="200"/>
              <w:pStyle w:val="ImageCaption"/>
            </w:pPr>
            <w:r>
              <w:t xml:space="preserve">Table 5.9: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671"/>
          <w:p/>
        </w:tc>
      </w:tr>
    </w:tbl>
    <w:bookmarkEnd w:id="672"/>
    <w:bookmarkEnd w:id="673"/>
    <w:bookmarkStart w:id="680" w:name="sec-agro-multiyear"/>
    <w:p>
      <w:pPr>
        <w:pStyle w:val="Titre2"/>
      </w:pPr>
      <w:r>
        <w:t xml:space="preserve">5.5 Évolution des indicateurs agricoles (1995–2025)</w:t>
      </w:r>
    </w:p>
    <w:p>
      <w:pPr>
        <w:pStyle w:val="FirstParagraph"/>
      </w:pPr>
      <w:r>
        <w:t xml:space="preserve">On retrace ici l’évolution de la production rizicole moyenne par ménage, du rendement (lorsque la surface est disponible) et du taux de pratique de l’élevage.</w:t>
      </w:r>
    </w:p>
    <w:p>
      <w:pPr>
        <w:pStyle w:val="Corpsdetexte"/>
      </w:pPr>
      <w:r>
        <w:t xml:space="preserve">À Alaotra, l’évolution de la production rizicole moyenne par ménage révèle une dynamique globalement ascendante jusqu’au milieu des années 2000, suivie d’une phase de ralentissement et de relative stabilisation. Entre la fin des années 1990 et le début des années 2000, la production moyenne progresse rapidement, passant d’environ 780 kg/ménage/an en 1999 à plus de 1 600 kg/ménage/an vers 2004. Cette croissance s’intensifie encore entre 2005 et 2007, période durant laquelle la production atteint son niveau maximal avec plus de 2 000 kg/ménage/an en 2007. Cette performance traduit probablement une amélioration des conditions de production, un meilleur accès aux facteurs productifs ou encore une intensification des activités rizicoles. Toutefois, à partir de 2008, la tendance devient décroissante avec une baisse progressive de la production moyenne, qui retombe autour de 1 100 à 1 300 kg/ménage/an entre 2010 et 2014. Malgré ce recul, les niveaux observés restent globalement supérieurs à ceux du début de la période étudiée, ce qui montre que l’observatoire d’Alaotra conserve une capacité productive relativement élevée. La valeur observée en 2025, inférieure à 1 000 kg/ménage/an, semble indiquer une nouvelle contraction de la production, possiblement liée à des contraintes climatiques, économiques ou structurelles affectant les exploitations agricoles.</w:t>
      </w:r>
    </w:p>
    <w:p>
      <w:pPr>
        <w:pStyle w:val="Corpsdetexte"/>
      </w:pPr>
      <w:r>
        <w:t xml:space="preserve">À Marovoay, l’évolution de la production rizicole moyenne par ménage présente une trajectoire plus instable et globalement orientée à la baisse sur le long terme. À la fin des années 1990, les ménages enregistrent des niveaux de production relativement élevés, oscillant entre environ 1 200 et 1 500 kg/ménage/an, avec un pic proche de 1 550 kg/ménage/an au début des années 2000. Toutefois, cette dynamique demeure irrégulière, marquée par des alternances de hausses et de baisses importantes. Après une reprise autour de 2005 et 2007 où la production dépasse ponctuellement 1 500 kg/ménage/an, une tendance baissière plus nette s’installe à partir de 2008. La production moyenne chute progressivement jusqu’à atteindre environ 550 kg/ménage/an vers 2013, avant de connaître une légère remontée autour de 700 kg/ménage/an en 2014. Les données récentes montrent néanmoins une forte diminution en 2025, avec une production moyenne inférieure à 400 kg/ménage/an, traduisant une dégradation importante des performances rizicoles. Cette zone rizicole apparaît ainsi plus vulnérable aux fluctuations de production et moins capable de maintenir des niveaux élevés et stables de rendement rizicole sur la durée.</w:t>
      </w:r>
    </w:p>
    <w:p>
      <w:pPr>
        <w:pStyle w:val="CaptionedFigure"/>
      </w:pPr>
      <w:r>
        <w:drawing>
          <wp:inline>
            <wp:extent cx="5969000" cy="1865312"/>
            <wp:effectExtent b="0" l="0" r="0" t="0"/>
            <wp:docPr descr="Évolution de la production rizicole moyenne par ménage (kg/ménage/an)" title="" id="675" name="Picture"/>
            <a:graphic>
              <a:graphicData uri="http://schemas.openxmlformats.org/drawingml/2006/picture">
                <pic:pic>
                  <pic:nvPicPr>
                    <pic:cNvPr descr="05_agriculture_files/figure-docx/fig_agro_prod_riz-1.png" id="676" name="Picture"/>
                    <pic:cNvPicPr>
                      <a:picLocks noChangeArrowheads="1" noChangeAspect="1"/>
                    </pic:cNvPicPr>
                  </pic:nvPicPr>
                  <pic:blipFill>
                    <a:blip r:embed="rId67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orpsdetexte"/>
      </w:pPr>
      <w:r>
        <w:t xml:space="preserve">A Alaotra, le taux de ménages pratiquant l’élevage évolue de manière fluctuante entre 1998 et 2015. Les valeurs se situent globalement entre 63 % et 86 %, traduisant des variations modérées au fil des années. Après une baisse observée au début des années 2000, le taux connaît une remontée autour de 2003 et 2004, avant de diminuer de nouveau vers 2008. Entre 2010 et 2015, la pratique de l’élevage se stabilise autour de 75 % à 80 %. En 2025, le taux est estimé à environ 66 %, indiquant une diminution par rapport aux dernières années observées avant cette date.</w:t>
      </w:r>
    </w:p>
    <w:p>
      <w:pPr>
        <w:pStyle w:val="Corpsdetexte"/>
      </w:pPr>
      <w:r>
        <w:t xml:space="preserve">A Marovoay, le taux de ménages pratiquant l’élevage reste relativement élevé durant toute la période étudiée. Entre 1998 et 2015, les valeurs oscillent principalement entre 64 % et 86 %, avec plusieurs phases de hausse et de baisse successives. Une progression est visible au début des années 2000, suivie d’un recul autour de 2005, puis d’une nouvelle augmentation vers 2012. Après 2013, le taux se maintient autour de 80 %. En 2025, la proportion de ménages pratiquant l’élevage atteint environ 72 %, traduisant un niveau encore important de cette activité dans l’observatoire.</w:t>
      </w:r>
    </w:p>
    <w:p>
      <w:pPr>
        <w:pStyle w:val="CaptionedFigure"/>
      </w:pPr>
      <w:r>
        <w:drawing>
          <wp:inline>
            <wp:extent cx="5969000" cy="1865312"/>
            <wp:effectExtent b="0" l="0" r="0" t="0"/>
            <wp:docPr descr="Évolution du taux de pratique de l’élevage (1998–2025)" title="" id="678" name="Picture"/>
            <a:graphic>
              <a:graphicData uri="http://schemas.openxmlformats.org/drawingml/2006/picture">
                <pic:pic>
                  <pic:nvPicPr>
                    <pic:cNvPr descr="05_agriculture_files/figure-docx/fig_agro_elevage-1.png" id="679" name="Picture"/>
                    <pic:cNvPicPr>
                      <a:picLocks noChangeArrowheads="1" noChangeAspect="1"/>
                    </pic:cNvPicPr>
                  </pic:nvPicPr>
                  <pic:blipFill>
                    <a:blip r:embed="rId67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680"/>
    <w:bookmarkEnd w:id="681"/>
    <w:bookmarkStart w:id="741"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c:\PROGRA~1\Positron\RESOUR~1\app\quarto\share\formats\docx\warning.png" id="68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14"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697"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684" w:name="durée-de-la-soudure-par-observatoire"/>
    <w:p>
      <w:pPr>
        <w:pStyle w:val="Titre4"/>
      </w:pPr>
      <w:r>
        <w:t xml:space="preserve">6.1.1.1 Durée de la soudure par observatoire</w:t>
      </w:r>
    </w:p>
    <w:p>
      <w:pPr>
        <w:pStyle w:val="FirstParagraph"/>
      </w:pPr>
      <w:r>
        <w:t xml:space="preserve">A Alaotra, la durée moyenne de la période de soudure est de 3.8 mois. La moitié des ménages connaissent une période de soudure de 3 mois ou moins . Chaque ménage interrogé subit au moins 1 mois de précarité alimentaire tandis que la durée maximale atteint 12 mois pour certains foyers.</w:t>
      </w:r>
    </w:p>
    <w:p>
      <w:pPr>
        <w:pStyle w:val="Corpsdetexte"/>
      </w:pPr>
      <w:r>
        <w:t xml:space="preserve">A Marovoay, l’enquête réalisée auprès de 519 ménages révèle une durée moyenne de soudure de 2.2 mois. La moitié des ménages connaissent une période de soudure de 2 mois ou moins . Bien que le maximum observé soit de 11 mois, certains ménages ne déclarent aucun mois de soudure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684"/>
    <w:bookmarkStart w:id="688"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Alaotra, les localités qui se situent au-dessus de la moyenne (3.8 mois) sont Ambohidrony avec 4.8 mois, Ambatomanga avec 4.4 mois, Ambodivoara avec 4.3 mois et Ambatoharanana avec 4.1 mois. À l’inverse, les hameaux présentant une durée de soudure inférieure à la moyenne sont Mangabe avec 3.7 mois, Analamiranga avec 3.6 mois et Feramanga Atsimo avec 3.4 mois, tandis qu’Avaradrano est le plus résiliant en enregistrant la période la plus courte avec 3.1 mois.</w:t>
      </w:r>
    </w:p>
    <w:p>
      <w:pPr>
        <w:pStyle w:val="Corpsdetexte"/>
      </w:pPr>
      <w:r>
        <w:t xml:space="preserve">A Marovoay, la durée moyenne de la soudure est plus restreinte et s’établit à 2.2 mois par an. Le hameau de Madiromiongana est le seul de la zone à se situer au-dessus de cette moyenne avec une durée de 2.8 mois. Les autres hameaux affichent des statistiques inférieures ou égales à la moyenne de l’observatoire, avec 2.2 mois pour Maroala et une durée commune de 1.9 mois pour Ampijoroa et Bepako.</w:t>
      </w:r>
    </w:p>
    <w:p>
      <w:pPr>
        <w:pStyle w:val="CaptionedFigure"/>
      </w:pPr>
      <w:r>
        <w:drawing>
          <wp:inline>
            <wp:extent cx="4620126" cy="3696101"/>
            <wp:effectExtent b="0" l="0" r="0" t="0"/>
            <wp:docPr descr="Durée moyenne de la soudure par hameau" title="" id="686" name="Picture"/>
            <a:graphic>
              <a:graphicData uri="http://schemas.openxmlformats.org/drawingml/2006/picture">
                <pic:pic>
                  <pic:nvPicPr>
                    <pic:cNvPr descr="06_securite_alimentaire_files/figure-docx/fig_soudure_hameau-1.png" id="687" name="Picture"/>
                    <pic:cNvPicPr>
                      <a:picLocks noChangeArrowheads="1" noChangeAspect="1"/>
                    </pic:cNvPicPr>
                  </pic:nvPicPr>
                  <pic:blipFill>
                    <a:blip r:embed="rId6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688"/>
    <w:bookmarkStart w:id="692" w:name="X95464c5386b49ecd39248ef20943633679142d7"/>
    <w:p>
      <w:pPr>
        <w:pStyle w:val="Titre4"/>
      </w:pPr>
      <w:r>
        <w:t xml:space="preserve">6.1.1.3 Distribution du nombre de mois de soudure</w:t>
      </w:r>
    </w:p>
    <w:p>
      <w:pPr>
        <w:pStyle w:val="FirstParagraph"/>
      </w:pPr>
      <w:r>
        <w:t xml:space="preserve">À Alaotra, la distribution est étalée : 25 % des ménages ont 2 mois de soudure, mais plus de 20 % subissent entre 5 et 7 mois de manque.</w:t>
      </w:r>
    </w:p>
    <w:p>
      <w:pPr>
        <w:pStyle w:val="Corpsdetexte"/>
      </w:pPr>
      <w:r>
        <w:t xml:space="preserve">À Marovoay, la concentration est forte sur les durées courtes : 37 % n’ont qu’un seul mois de soudure.</w:t>
      </w:r>
    </w:p>
    <w:p>
      <w:pPr>
        <w:pStyle w:val="Corpsdetexte"/>
      </w:pPr>
      <w:r>
        <w:drawing>
          <wp:inline>
            <wp:extent cx="4620126" cy="3696101"/>
            <wp:effectExtent b="0" l="0" r="0" t="0"/>
            <wp:docPr descr="" title="" id="690" name="Picture"/>
            <a:graphic>
              <a:graphicData uri="http://schemas.openxmlformats.org/drawingml/2006/picture">
                <pic:pic>
                  <pic:nvPicPr>
                    <pic:cNvPr descr="06_securite_alimentaire_files/figure-docx/g1_soudure_distrib-1.png" id="691" name="Picture"/>
                    <pic:cNvPicPr>
                      <a:picLocks noChangeArrowheads="1" noChangeAspect="1"/>
                    </pic:cNvPicPr>
                  </pic:nvPicPr>
                  <pic:blipFill>
                    <a:blip r:embed="rId689"/>
                    <a:stretch>
                      <a:fillRect/>
                    </a:stretch>
                  </pic:blipFill>
                  <pic:spPr bwMode="auto">
                    <a:xfrm>
                      <a:off x="0" y="0"/>
                      <a:ext cx="4620126" cy="3696101"/>
                    </a:xfrm>
                    <a:prstGeom prst="rect">
                      <a:avLst/>
                    </a:prstGeom>
                    <a:noFill/>
                    <a:ln w="9525">
                      <a:noFill/>
                      <a:headEnd/>
                      <a:tailEnd/>
                    </a:ln>
                  </pic:spPr>
                </pic:pic>
              </a:graphicData>
            </a:graphic>
          </wp:inline>
        </w:drawing>
      </w:r>
    </w:p>
    <w:bookmarkEnd w:id="692"/>
    <w:bookmarkStart w:id="696"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l’Alaotra, la période de soudure est particulièrement intense et prolongée. La période la plus critique se situe entre février et avril pour atteindre un pic de 86.8% en mars. Par contre, bien avant le début de la période des pluies au mois d’octobre, la période de soudure touche déjà 12.8% des ménages au mois d’août et continue à augmenter les mois suivants. Les retombés du mois d’avril jusqu’au mois de juillet coincident avec la période de récolte du riz pluvial et irrigué entre avril et juin (Calendrier agricole, MINAGRI 2001)</w:t>
      </w:r>
    </w:p>
    <w:p>
      <w:pPr>
        <w:pStyle w:val="Corpsdetexte"/>
      </w:pPr>
      <w:r>
        <w:t xml:space="preserve">À Marovoay, la période la plus critique survient entre janvier et mars avec un pic de 65.3% des ménages en février. Ce pic de février est rapidement résorbé le mois suivant avec 52.4% des ménages touchés puis chute à 20.6% en avril. En effet, dès la mi-mars, débutent les récoltes du riz pluvial et de la campagne Asara (Riz irrigué de 2ème saison). De plus, la présence d’autres campagnes notamment le riz intermédiaire Atriatry récolté à partir de mai, ainsi que le riz de contre-saison Jeby en juin et juillet, permet de maintenir la sécurité alimentaire durant une grande partie de la saison sèche (Calendrier agricole, MINAGRI 2001). Cependant, la soudure débute en septembre juste avant le début de la période humide avec 24.9% des ménages concernés . Toutefois, la situation reste relativement stable autour de 22% à 25% jusqu’en décembre avant de bondir à 39.3% en janvier.</w:t>
      </w:r>
    </w:p>
    <w:p>
      <w:pPr>
        <w:pStyle w:val="Corpsdetexte"/>
      </w:pPr>
      <w:r>
        <w:drawing>
          <wp:inline>
            <wp:extent cx="4620126" cy="3696101"/>
            <wp:effectExtent b="0" l="0" r="0" t="0"/>
            <wp:docPr descr="" title="" id="694" name="Picture"/>
            <a:graphic>
              <a:graphicData uri="http://schemas.openxmlformats.org/drawingml/2006/picture">
                <pic:pic>
                  <pic:nvPicPr>
                    <pic:cNvPr descr="06_securite_alimentaire_files/figure-docx/g2_calendrier_soudure-1.png" id="695" name="Picture"/>
                    <pic:cNvPicPr>
                      <a:picLocks noChangeArrowheads="1" noChangeAspect="1"/>
                    </pic:cNvPicPr>
                  </pic:nvPicPr>
                  <pic:blipFill>
                    <a:blip r:embed="rId693"/>
                    <a:stretch>
                      <a:fillRect/>
                    </a:stretch>
                  </pic:blipFill>
                  <pic:spPr bwMode="auto">
                    <a:xfrm>
                      <a:off x="0" y="0"/>
                      <a:ext cx="4620126" cy="3696101"/>
                    </a:xfrm>
                    <a:prstGeom prst="rect">
                      <a:avLst/>
                    </a:prstGeom>
                    <a:noFill/>
                    <a:ln w="9525">
                      <a:noFill/>
                      <a:headEnd/>
                      <a:tailEnd/>
                    </a:ln>
                  </pic:spPr>
                </pic:pic>
              </a:graphicData>
            </a:graphic>
          </wp:inline>
        </w:drawing>
      </w:r>
    </w:p>
    <w:bookmarkEnd w:id="696"/>
    <w:bookmarkEnd w:id="697"/>
    <w:bookmarkStart w:id="705"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698"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Alaotra, la durée moyenne du stress alimentaire est de 2.5 mois. La période de soudure de la moitié des ménages est inférieure ou égale à 2 mois et l’autre moitié a une période de soudure supérieure à 2 mois.</w:t>
      </w:r>
    </w:p>
    <w:p>
      <w:pPr>
        <w:pStyle w:val="Corpsdetexte"/>
      </w:pPr>
      <w:r>
        <w:t xml:space="preserve">A Marovoay, l’enquête auprès des ménages révèle une durée moyenne de stress alimentaire de 3.3 mois. La période de soudure de la moitié des ménages est de 3 mois ou moins.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698"/>
    <w:bookmarkStart w:id="699" w:name="calendrier-du-stress-alimentaire"/>
    <w:p>
      <w:pPr>
        <w:pStyle w:val="Titre4"/>
      </w:pPr>
      <w:r>
        <w:t xml:space="preserve">6.1.2.2 Calendrier du stress alimentaire</w:t>
      </w:r>
    </w:p>
    <w:p>
      <w:pPr>
        <w:pStyle w:val="FirstParagraph"/>
      </w:pPr>
      <w:r>
        <w:rPr>
          <w:b/>
          <w:bCs/>
        </w:rPr>
        <w:t xml:space="preserve">A VOIR CODE R CAR LE CALENDRIER N’APPARRAIT PAS +&gt; FIGURE +INTERPRETATION</w:t>
      </w:r>
    </w:p>
    <w:bookmarkEnd w:id="699"/>
    <w:bookmarkStart w:id="704" w:name="Xccf58b071d79cc51e6dccc31b240904335e5845"/>
    <w:p>
      <w:pPr>
        <w:pStyle w:val="Titre4"/>
      </w:pPr>
      <w:r>
        <w:t xml:space="preserve">6.1.2.3 Comparaison soudure et stress alimentaire</w:t>
      </w:r>
    </w:p>
    <w:p>
      <w:pPr>
        <w:pStyle w:val="FirstParagraph"/>
      </w:pPr>
      <w:r>
        <w:t xml:space="preserve">À l’Alaotra, la période de soudure est particulièrement intense et prolongée. Les taux de ménages concernés est systématiquement supérieurs à ceux déclarant un stress alimentaire durant la majeure partie de l’année. La période la plus critique se situe entre février et avril atteignant un pic de 86.8 % de ménages en soudure contre 74.8 % en stress alimentaire au mois de mars. Bien avant le début de la saison humide, la période de soudure s’intensifie dès le mois d’août en touchant 12.8 % des ménages pour atteindre 37.5 % en octobre, tandis que le stress alimentaire se manifeste dès le mois de septembre avec un taux de 17 %. La baisse brutale observée à partir de mai, où le taux de ménages en soudure chute à 3.2 % et celui du stress alimentaire à 2.6 %, coïncide exactement avec le début des récoltes du riz irrigué et du riz pluvial qui s’étendent de mai à juin selon le calendrier agricole de cette zone.</w:t>
      </w:r>
    </w:p>
    <w:p>
      <w:pPr>
        <w:pStyle w:val="Corpsdetexte"/>
      </w:pPr>
      <w:r>
        <w:t xml:space="preserve">À Marovoay, les taux de stress alimentaire sont systématiquement plus élevés que ceux de la soudure tout au long de l’année. La période la plus critique survient entre janvier et mars avec un pic en février touchant 65.3 % des ménages pour la soudure et 67.6 % pour le stress alimentaire. Ce pic de février est rapidement résorbé le mois suivant avec 52.4 % de ménages en soudure en mars, puis chute drastiquement à 20.6 % en avril. Ce soulagement précoce s’explique par le début des récoltes du riz pluvial et de la campagne Asara dès la mi-mars selon le calendrier agricole. La présence d’autres cycles rizicoles comme le riz intermédiaire (Atriatry) récolté à partir de mai, et le riz de contre-saison (Jeby) en juin et juillet permet de maintenir la sécurité alimentaire durant la saison sèche bien que le stress alimentaire persiste pour environ 10 % à 17 % des ménages durant cette période. La période de soudure amorce cependant sa progression dès le mois de septembre avec 11.9 % de ménages affectés juste avant la saison humide, pour s’établir à 24.9 % en octobre. À cette même période, le stress alimentaire concerne déjà 35.1 % des foyers, bien que cette difficulté se manifeste dès le mois d’août avec un taux de 13.3 %. Enfin, entre octobre et décembre, les niveaux de soudure et de stress alimentaire demeurent relativement stables, oscillant respectivement entre 22 % et 25 % d’une part, et entre 30 % et 35 % d’autre part, avant de bondir en janvier pour atteindre 39.3 % contre 47.4 %.</w:t>
      </w:r>
    </w:p>
    <w:tbl>
      <w:tblPr>
        <w:tblStyle w:val="Table"/>
        <w:tblW w:type="pct" w:w="5000"/>
        <w:tblLayout w:type="fixed"/>
        <w:tblLook w:firstRow="0" w:lastRow="0" w:firstColumn="0" w:lastColumn="0" w:noHBand="0" w:noVBand="0" w:val="0000"/>
      </w:tblPr>
      <w:tblGrid>
        <w:gridCol w:w="7920"/>
      </w:tblGrid>
      <w:tr>
        <w:tc>
          <w:tcPr/>
          <w:bookmarkStart w:id="703"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3696101"/>
                  <wp:effectExtent b="0" l="0" r="0" t="0"/>
                  <wp:docPr descr="" title="" id="701" name="Picture"/>
                  <a:graphic>
                    <a:graphicData uri="http://schemas.openxmlformats.org/drawingml/2006/picture">
                      <pic:pic>
                        <pic:nvPicPr>
                          <pic:cNvPr descr="06_securite_alimentaire_files/figure-docx/fig-soudure-vs-stress-1.png" id="702" name="Picture"/>
                          <pic:cNvPicPr>
                            <a:picLocks noChangeArrowheads="1" noChangeAspect="1"/>
                          </pic:cNvPicPr>
                        </pic:nvPicPr>
                        <pic:blipFill>
                          <a:blip r:embed="rId700"/>
                          <a:stretch>
                            <a:fillRect/>
                          </a:stretch>
                        </pic:blipFill>
                        <pic:spPr bwMode="auto">
                          <a:xfrm>
                            <a:off x="0" y="0"/>
                            <a:ext cx="4620126" cy="3696101"/>
                          </a:xfrm>
                          <a:prstGeom prst="rect">
                            <a:avLst/>
                          </a:prstGeom>
                          <a:noFill/>
                          <a:ln w="9525">
                            <a:noFill/>
                            <a:headEnd/>
                            <a:tailEnd/>
                          </a:ln>
                        </pic:spPr>
                      </pic:pic>
                    </a:graphicData>
                  </a:graphic>
                </wp:inline>
              </w:drawing>
            </w:r>
          </w:p>
          <w:bookmarkEnd w:id="703"/>
        </w:tc>
      </w:tr>
    </w:tbl>
    <w:bookmarkEnd w:id="704"/>
    <w:bookmarkEnd w:id="705"/>
    <w:bookmarkStart w:id="713"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706" w:name="alimentation-hors-soudure"/>
    <w:p>
      <w:pPr>
        <w:pStyle w:val="Titre4"/>
      </w:pPr>
      <w:r>
        <w:t xml:space="preserve">6.1.3.1 Alimentation hors soudure</w:t>
      </w:r>
    </w:p>
    <w:p>
      <w:pPr>
        <w:pStyle w:val="FirstParagraph"/>
      </w:pPr>
      <w:r>
        <w:t xml:space="preserve">A Alaotra, le riz constitue le socle de l’alimentation des ménages pour les trois repas de la journée hors période de soudure avec 97.8% des ménages consomment du riz au petit-déjeuner, 93.5% au déjeuner et 99.6% au dîner.</w:t>
      </w:r>
    </w:p>
    <w:p>
      <w:pPr>
        <w:pStyle w:val="Corpsdetexte"/>
      </w:pPr>
      <w:r>
        <w:t xml:space="preserve">À Marovoay, le riz est l’aliment de base prédominant en dehors de la période de soudure. Il représente l’essentiel du petit-déjeuner à 89.9% des ménages, des déjeuners à 95.2%, des dîners pour 99.6%.</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706"/>
    <w:bookmarkStart w:id="707" w:name="alimentation-pendant-la-soudure"/>
    <w:p>
      <w:pPr>
        <w:pStyle w:val="Titre4"/>
      </w:pPr>
      <w:r>
        <w:t xml:space="preserve">6.1.3.2 Alimentation pendant la soudure</w:t>
      </w:r>
    </w:p>
    <w:p>
      <w:pPr>
        <w:pStyle w:val="FirstParagraph"/>
      </w:pPr>
      <w:r>
        <w:t xml:space="preserve">A Alaotra, le riz demeure l’aliment prédominant pour 92.0% des ménages au petit déjeuner. Pour le déjeuner, les habitudes se diversifient davantage car le riz ne représente plus que 52.6% des réponses tandis que le manioc et le maïs deviennent des substituts importants avec des taux respectifs de 27.4% et 16.7%. Enfin, le dîner reste la structure la plus stable de l’alimentation avec 98.0% des ménages qui continuent de consommer du riz pendant cette période de soudure.</w:t>
      </w:r>
    </w:p>
    <w:p>
      <w:pPr>
        <w:pStyle w:val="Corpsdetexte"/>
      </w:pPr>
      <w:r>
        <w:t xml:space="preserve">A Marovoay, le changement est très marqué durant la soudure au petit déjeuner. La part du riz chute à 55.7% tandis que 25.3% des ménages déclarent ne rien consommer du tout. Concernant le déjeuner, le riz ne constitue plus le repas que pour 60.8% des ménages complété par le maïs à 20.7%, le manioc à 11.5% et la patate douce à 4.6%. Pour le dîner, le riz conserve sa place centrale pour 92.5% des ménages, bien que le manioc (2.6%) et le maïs (2.4%) fassent de légères apparitions dans les statistiques de consommation.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707"/>
    <w:bookmarkStart w:id="711" w:name="X72a9965c0dbad0a4072f515989797b1356a2468"/>
    <w:p>
      <w:pPr>
        <w:pStyle w:val="Titre4"/>
      </w:pPr>
      <w:r>
        <w:t xml:space="preserve">6.1.3.3 Comparaison de l’alimentation au déjeuner : hors vs pendant soudure</w:t>
      </w:r>
    </w:p>
    <w:p>
      <w:pPr>
        <w:pStyle w:val="FirstParagraph"/>
      </w:pPr>
      <w:r>
        <w:t xml:space="preserve">A Alaotra, le riz est l’aliment de base quasi exclusif consommé par 93.5% des ménages hors soudure et va chuter à 52.6% pendant la soudure. Ce recul est compensé par une diversification vers d’autres produits vivriers. Le manioc devient l’aliment de base au déjeuner pour 27.4% des ménages tandis que le maïs concerne 16.7% des ménages.</w:t>
      </w:r>
    </w:p>
    <w:p>
      <w:pPr>
        <w:pStyle w:val="Corpsdetexte"/>
      </w:pPr>
      <w:r>
        <w:t xml:space="preserve">À Marovoay, le riz domine le déjeuner hors soudure avec un taux de 95.2%. Pendant la soudure, sa consommation diminue pour atteindre 60.8%. Le maïs devient alors le principal aliment de substitution avec 20.7% des réponses. Les ménages intègrent également d’autres aliments comme le manioc à hauteur de 11.5% et la patate douce pour 4.6% d’entre eux.</w:t>
      </w:r>
    </w:p>
    <w:p>
      <w:pPr>
        <w:pStyle w:val="Corpsdetexte"/>
      </w:pPr>
      <w:r>
        <w:drawing>
          <wp:inline>
            <wp:extent cx="4620126" cy="3696101"/>
            <wp:effectExtent b="0" l="0" r="0" t="0"/>
            <wp:docPr descr="" title="" id="709" name="Picture"/>
            <a:graphic>
              <a:graphicData uri="http://schemas.openxmlformats.org/drawingml/2006/picture">
                <pic:pic>
                  <pic:nvPicPr>
                    <pic:cNvPr descr="06_securite_alimentaire_files/figure-docx/g4_comparaison_dejeuner-1.png" id="710" name="Picture"/>
                    <pic:cNvPicPr>
                      <a:picLocks noChangeArrowheads="1" noChangeAspect="1"/>
                    </pic:cNvPicPr>
                  </pic:nvPicPr>
                  <pic:blipFill>
                    <a:blip r:embed="rId708"/>
                    <a:stretch>
                      <a:fillRect/>
                    </a:stretch>
                  </pic:blipFill>
                  <pic:spPr bwMode="auto">
                    <a:xfrm>
                      <a:off x="0" y="0"/>
                      <a:ext cx="4620126" cy="3696101"/>
                    </a:xfrm>
                    <a:prstGeom prst="rect">
                      <a:avLst/>
                    </a:prstGeom>
                    <a:noFill/>
                    <a:ln w="9525">
                      <a:noFill/>
                      <a:headEnd/>
                      <a:tailEnd/>
                    </a:ln>
                  </pic:spPr>
                </pic:pic>
              </a:graphicData>
            </a:graphic>
          </wp:inline>
        </w:drawing>
      </w:r>
    </w:p>
    <w:bookmarkEnd w:id="711"/>
    <w:bookmarkStart w:id="712" w:name="Xac9b27d1fa2958ed638b7f1d3389e7618eba676"/>
    <w:p>
      <w:pPr>
        <w:pStyle w:val="Titre4"/>
      </w:pPr>
      <w:r>
        <w:t xml:space="preserve">6.1.3.4 Changement d’aliment de base au déjeuner entre hors et pendant soudure</w:t>
      </w:r>
    </w:p>
    <w:p>
      <w:pPr>
        <w:pStyle w:val="FirstParagraph"/>
      </w:pPr>
      <w:r>
        <w:t xml:space="preserve">À l’Alaotra, un peu plus de la moitié des ménages, soit 52.2%, consomme du riz au déjeuner durant la période de soudure. Pour le reste des ménages, l’épuisement des stocks entraîne un recours accru à des aliments de substitution comme le manioc et le maïs, consommés respectivement par 23.4 % et 15.3 % des ménages. Ce recours au manioc est d’autant plus marqué qu’il ne constitue l’alimentation de base habituelle que pour 3.6 % des foyers au cours de l’année.</w:t>
      </w:r>
    </w:p>
    <w:p>
      <w:pPr>
        <w:pStyle w:val="Corpsdetexte"/>
      </w:pPr>
      <w:r>
        <w:t xml:space="preserve">À Marovoay, une proportion plus élevée de ménages, soit 60.6 %, mange du riz au déjeuner pendant la période de soudure. Pour compenser cette diminution, les ménages se tournent vers des aliments de substitution comme le maïs, le manioc et la patate douce adoptés respectivement par 18.1 %, 9.7 % et 1.2 % d’entre eux. Cette transition vers le maïs et le manioc est d’autant plus marquée que ces aliments ne constituent l’alimentation de base habituelle au déjeuner que pour 2.2 % et 1.6 % des ménages au cours de l’année. En revanche, hors période de soudure, les ménages ne consomment pas de patate douce.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712"/>
    <w:bookmarkEnd w:id="713"/>
    <w:bookmarkEnd w:id="714"/>
    <w:bookmarkStart w:id="729"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718" w:name="fréquence-des-stratégies-dadaptation"/>
    <w:p>
      <w:pPr>
        <w:pStyle w:val="Titre3"/>
      </w:pPr>
      <w:r>
        <w:t xml:space="preserve">6.2.1 Fréquence des stratégies d’adaptation</w:t>
      </w:r>
    </w:p>
    <w:p>
      <w:pPr>
        <w:pStyle w:val="FirstParagraph"/>
      </w:pPr>
      <w:r>
        <w:t xml:space="preserve">A Alaotra, la stratégie d’adaptation la plus fréquemment mobilisée par les ménages, en cumulant les fréquences quelquefois et souvent, est la réduction de la ration à chaque repas avec un taux de 58.2%. Elle est suivie par la réduction ou le renoncement aux ingrédients chers qui concerne 51.7% des foyers et le remplacement de l’aliment de base pour 41.1%. Plus d’un quart des ménages (26.0%) déclarent réduire le nombre de repas quotidien. Viennent ensuite la cueillette d’aliments sauvages (21.5 %), l’emprunt d’aliments (21.4 %) et l’endettement pour l’achat de nourriture (13.8 %).</w:t>
      </w:r>
    </w:p>
    <w:p>
      <w:pPr>
        <w:pStyle w:val="Corpsdetexte"/>
      </w:pPr>
      <w:r>
        <w:t xml:space="preserve">À Marovoay, la réduction de la ration à chaque repas étant pratiquée souvent ou quelquefois par 80.5% des ménages. La réduction ou le renoncement aux ingrédients chers arrive en deuxième position avec 60.2% des réponses. Le remplacement de l’aliment de base et la réduction du nombre de repas quotidien sont utilisés à parts égales par 43.8% des foyers. On observe ensuite le recours à l’endettement alimentaire (17.7%), la réduction des dépenses non essentielles (16.2%), la cueillette d’aliments sauvages (15.1%) et l’emprunt de nourriture (14.7%). L’envoi d’un membre du ménage chez un autre ménage concerne 10.8% des familles.</w:t>
      </w:r>
    </w:p>
    <w:p>
      <w:pPr>
        <w:pStyle w:val="Corpsdetexte"/>
      </w:pPr>
      <w:r>
        <w:drawing>
          <wp:inline>
            <wp:extent cx="4620126" cy="3696101"/>
            <wp:effectExtent b="0" l="0" r="0" t="0"/>
            <wp:docPr descr="" title="" id="716" name="Picture"/>
            <a:graphic>
              <a:graphicData uri="http://schemas.openxmlformats.org/drawingml/2006/picture">
                <pic:pic>
                  <pic:nvPicPr>
                    <pic:cNvPr descr="06_securite_alimentaire_files/figure-docx/g5_strategies_likert-1.png" id="717" name="Picture"/>
                    <pic:cNvPicPr>
                      <a:picLocks noChangeArrowheads="1" noChangeAspect="1"/>
                    </pic:cNvPicPr>
                  </pic:nvPicPr>
                  <pic:blipFill>
                    <a:blip r:embed="rId715"/>
                    <a:stretch>
                      <a:fillRect/>
                    </a:stretch>
                  </pic:blipFill>
                  <pic:spPr bwMode="auto">
                    <a:xfrm>
                      <a:off x="0" y="0"/>
                      <a:ext cx="4620126" cy="3696101"/>
                    </a:xfrm>
                    <a:prstGeom prst="rect">
                      <a:avLst/>
                    </a:prstGeom>
                    <a:noFill/>
                    <a:ln w="9525">
                      <a:noFill/>
                      <a:headEnd/>
                      <a:tailEnd/>
                    </a:ln>
                  </pic:spPr>
                </pic:pic>
              </a:graphicData>
            </a:graphic>
          </wp:inline>
        </w:drawing>
      </w:r>
    </w:p>
    <w:bookmarkEnd w:id="718"/>
    <w:bookmarkStart w:id="728" w:name="X9cf7e1014deb83f27c62d34c9fba8f88243955e"/>
    <w:p>
      <w:pPr>
        <w:pStyle w:val="Titre3"/>
      </w:pPr>
      <w:r>
        <w:t xml:space="preserve">6.2.2 Sources d’endettement et d’emprunt alimentaire</w:t>
      </w:r>
    </w:p>
    <w:p>
      <w:pPr>
        <w:pStyle w:val="FirstParagraph"/>
      </w:pPr>
      <w:r>
        <w:t xml:space="preserve">A Alaotra, concernant les sources d’endettement pour l’achat alimentaire, les ménages de l’Alaotra se tournent principalement vers la famille à hauteur de 64.1%, suivie des voisins pour 40.6%. Pour ce qui est de l’emprunt d’aliments de base, la famille reste la source la plus sollicitée avec 45.5% suivie des voisins avec 35.0% et enfin des commerçants avec 28.0%.</w:t>
      </w:r>
    </w:p>
    <w:p>
      <w:pPr>
        <w:pStyle w:val="Corpsdetexte"/>
      </w:pPr>
      <w:r>
        <w:t xml:space="preserve">À Marovoay, l’endettement pour l’achat de nourriture est contracté en priorité auprès de la famille pour 44.0% des ménages concernés, puis auprès des voisins pour 33.0%, des usuriers pour 17.8%. Quant à l’emprunt d’aliments, il s’effectue majoritairement auprès de la famille à raison de 58.6% tandis que les voisins interviennent pour 27.1%.</w:t>
      </w:r>
    </w:p>
    <w:p>
      <w:pPr>
        <w:pStyle w:val="CaptionedFigure"/>
      </w:pPr>
      <w:r>
        <w:drawing>
          <wp:inline>
            <wp:extent cx="4620126" cy="3696101"/>
            <wp:effectExtent b="0" l="0" r="0" t="0"/>
            <wp:docPr descr="Sources d’endettement alimentaire" title="" id="720" name="Picture"/>
            <a:graphic>
              <a:graphicData uri="http://schemas.openxmlformats.org/drawingml/2006/picture">
                <pic:pic>
                  <pic:nvPicPr>
                    <pic:cNvPr descr="06_securite_alimentaire_files/figure-docx/fig_sources_endettement-1.png" id="721" name="Picture"/>
                    <pic:cNvPicPr>
                      <a:picLocks noChangeArrowheads="1" noChangeAspect="1"/>
                    </pic:cNvPicPr>
                  </pic:nvPicPr>
                  <pic:blipFill>
                    <a:blip r:embed="rId71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orpsdetexte"/>
      </w:pPr>
      <w:r>
        <w:t xml:space="preserve">A Alaotra, les principales sources d’emprunt d’aliments de base proviennent de la famille, citée par 45.5 % des ménages. Les voisins occupent également une place importante avec 35 %, tandis que les commerçants représentent 28 %. Les autres sources restent très peu mobilisées, avec seulement 1.7 % pour les usuriers et 1.7 % pour les autres formes d’emprunt.</w:t>
      </w:r>
    </w:p>
    <w:p>
      <w:pPr>
        <w:pStyle w:val="Corpsdetexte"/>
      </w:pPr>
      <w:r>
        <w:t xml:space="preserve">A Marovoay, la famille constitue de loin la principale source d’emprunt d’aliments de base avec 58.6 % des ménages concernés. Les voisins arrivent ensuite avec 27.1 %. Les commerçants occupent une place plus limitée avec 6.9 %, tandis que les usuriers et les autres sources demeurent marginales avec respectivement 5.6 % et 1.4 %.</w:t>
      </w:r>
    </w:p>
    <w:p>
      <w:pPr>
        <w:pStyle w:val="CaptionedFigure"/>
      </w:pPr>
      <w:r>
        <w:drawing>
          <wp:inline>
            <wp:extent cx="4620126" cy="3696101"/>
            <wp:effectExtent b="0" l="0" r="0" t="0"/>
            <wp:docPr descr="Sources d’emprunt d’aliments de base" title="" id="723" name="Picture"/>
            <a:graphic>
              <a:graphicData uri="http://schemas.openxmlformats.org/drawingml/2006/picture">
                <pic:pic>
                  <pic:nvPicPr>
                    <pic:cNvPr descr="06_securite_alimentaire_files/figure-docx/fig_sources_emprunt-1.png" id="724" name="Picture"/>
                    <pic:cNvPicPr>
                      <a:picLocks noChangeArrowheads="1" noChangeAspect="1"/>
                    </pic:cNvPicPr>
                  </pic:nvPicPr>
                  <pic:blipFill>
                    <a:blip r:embed="rId7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4620126"/>
            <wp:effectExtent b="0" l="0" r="0" t="0"/>
            <wp:docPr descr="" title="" id="726" name="Picture"/>
            <a:graphic>
              <a:graphicData uri="http://schemas.openxmlformats.org/drawingml/2006/picture">
                <pic:pic>
                  <pic:nvPicPr>
                    <pic:cNvPr descr="06_securite_alimentaire_files/figure-docx/g6_top_strategies-1.png" id="727" name="Picture"/>
                    <pic:cNvPicPr>
                      <a:picLocks noChangeArrowheads="1" noChangeAspect="1"/>
                    </pic:cNvPicPr>
                  </pic:nvPicPr>
                  <pic:blipFill>
                    <a:blip r:embed="rId725"/>
                    <a:stretch>
                      <a:fillRect/>
                    </a:stretch>
                  </pic:blipFill>
                  <pic:spPr bwMode="auto">
                    <a:xfrm>
                      <a:off x="0" y="0"/>
                      <a:ext cx="4620126" cy="4620126"/>
                    </a:xfrm>
                    <a:prstGeom prst="rect">
                      <a:avLst/>
                    </a:prstGeom>
                    <a:noFill/>
                    <a:ln w="9525">
                      <a:noFill/>
                      <a:headEnd/>
                      <a:tailEnd/>
                    </a:ln>
                  </pic:spPr>
                </pic:pic>
              </a:graphicData>
            </a:graphic>
          </wp:inline>
        </w:drawing>
      </w:r>
    </w:p>
    <w:bookmarkEnd w:id="728"/>
    <w:bookmarkEnd w:id="729"/>
    <w:bookmarkStart w:id="733"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À Alaotra, le score CSI moyen est de 8.4 traduisant un recours relativement important aux stratégies d’adaptation alimentaires. Feramanga Atsimo présente le score le plus élevé (10.1), suivi d’Ambohidrony (9.0). Ambatomanga (8.6), Analamiranga et Mangabe (8.5) affichent des niveaux proches de la moyenne générale, tandis qu’Avaradrano enregistre le score le plus faible (6.8). La boîte à moustaches montre que la majorité des ménages ont des scores concentrés autour de la médiane située près de 8.</w:t>
      </w:r>
    </w:p>
    <w:p>
      <w:pPr>
        <w:pStyle w:val="Corpsdetexte"/>
      </w:pPr>
      <w:r>
        <w:t xml:space="preserve">À Marovoay, le score CSI moyen est de 9.5 indiquant un recours plus important aux stratégies d’adaptation. Maroala présente le score le plus élevé (10.0), suivi d’Ampijoroa (9.6), de Madiromiongana (9.3) et de Bepako (9.1). La boîte à moustaches montre une médiane autour de 9 et une concentration de la majorité des ménages entre des scores d’environ 5 et 13.</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t xml:space="preserve">A Alaotra, la distribution du score CSI simplifié présente une médiane autour de 8, avec une dispersion relativement importante des valeurs. La moitié des ménages se situe approximativement entre 4 et 12, ce qui traduit des situations assez variées en matière de stratégies d’adaptation alimentaire. Quelques ménages affichent toutefois des scores particulièrement élevés, dépassant 20 et atteignant environ 25 à 27, ce qui indique des niveaux de vulnérabilité plus marqués pour une partie réduite de la population.</w:t>
      </w:r>
    </w:p>
    <w:p>
      <w:pPr>
        <w:pStyle w:val="Corpsdetexte"/>
      </w:pPr>
      <w:r>
        <w:t xml:space="preserve">A Marovoay, la médiane du score CSI simplifié est légèrement plus élevée, autour de 9. Les valeurs sont également dispersées, avec une concentration importante des ménages entre 5 et 13. Certains ménages présentent des scores très élevés pouvant dépasser 25, révélant l’existence de situations de vulnérabilité alimentaire plus sévères au sein de l’observatoire.</w:t>
      </w:r>
    </w:p>
    <w:p>
      <w:pPr>
        <w:pStyle w:val="Corpsdetexte"/>
      </w:pPr>
      <w:r>
        <w:drawing>
          <wp:inline>
            <wp:extent cx="4620126" cy="3696101"/>
            <wp:effectExtent b="0" l="0" r="0" t="0"/>
            <wp:docPr descr="" title="" id="731" name="Picture"/>
            <a:graphic>
              <a:graphicData uri="http://schemas.openxmlformats.org/drawingml/2006/picture">
                <pic:pic>
                  <pic:nvPicPr>
                    <pic:cNvPr descr="06_securite_alimentaire_files/figure-docx/g7_csi_boxplot-1.png" id="732" name="Picture"/>
                    <pic:cNvPicPr>
                      <a:picLocks noChangeArrowheads="1" noChangeAspect="1"/>
                    </pic:cNvPicPr>
                  </pic:nvPicPr>
                  <pic:blipFill>
                    <a:blip r:embed="rId730"/>
                    <a:stretch>
                      <a:fillRect/>
                    </a:stretch>
                  </pic:blipFill>
                  <pic:spPr bwMode="auto">
                    <a:xfrm>
                      <a:off x="0" y="0"/>
                      <a:ext cx="4620126" cy="3696101"/>
                    </a:xfrm>
                    <a:prstGeom prst="rect">
                      <a:avLst/>
                    </a:prstGeom>
                    <a:noFill/>
                    <a:ln w="9525">
                      <a:noFill/>
                      <a:headEnd/>
                      <a:tailEnd/>
                    </a:ln>
                  </pic:spPr>
                </pic:pic>
              </a:graphicData>
            </a:graphic>
          </wp:inline>
        </w:drawing>
      </w:r>
    </w:p>
    <w:bookmarkEnd w:id="733"/>
    <w:bookmarkStart w:id="740"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orpsdetexte"/>
      </w:pPr>
      <w:r>
        <w:t xml:space="preserve">À l’Alaotra, la durée moyenne de la soudure a débuté à environ 3 mois en 1999 avant de connaître une progression importante jusqu’à un sommet de près de 6 mois en 2004. Durant la décennie suivante, entre 2005 et 2014, les valeurs sont restées relativement élevées, fluctuant généralement entre 4.5 et 5.5 mois. La campagne 2025 marque une amélioration par rapport à cette période historique avec une durée moyenne qui s’établit à 3.8 mois par ménage.</w:t>
      </w:r>
    </w:p>
    <w:p>
      <w:pPr>
        <w:pStyle w:val="Corpsdetexte"/>
      </w:pPr>
      <w:r>
        <w:t xml:space="preserve">A Marovoay présentait une situation de départ très difficile en 1995 avec une durée moyenne de soudure dépassant les 8.5 mois. Une réduction drastique a été observée au cours des années suivantes pour atteindre environ 4 mois en 2003. Entre 2004 et 2014, la durée a connu des variations cycliques comprises entre 3.5 et 5 mois environ. En 2025, la durée moyenne de la soudure atteint son niveau le plus bas enregistré depuis le début du suivi avec 2.2 mois par ménage.</w:t>
      </w:r>
    </w:p>
    <w:p>
      <w:pPr>
        <w:pStyle w:val="CaptionedFigure"/>
      </w:pPr>
      <w:r>
        <w:drawing>
          <wp:inline>
            <wp:extent cx="5969000" cy="1865312"/>
            <wp:effectExtent b="0" l="0" r="0" t="0"/>
            <wp:docPr descr="Évolution de la durée moyenne de soudure (mois/ménage)" title="" id="735" name="Picture"/>
            <a:graphic>
              <a:graphicData uri="http://schemas.openxmlformats.org/drawingml/2006/picture">
                <pic:pic>
                  <pic:nvPicPr>
                    <pic:cNvPr descr="06_securite_alimentaire_files/figure-docx/fig_sa_soudure_duration-1.png" id="736" name="Picture"/>
                    <pic:cNvPicPr>
                      <a:picLocks noChangeArrowheads="1" noChangeAspect="1"/>
                    </pic:cNvPicPr>
                  </pic:nvPicPr>
                  <pic:blipFill>
                    <a:blip r:embed="rId73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orpsdetexte"/>
      </w:pPr>
      <w:r>
        <w:t xml:space="preserve">À l’Alaotra, la proportion de ménages ayant connu une période de soudure a marqué l’histoire de l’observatoire par des variations importantes. En 1999, ce taux était de 87.8% avant d’atteindre un sommet historique de 96.8% en 2003. Une tendance à la baisse s’est ensuite manifestée durant la décennie suivante, le pourcentage de ménages touchés tombant à son niveau le plus bas en 2013 avec 51.1%. Toutefois, les données de la campagne 2025 indiquent une dégradation de la situation, puisque 100% des ménages déclarent désormais subir au moins un mois de soudure au cours de l’année.</w:t>
      </w:r>
    </w:p>
    <w:p>
      <w:pPr>
        <w:pStyle w:val="Corpsdetexte"/>
      </w:pPr>
      <w:r>
        <w:t xml:space="preserve">À Marovoay, la période de soudure était quasi généralisée au début du suivi avec un taux de 99.2% des ménages en 1995. Cette situation de crise s’est maintenue à des niveaux très élevés (supérieurs à 90%) jusqu’en 2003. Une réduction significative a été enregistrée par la suite atteignant un point bas de 51.7% en 2008, avant de remonter et de fluctuer entre 58% et 72% jusqu’en 2014. Pour la campagne 2025, la prévalence de la soudure repart à la hausse et concerne 97.3% des ménages de l’observatoire.</w:t>
      </w:r>
    </w:p>
    <w:p>
      <w:pPr>
        <w:pStyle w:val="CaptionedFigure"/>
      </w:pPr>
      <w:r>
        <w:drawing>
          <wp:inline>
            <wp:extent cx="5969000" cy="1865312"/>
            <wp:effectExtent b="0" l="0" r="0" t="0"/>
            <wp:docPr descr="Évolution du pourcentage de ménages en soudure" title="" id="738" name="Picture"/>
            <a:graphic>
              <a:graphicData uri="http://schemas.openxmlformats.org/drawingml/2006/picture">
                <pic:pic>
                  <pic:nvPicPr>
                    <pic:cNvPr descr="06_securite_alimentaire_files/figure-docx/fig_sa_pct_soudure-1.png" id="739" name="Picture"/>
                    <pic:cNvPicPr>
                      <a:picLocks noChangeArrowheads="1" noChangeAspect="1"/>
                    </pic:cNvPicPr>
                  </pic:nvPicPr>
                  <pic:blipFill>
                    <a:blip r:embed="rId73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740"/>
    <w:bookmarkEnd w:id="741"/>
    <w:bookmarkStart w:id="868"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p>
      <w:pPr>
        <w:pStyle w:val="Corpsdetexte"/>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p>
      <w:pPr>
        <w:pStyle w:val="Corpsdetexte"/>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42" name="Picture"/>
                  <a:graphic>
                    <a:graphicData uri="http://schemas.openxmlformats.org/drawingml/2006/picture">
                      <pic:pic>
                        <pic:nvPicPr>
                          <pic:cNvPr descr="c:\PROGRA~1\Positron\RESOUR~1\app\quarto\share\formats\docx\warning.png" id="74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69"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48"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Alaotra, les ressources jugées les plus rares (« peu ou pas ») sont les terres de pâturage et de culture (environ 60 %). Cette zone est marqué par une pression foncière plus forte.</w:t>
      </w:r>
    </w:p>
    <w:p>
      <w:pPr>
        <w:pStyle w:val="Corpsdetexte"/>
      </w:pPr>
      <w:r>
        <w:t xml:space="preserve">À Marovoay, une majorité de ménages considère encore la forêt et les animaux sauvages comme « abondants » (plus de 75 %), alors que les terres de culture sont jugées rares à 60 %. Cet observatoire bénéficie d’une perception de ressources naturelles encore disponibles grâce à la proximité du parc d’Ankarafantsika.</w:t>
      </w:r>
    </w:p>
    <w:tbl>
      <w:tblPr>
        <w:tblStyle w:val="Table"/>
        <w:tblW w:type="pct" w:w="5000"/>
        <w:tblLayout w:type="fixed"/>
        <w:tblLook w:firstRow="0" w:lastRow="0" w:firstColumn="0" w:lastColumn="0" w:noHBand="0" w:noVBand="0" w:val="0000"/>
      </w:tblPr>
      <w:tblGrid>
        <w:gridCol w:w="7920"/>
      </w:tblGrid>
      <w:tr>
        <w:tc>
          <w:tcPr/>
          <w:bookmarkStart w:id="747"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2238375"/>
                  <wp:effectExtent b="0" l="0" r="0" t="0"/>
                  <wp:docPr descr="" title="" id="745" name="Picture"/>
                  <a:graphic>
                    <a:graphicData uri="http://schemas.openxmlformats.org/drawingml/2006/picture">
                      <pic:pic>
                        <pic:nvPicPr>
                          <pic:cNvPr descr="07_rapport_environnement_files/figure-docx/fig-ressources-dispo-1.png" id="746" name="Picture"/>
                          <pic:cNvPicPr>
                            <a:picLocks noChangeArrowheads="1" noChangeAspect="1"/>
                          </pic:cNvPicPr>
                        </pic:nvPicPr>
                        <pic:blipFill>
                          <a:blip r:embed="rId744"/>
                          <a:stretch>
                            <a:fillRect/>
                          </a:stretch>
                        </pic:blipFill>
                        <pic:spPr bwMode="auto">
                          <a:xfrm>
                            <a:off x="0" y="0"/>
                            <a:ext cx="5969000" cy="2238375"/>
                          </a:xfrm>
                          <a:prstGeom prst="rect">
                            <a:avLst/>
                          </a:prstGeom>
                          <a:noFill/>
                          <a:ln w="9525">
                            <a:noFill/>
                            <a:headEnd/>
                            <a:tailEnd/>
                          </a:ln>
                        </pic:spPr>
                      </pic:pic>
                    </a:graphicData>
                  </a:graphic>
                </wp:inline>
              </w:drawing>
            </w:r>
          </w:p>
          <w:bookmarkEnd w:id="747"/>
        </w:tc>
      </w:tr>
    </w:tbl>
    <w:bookmarkEnd w:id="748"/>
    <w:bookmarkStart w:id="753"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Alaotra, environ 50.0% des ménages perçoivent une diminution de la terre de culture, tandis que 15.0% jugent la situation stable et 35.0% constatent une augmentation. Concernant l’eau, la perception est partagée entre une diminution pour 45.0% des répondants et une stabilité pour 45.0% d’entre eux, l’augmentation ne concernant que 10.0%. Les terres de pâturage sont vues en diminution par 65.0% des ménages, stables pour 20.0% et en augmentation pour 15.0%. La surface de la forêt est jugée en diminution par 70.0% des foyers, stable pour 25.0% et en hausse pour 5.0%. Pour les animaux sauvages, 70.0% des ménages déclarent une diminution, 20.0% une stabilité et 10.0% une augmentation. Les plantes comestibles et médicinales suivent une tendance similaire avec environ 70.0% de diminution, 25.0% de stabilité et 5.0% d’augmentation. Le bois est perçu en déclin par 75.0% des ménages, contre 20.0% de stabilité et 5.0% d’augmentation. L’indicateur global montre que 80.0% des ménages perçoivent une diminution des ressources et 20.0% une stabilité.</w:t>
      </w:r>
    </w:p>
    <w:p>
      <w:pPr>
        <w:pStyle w:val="Corpsdetexte"/>
      </w:pPr>
      <w:r>
        <w:t xml:space="preserve">A Marovoay, 75.0% des ménages rapportent une diminution de la terre de culture, 10.0% une stabilité et 15.0% une augmentation. L’accès à l’eau est jugé en diminution par 75.0% des ménages, stable par 20.0% et en augmentation par 5.0%. Les terres de pâturage sont perçues en diminution par 75.0% des répondants, stables par 20.0% et en augmentation par 5.0%. La surface forestière est vue en diminution par 75.0% des ménages, stable pour 20.0% et en hausse pour 5.0%. Les animaux sauvages sont déclarés en diminution par 80.0% des ménages et stables par 20.0%. Concernant les plantes comestibles, les plantes médicinales et le bois, les proportions sont identiques : 85.0% des ménages notent une diminution, 10.0% une stabilité et 5.0% une augmentation. L’indicateur global confirme ce sentiment avec 85.0% de diminution perçue, 10.0% de stabilité et 5.0% d’augmentation.</w:t>
      </w:r>
    </w:p>
    <w:tbl>
      <w:tblPr>
        <w:tblStyle w:val="Table"/>
        <w:tblW w:type="pct" w:w="5000"/>
        <w:tblLayout w:type="fixed"/>
        <w:tblLook w:firstRow="0" w:lastRow="0" w:firstColumn="0" w:lastColumn="0" w:noHBand="0" w:noVBand="0" w:val="0000"/>
      </w:tblPr>
      <w:tblGrid>
        <w:gridCol w:w="7920"/>
      </w:tblGrid>
      <w:tr>
        <w:tc>
          <w:tcPr/>
          <w:bookmarkStart w:id="752"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2238375"/>
                  <wp:effectExtent b="0" l="0" r="0" t="0"/>
                  <wp:docPr descr="" title="" id="750" name="Picture"/>
                  <a:graphic>
                    <a:graphicData uri="http://schemas.openxmlformats.org/drawingml/2006/picture">
                      <pic:pic>
                        <pic:nvPicPr>
                          <pic:cNvPr descr="07_rapport_environnement_files/figure-docx/fig-evolution-ressources-1.png" id="751" name="Picture"/>
                          <pic:cNvPicPr>
                            <a:picLocks noChangeArrowheads="1" noChangeAspect="1"/>
                          </pic:cNvPicPr>
                        </pic:nvPicPr>
                        <pic:blipFill>
                          <a:blip r:embed="rId749"/>
                          <a:stretch>
                            <a:fillRect/>
                          </a:stretch>
                        </pic:blipFill>
                        <pic:spPr bwMode="auto">
                          <a:xfrm>
                            <a:off x="0" y="0"/>
                            <a:ext cx="5969000" cy="2238375"/>
                          </a:xfrm>
                          <a:prstGeom prst="rect">
                            <a:avLst/>
                          </a:prstGeom>
                          <a:noFill/>
                          <a:ln w="9525">
                            <a:noFill/>
                            <a:headEnd/>
                            <a:tailEnd/>
                          </a:ln>
                        </pic:spPr>
                      </pic:pic>
                    </a:graphicData>
                  </a:graphic>
                </wp:inline>
              </w:drawing>
            </w:r>
          </w:p>
          <w:bookmarkEnd w:id="752"/>
        </w:tc>
      </w:tr>
    </w:tbl>
    <w:bookmarkEnd w:id="753"/>
    <w:bookmarkStart w:id="758"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p>
      <w:pPr>
        <w:pStyle w:val="Corpsdetexte"/>
      </w:pPr>
      <w:r>
        <w:t xml:space="preserve">A Alaotra, 71% des ménages pensent que la zone protégée appartiennent à l’État avant la communauté locale selon 20 % des ménages. Cela traduit l’importance des regroupements communautaires liés aux ressources locales et aux relations de voisinage. Une faible proportion des ménages considère que les ressources naturelles appartiennent aux esprits/ancêtres, aux gestionnaires et etrangers (respectivement 2% et 1%).</w:t>
      </w:r>
    </w:p>
    <w:p>
      <w:pPr>
        <w:pStyle w:val="Corpsdetexte"/>
      </w:pPr>
      <w:r>
        <w:t xml:space="preserve">À Marovoay, 67 % des ménages estiment que l’aire protégée d’Parc national d’Ankarafantsika appartient à l’État. Par ailleurs, 11 % considèrent qu’elle appartient aux étrangers, tandis que seules de faibles proportions l’attribuent à la communauté locale (4 %) et aux esprits/ancêtres (1 %).</w:t>
      </w:r>
    </w:p>
    <w:tbl>
      <w:tblPr>
        <w:tblStyle w:val="Table"/>
        <w:tblW w:type="pct" w:w="5000"/>
        <w:tblLayout w:type="fixed"/>
        <w:tblLook w:firstRow="0" w:lastRow="0" w:firstColumn="0" w:lastColumn="0" w:noHBand="0" w:noVBand="0" w:val="0000"/>
      </w:tblPr>
      <w:tblGrid>
        <w:gridCol w:w="7920"/>
      </w:tblGrid>
      <w:tr>
        <w:tc>
          <w:tcPr/>
          <w:bookmarkStart w:id="757"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865312"/>
                  <wp:effectExtent b="0" l="0" r="0" t="0"/>
                  <wp:docPr descr="" title="" id="755" name="Picture"/>
                  <a:graphic>
                    <a:graphicData uri="http://schemas.openxmlformats.org/drawingml/2006/picture">
                      <pic:pic>
                        <pic:nvPicPr>
                          <pic:cNvPr descr="07_rapport_environnement_files/figure-docx/fig-appartenance-1.png" id="756" name="Picture"/>
                          <pic:cNvPicPr>
                            <a:picLocks noChangeArrowheads="1" noChangeAspect="1"/>
                          </pic:cNvPicPr>
                        </pic:nvPicPr>
                        <pic:blipFill>
                          <a:blip r:embed="rId754"/>
                          <a:stretch>
                            <a:fillRect/>
                          </a:stretch>
                        </pic:blipFill>
                        <pic:spPr bwMode="auto">
                          <a:xfrm>
                            <a:off x="0" y="0"/>
                            <a:ext cx="5969000" cy="1865312"/>
                          </a:xfrm>
                          <a:prstGeom prst="rect">
                            <a:avLst/>
                          </a:prstGeom>
                          <a:noFill/>
                          <a:ln w="9525">
                            <a:noFill/>
                            <a:headEnd/>
                            <a:tailEnd/>
                          </a:ln>
                        </pic:spPr>
                      </pic:pic>
                    </a:graphicData>
                  </a:graphic>
                </wp:inline>
              </w:drawing>
            </w:r>
          </w:p>
          <w:bookmarkEnd w:id="757"/>
        </w:tc>
      </w:tr>
    </w:tbl>
    <w:bookmarkEnd w:id="758"/>
    <w:bookmarkStart w:id="763"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Alaotra, une large majorité des ménages, soit 82 % considère que l’environnement est menacé. Parmi les principales menaces identifiées, les feux sont les plus fréquemment cités avec 84 %, montrant qu’ils constituent la principale source de dégradation environnementale dans la zone. Le défrichage est également fortement mentionné (56 %).Les prélèvements de ressources naturelles représentent aussi des préoccupations importantes. Le prélèvement de faune et le prélèvement de flore sont chacun cités par 40 % des ménages. La prospection minière concerne 29 % des réponses, tandis que le zébu/pâturage atteint 20 %. Le nomadisme (passage des non-résidents) est évoqué par 16 % des ménages. Enfin, le tourisme apparaît comme une menace marginale avec seulement 2 % des réponses. Concernant les responsables des dégradations environnementales, la majorité des ménages désigne l’ensemble des riverains (87 %). Les riverains migrants sont également cités par 47 % des ménages, suivis des braconniers (30 %) et des nomades ou semi-nomades (22 %). L’État (Fanjakana) est mentionné par 10 % des ménages, tandis que les gestionnaires représentent 9 %. Les ONG ou entreprises sont peu citées (3 %), alors que les chercheurs et les touristes sont très faiblement considérés comme responsables, avec respectivement 0 % et 1 %.</w:t>
      </w:r>
    </w:p>
    <w:p>
      <w:pPr>
        <w:pStyle w:val="Corpsdetexte"/>
      </w:pPr>
      <w:r>
        <w:t xml:space="preserve">A Marovoay, 79 % des ménages estiment que l’environnement est menacé. Les feux constituent la principale menace identifiée, citée par 95 % des ménages. Le défrichage est mentionné par 52 % des ménages, révélant également une pression importante liée à l’exploitation des terres. Les autres menaces évoquées concernent le prélèvement de flore (21 %) et le prélèvement de faune (20 %). La prospection minière et le nomadisme sont chacun cités par respectivement 6% et 16 % des ménages. Le zébu/pâturage représente 10 %, tandis que le tourisme demeure marginal avec 3 % des réponses. En ce qui concerne les responsables identifiés, les riverains constituent le groupe le plus fréquemment cité, avec 70 % des réponses. Parmi eux, les riverains migrants représentent 37 % des citations, suivis des nomades ou semi-nomades (17 %) et des braconniers (10 %). Par ailleurs, 8 % des ménages estiment également que l’État porte une part de responsabilité importante.</w:t>
      </w:r>
    </w:p>
    <w:tbl>
      <w:tblPr>
        <w:tblStyle w:val="Table"/>
        <w:tblW w:type="pct" w:w="5000"/>
        <w:tblLayout w:type="fixed"/>
        <w:tblLook w:firstRow="0" w:lastRow="0" w:firstColumn="0" w:lastColumn="0" w:noHBand="0" w:noVBand="0" w:val="0000"/>
      </w:tblPr>
      <w:tblGrid>
        <w:gridCol w:w="7920"/>
      </w:tblGrid>
      <w:tr>
        <w:tc>
          <w:tcPr/>
          <w:bookmarkStart w:id="759"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t xml:space="preserve">Source : Enquête auprès des OR 2025</w:t>
                  </w:r>
                </w:p>
              </w:tc>
            </w:tr>
          </w:tbl>
          <w:bookmarkEnd w:id="759"/>
          <w:p/>
        </w:tc>
      </w:tr>
    </w:tbl>
    <w:p>
      <w:pPr>
        <w:pStyle w:val="CaptionedFigure"/>
      </w:pPr>
      <w:r>
        <w:drawing>
          <wp:inline>
            <wp:extent cx="4620126" cy="4620126"/>
            <wp:effectExtent b="0" l="0" r="0" t="0"/>
            <wp:docPr descr="Menaces perçues et responsables identifiés (% de Oui)" title="" id="761" name="Picture"/>
            <a:graphic>
              <a:graphicData uri="http://schemas.openxmlformats.org/drawingml/2006/picture">
                <pic:pic>
                  <pic:nvPicPr>
                    <pic:cNvPr descr="07_rapport_environnement_files/figure-docx/fig_menaces-1.png" id="762" name="Picture"/>
                    <pic:cNvPicPr>
                      <a:picLocks noChangeArrowheads="1" noChangeAspect="1"/>
                    </pic:cNvPicPr>
                  </pic:nvPicPr>
                  <pic:blipFill>
                    <a:blip r:embed="rId760"/>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763"/>
    <w:bookmarkStart w:id="768"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w:t>
      </w:r>
    </w:p>
    <w:p>
      <w:pPr>
        <w:pStyle w:val="Corpsdetexte"/>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p>
      <w:pPr>
        <w:pStyle w:val="Corpsdetexte"/>
      </w:pPr>
      <w:r>
        <w:t xml:space="preserve">A Alaotra, la zone protégée est principalement perçue comme une source d’eau et un lieu sacré, chacune de ces fonctions étant citées par 41 % des ménages. L’espace sauvage représente également une perception importante avec 37 % des réponses. Les fonctions de loisir, de lieu interdit, de plantes médicinales et de source d’alimentation sont mentionnées par environ un tiers des ménages. La zone protégée est aussi considérée comme un lieu touristique et un espace pour les activités agricoles par 28 % des répondants. Les fonctions économiques directes restent moins citées, notamment comme source de revenus (25 %) et source de bois (16 %). L’élevage demeure la fonction la moins évoquée avec 9 % des réponses.</w:t>
      </w:r>
    </w:p>
    <w:p>
      <w:pPr>
        <w:pStyle w:val="Corpsdetexte"/>
      </w:pPr>
      <w:r>
        <w:t xml:space="preserve">A Marovoay, la zone protégée est principalement perçue comme un espace de loisir, de détente et de beauté, mentionné par 61 % des ménages. Elle est également considérée comme une source d’eau par 50 % des répondants, ainsi qu’un espace sauvage (47 %) et un lieu touristique (46 %). La dimension culturelle de la zone protégée ressort aussi dans les perceptions locales : 31 % des ménages la considèrent comme un lieu sacré, tandis que 30 % l’associent à un lieu interdit. Les fonctions liées aux usages productifs restent moins citées notamment les plantes médicinales (19 %), la source de bois (18 %) et la source d’alimentation (15 %). Enfin, les activités agricoles et l’élevage sont très faiblement associés à la zone protégée avec seulement 3 % des réponses chacun.</w:t>
      </w:r>
    </w:p>
    <w:tbl>
      <w:tblPr>
        <w:tblStyle w:val="Table"/>
        <w:tblW w:type="pct" w:w="5000"/>
        <w:tblLayout w:type="fixed"/>
        <w:tblLook w:firstRow="0" w:lastRow="0" w:firstColumn="0" w:lastColumn="0" w:noHBand="0" w:noVBand="0" w:val="0000"/>
      </w:tblPr>
      <w:tblGrid>
        <w:gridCol w:w="7920"/>
      </w:tblGrid>
      <w:tr>
        <w:tc>
          <w:tcPr/>
          <w:bookmarkStart w:id="767"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2238375"/>
                  <wp:effectExtent b="0" l="0" r="0" t="0"/>
                  <wp:docPr descr="" title="" id="765" name="Picture"/>
                  <a:graphic>
                    <a:graphicData uri="http://schemas.openxmlformats.org/drawingml/2006/picture">
                      <pic:pic>
                        <pic:nvPicPr>
                          <pic:cNvPr descr="07_rapport_environnement_files/figure-docx/fig-representation-1.png" id="766" name="Picture"/>
                          <pic:cNvPicPr>
                            <a:picLocks noChangeArrowheads="1" noChangeAspect="1"/>
                          </pic:cNvPicPr>
                        </pic:nvPicPr>
                        <pic:blipFill>
                          <a:blip r:embed="rId764"/>
                          <a:stretch>
                            <a:fillRect/>
                          </a:stretch>
                        </pic:blipFill>
                        <pic:spPr bwMode="auto">
                          <a:xfrm>
                            <a:off x="0" y="0"/>
                            <a:ext cx="5969000" cy="2238375"/>
                          </a:xfrm>
                          <a:prstGeom prst="rect">
                            <a:avLst/>
                          </a:prstGeom>
                          <a:noFill/>
                          <a:ln w="9525">
                            <a:noFill/>
                            <a:headEnd/>
                            <a:tailEnd/>
                          </a:ln>
                        </pic:spPr>
                      </pic:pic>
                    </a:graphicData>
                  </a:graphic>
                </wp:inline>
              </w:drawing>
            </w:r>
          </w:p>
          <w:bookmarkEnd w:id="767"/>
        </w:tc>
      </w:tr>
    </w:tbl>
    <w:bookmarkEnd w:id="768"/>
    <w:bookmarkEnd w:id="769"/>
    <w:bookmarkStart w:id="807"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78"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p>
      <w:pPr>
        <w:pStyle w:val="Corpsdetexte"/>
      </w:pPr>
      <w:r>
        <w:t xml:space="preserve">A Alaotra, plus de la moitié des ménages pratiquent la collecte de produits forestiers. Le bois de chauffe (kitay) est le produit le plus collecté avec 54.8 % des ménages concernés, suivi du charbon (saribao) avec 54.4 % et du bois d’œuvre avec 53.6 %.</w:t>
      </w:r>
    </w:p>
    <w:p>
      <w:pPr>
        <w:pStyle w:val="Corpsdetexte"/>
      </w:pPr>
      <w:r>
        <w:t xml:space="preserve">A Marovoay, environ un tiers des ménages déclarent pratiquer la collecte de produits forestiers. Le bois de chauffe (kitay) est le produit le plus collecté avec 36 % des ménages, suivi du charbon (saribao) avec 35.8 % et du bois d’œuvre avec 34.9 %.</w:t>
      </w:r>
    </w:p>
    <w:tbl>
      <w:tblPr>
        <w:tblStyle w:val="Table"/>
        <w:tblW w:type="pct" w:w="5000"/>
        <w:tblLayout w:type="fixed"/>
        <w:tblLook w:firstRow="0" w:lastRow="0" w:firstColumn="0" w:lastColumn="0" w:noHBand="0" w:noVBand="0" w:val="0000"/>
      </w:tblPr>
      <w:tblGrid>
        <w:gridCol w:w="7920"/>
      </w:tblGrid>
      <w:tr>
        <w:tc>
          <w:tcPr/>
          <w:bookmarkStart w:id="773"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1865312"/>
                  <wp:effectExtent b="0" l="0" r="0" t="0"/>
                  <wp:docPr descr="" title="" id="771" name="Picture"/>
                  <a:graphic>
                    <a:graphicData uri="http://schemas.openxmlformats.org/drawingml/2006/picture">
                      <pic:pic>
                        <pic:nvPicPr>
                          <pic:cNvPr descr="07_rapport_environnement_files/figure-docx/fig-ef-produits-1.png" id="772" name="Picture"/>
                          <pic:cNvPicPr>
                            <a:picLocks noChangeArrowheads="1" noChangeAspect="1"/>
                          </pic:cNvPicPr>
                        </pic:nvPicPr>
                        <pic:blipFill>
                          <a:blip r:embed="rId770"/>
                          <a:stretch>
                            <a:fillRect/>
                          </a:stretch>
                        </pic:blipFill>
                        <pic:spPr bwMode="auto">
                          <a:xfrm>
                            <a:off x="0" y="0"/>
                            <a:ext cx="5969000" cy="1865312"/>
                          </a:xfrm>
                          <a:prstGeom prst="rect">
                            <a:avLst/>
                          </a:prstGeom>
                          <a:noFill/>
                          <a:ln w="9525">
                            <a:noFill/>
                            <a:headEnd/>
                            <a:tailEnd/>
                          </a:ln>
                        </pic:spPr>
                      </pic:pic>
                    </a:graphicData>
                  </a:graphic>
                </wp:inline>
              </w:drawing>
            </w:r>
          </w:p>
          <w:bookmarkEnd w:id="773"/>
        </w:tc>
      </w:tr>
    </w:tbl>
    <w:p>
      <w:pPr>
        <w:pStyle w:val="Corpsdetexte"/>
      </w:pPr>
      <w:r>
        <w:t xml:space="preserve">A Alaotra, la quasi-totalité des produits forestiers collectés provient de zones situées hors de l’Aire Protégée. Le bois d’œuvre et le charbon (saribao) sont entièrement collectés en dehors de l’AP, tandis qu’une très faible proportion du bois de chauffe (kitay) provient de l’intérieur de l’aire protégée.</w:t>
      </w:r>
    </w:p>
    <w:p>
      <w:pPr>
        <w:pStyle w:val="Corpsdetexte"/>
      </w:pPr>
      <w:r>
        <w:t xml:space="preserve">A Marovoay, les produits forestiers collectés proviennent également presque exclusivement des zones situées hors de l’Aire Protégée. Le bois d’œuvre est entièrement collecté en dehors de l’AP, alors que de très faibles proportions de bois de chauffe (kitay) et de charbon (saribao) sont prélevées à l’intérieur de l’aire protégée.</w:t>
      </w:r>
    </w:p>
    <w:tbl>
      <w:tblPr>
        <w:tblStyle w:val="Table"/>
        <w:tblW w:type="pct" w:w="5000"/>
        <w:tblLayout w:type="fixed"/>
        <w:tblLook w:firstRow="0" w:lastRow="0" w:firstColumn="0" w:lastColumn="0" w:noHBand="0" w:noVBand="0" w:val="0000"/>
      </w:tblPr>
      <w:tblGrid>
        <w:gridCol w:w="7920"/>
      </w:tblGrid>
      <w:tr>
        <w:tc>
          <w:tcPr/>
          <w:bookmarkStart w:id="777"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1865312"/>
                  <wp:effectExtent b="0" l="0" r="0" t="0"/>
                  <wp:docPr descr="" title="" id="775" name="Picture"/>
                  <a:graphic>
                    <a:graphicData uri="http://schemas.openxmlformats.org/drawingml/2006/picture">
                      <pic:pic>
                        <pic:nvPicPr>
                          <pic:cNvPr descr="07_rapport_environnement_files/figure-docx/fig-ef-origine-1.png" id="776" name="Picture"/>
                          <pic:cNvPicPr>
                            <a:picLocks noChangeArrowheads="1" noChangeAspect="1"/>
                          </pic:cNvPicPr>
                        </pic:nvPicPr>
                        <pic:blipFill>
                          <a:blip r:embed="rId774"/>
                          <a:stretch>
                            <a:fillRect/>
                          </a:stretch>
                        </pic:blipFill>
                        <pic:spPr bwMode="auto">
                          <a:xfrm>
                            <a:off x="0" y="0"/>
                            <a:ext cx="5969000" cy="1865312"/>
                          </a:xfrm>
                          <a:prstGeom prst="rect">
                            <a:avLst/>
                          </a:prstGeom>
                          <a:noFill/>
                          <a:ln w="9525">
                            <a:noFill/>
                            <a:headEnd/>
                            <a:tailEnd/>
                          </a:ln>
                        </pic:spPr>
                      </pic:pic>
                    </a:graphicData>
                  </a:graphic>
                </wp:inline>
              </w:drawing>
            </w:r>
          </w:p>
          <w:bookmarkEnd w:id="777"/>
        </w:tc>
      </w:tr>
    </w:tbl>
    <w:bookmarkEnd w:id="778"/>
    <w:bookmarkStart w:id="783"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rPr>
          <w:b/>
          <w:bCs/>
        </w:rPr>
        <w:t xml:space="preserve">+ SOURCE DGM</w:t>
      </w:r>
    </w:p>
    <w:p>
      <w:pPr>
        <w:pStyle w:val="Corpsdetexte"/>
      </w:pPr>
      <w:r>
        <w:t xml:space="preserve">A Alaotra, la collecte de bois de chauffe (kitay) reste élevée et relativement stable aussi bien pendant la période sèche (mai à septembre) que durant la période humide (octobre à avril) avec plus de 80.0 % des ménages chaque mois, les valeurs fluctuant entre 81.3 et 85.2 %. Une légère augmentation est observée vers la fin de la saison sèche notamment entre août et octobre, avec un pic d’activité atteignant 85.2 % en septembre et 84.8 % en octobre. Cette phase d’intensification intervient après les grandes récoltes de la zone Moyen-Est, notamment celles du riz pluvial en avril-mai et du riz irrigué achevées en juin, permettant aux foyers de sécuriser leurs combustibles avant le retour des pluies. La collecte de charbon (saribao) demeure faible sur l’ensemble de l’année, variant entre 6.3 % en janvier et 9.9 % en octobre, mais connaît quelques hausses ponctuelles pendant la période sèche particulièrement autour des mois de septembre et octobre. Cette légère intensification en fin de saison sèche intervient après les grands cycles de récolte documentés dans la zone Moyen-Est, notamment le riz pluvial récolté en avril-mai et le riz irrigué dont la moisson s’achève en juin. La collecte de bois d’œuvre reste quasiment inexistante quelle que soit la saison, ne dépassant jamais 2.4 % des mentions. Ces résultats montrent que les besoins en bois de chauffe sont permanents et peu influencés par les variations climatiques.</w:t>
      </w:r>
    </w:p>
    <w:p>
      <w:pPr>
        <w:pStyle w:val="Corpsdetexte"/>
      </w:pPr>
      <w:r>
        <w:t xml:space="preserve">A Marovoay, la collecte de bois de chauffe (kitay) est également importante tout au long de l’année. Elle atteint surtout ses niveaux les plus élevés durant la période sèche (mai à septembre) avec un pic observé autour des mois d’août et septembre, où le taux de ménages actifs s’élève à 88.1 %. Ce maximum d’activité en septembre coïncide avec le début de la récolte de la campagne rizicole Jeby dans le Nord-Ouest, suggérant des besoins énergétiques accrus pour la main-d’œuvre durant cette période de forte activité. À partir du début de la période humide (octobre à avril), une diminution progressive de la proportion de ménages collectant les produits forestiers est observée jusqu’en décembre où elle tombe à 76.1 %. Ce repli de l’activité forestière suit la période de récolte du riz irrigué de 1ère saison (campagne Jeby) qui mobilise les ménages du Nord-Ouest de mi-septembre à novembre, se distinguant du calendrier de la zone Moyen-Est où les moissons de riz irrigué se terminent plus tôt, en juin. La collecte de charbon (saribao) reste limitée pendant une grande partie de l’année mais augmente nettement à la fin de la saison sèche et au début de la saison humide, atteignant 11.4 % en septembre et 11.2 % en octobre, avant de diminuer ensuite. Cette intensification ponctuelle intervient précisément au moment du déclenchement de la récolte rizicole de la campagne Jeby documentée dans la zone de Marovoay. La collecte de bois d’œuvre demeure marginale quelle que soit la période climatique, avec un sommet annuel de seulement 3.9 % en octobre. Ces résultats indiquent que les activités de collecte forestière sont davantage intensifiées durant la saison sèche.</w:t>
      </w:r>
    </w:p>
    <w:tbl>
      <w:tblPr>
        <w:tblStyle w:val="Table"/>
        <w:tblW w:type="pct" w:w="5000"/>
        <w:tblLayout w:type="fixed"/>
        <w:tblLook w:firstRow="0" w:lastRow="0" w:firstColumn="0" w:lastColumn="0" w:noHBand="0" w:noVBand="0" w:val="0000"/>
      </w:tblPr>
      <w:tblGrid>
        <w:gridCol w:w="7920"/>
      </w:tblGrid>
      <w:tr>
        <w:tc>
          <w:tcPr/>
          <w:bookmarkStart w:id="782"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1865312"/>
                  <wp:effectExtent b="0" l="0" r="0" t="0"/>
                  <wp:docPr descr="" title="" id="780" name="Picture"/>
                  <a:graphic>
                    <a:graphicData uri="http://schemas.openxmlformats.org/drawingml/2006/picture">
                      <pic:pic>
                        <pic:nvPicPr>
                          <pic:cNvPr descr="07_rapport_environnement_files/figure-docx/fig-ef-saison-1.png" id="781" name="Picture"/>
                          <pic:cNvPicPr>
                            <a:picLocks noChangeArrowheads="1" noChangeAspect="1"/>
                          </pic:cNvPicPr>
                        </pic:nvPicPr>
                        <pic:blipFill>
                          <a:blip r:embed="rId779"/>
                          <a:stretch>
                            <a:fillRect/>
                          </a:stretch>
                        </pic:blipFill>
                        <pic:spPr bwMode="auto">
                          <a:xfrm>
                            <a:off x="0" y="0"/>
                            <a:ext cx="5969000" cy="1865312"/>
                          </a:xfrm>
                          <a:prstGeom prst="rect">
                            <a:avLst/>
                          </a:prstGeom>
                          <a:noFill/>
                          <a:ln w="9525">
                            <a:noFill/>
                            <a:headEnd/>
                            <a:tailEnd/>
                          </a:ln>
                        </pic:spPr>
                      </pic:pic>
                    </a:graphicData>
                  </a:graphic>
                </wp:inline>
              </w:drawing>
            </w:r>
          </w:p>
          <w:bookmarkEnd w:id="782"/>
        </w:tc>
      </w:tr>
    </w:tbl>
    <w:bookmarkEnd w:id="783"/>
    <w:bookmarkStart w:id="785"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p>
      <w:pPr>
        <w:pStyle w:val="Corpsdetexte"/>
      </w:pPr>
      <w:r>
        <w:t xml:space="preserve">A Alaotra, la vente de produits forestiers concerne principalement le bois de chauffe (kitay), avec 17 % des ménages déclarant en commercialiser une partie de leur production. En moyenne, 60 % du volume collecté est vendu, pour un montant moyen de 323667 Ar. La vente de charbon (saribao) concerne 5 % des ménages, mais la part commercialisée est particulièrement élevée, atteignant 93 % des quantités produites, avec un revenu moyen de 596720 Ar. Le bois d’œuvre est vendu par seulement 3 % des ménages, mais il génère le montant moyen le plus important, estimé à 2182571 Ar, avec une proportion moyenne vendue de 89 %. Ces résultats montrent que, malgré le faible nombre de vendeurs, certains produits forestiers constituent une source de revenus significative pour les ménages concernés.</w:t>
      </w:r>
    </w:p>
    <w:p>
      <w:pPr>
        <w:pStyle w:val="Corpsdetexte"/>
      </w:pPr>
      <w:r>
        <w:t xml:space="preserve">A Marovoay, la commercialisation des produits forestiers reste limitée en nombre de ménages vendeurs. Le charbon (saribao) est le produit le plus fréquemment vendu, avec 11 % des ménages concernés. En moyenne, 73 % des quantités collectées sont destinées à la vente, pour un montant moyen de 309638 Ar. Le bois de chauffe (kitay) est vendu par 4 % des ménages, avec une proportion moyenne commercialisée de 59 % et un revenu moyen de 292857 Ar. Le bois d’œuvre concerne seulement 2 % des ménages vendeurs, mais la quasi-totalité des quantités collectées est commercialisée (99 %), générant un montant moyen de 16180 Ar. Ces résultats indiquent que les produits forestiers participent aux revenus monétaires des ménages, bien que cette activité reste concentrée chez une faible proportion d’entre eux.</w:t>
      </w:r>
    </w:p>
    <w:tbl>
      <w:tblPr>
        <w:tblStyle w:val="Table"/>
        <w:tblW w:type="pct" w:w="5000"/>
        <w:tblLayout w:type="fixed"/>
        <w:tblLook w:firstRow="0" w:lastRow="0" w:firstColumn="0" w:lastColumn="0" w:noHBand="0" w:noVBand="0" w:val="0000"/>
      </w:tblPr>
      <w:tblGrid>
        <w:gridCol w:w="7920"/>
      </w:tblGrid>
      <w:tr>
        <w:tc>
          <w:tcPr/>
          <w:bookmarkStart w:id="784"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t xml:space="preserve">Source : Enquête auprès des OR 2025</w:t>
                  </w:r>
                </w:p>
              </w:tc>
            </w:tr>
          </w:tbl>
          <w:bookmarkEnd w:id="784"/>
          <w:p/>
        </w:tc>
      </w:tr>
    </w:tbl>
    <w:bookmarkEnd w:id="785"/>
    <w:bookmarkStart w:id="787" w:name="fréquentation-de-laire-protégée"/>
    <w:p>
      <w:pPr>
        <w:pStyle w:val="Titre3"/>
      </w:pPr>
      <w:r>
        <w:t xml:space="preserve">7.2.4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p>
      <w:pPr>
        <w:pStyle w:val="Corpsdetexte"/>
      </w:pPr>
      <w:r>
        <w:t xml:space="preserve">A Alaotra, 44 % des ménages déclarent se rendre dans l’Aire Protégée, tandis que 31 % considèrent qu’il est vital ou nécessaire d’y aller. Parmi les usagers connaissant le lieu, 45 % estiment avoir une connaissance « plus ou moins » bonne de l’Aire Protégée. Une proportion plus réduite, soit 11 %, déclare très bien connaître cet espace, alors que 44 % indiquent avoir une très faible connaissance du lieu. Ces résultats montrent que, malgré une fréquentation relativement importante, le niveau de connaissance de l’Aire Protégée demeure contrasté parmi les usagers.</w:t>
      </w:r>
    </w:p>
    <w:p>
      <w:pPr>
        <w:pStyle w:val="Corpsdetexte"/>
      </w:pPr>
      <w:r>
        <w:t xml:space="preserve">A Marovoay, 27 % des ménages déclarent fréquenter l’Aire Protégée et 21 % considèrent qu’il est vital ou nécessaire de s’y rendre. Parmi les usagers, 33 % déclarent avoir une connaissance « plus ou moins » bonne du lieu et 14 % affirment très bien le connaître. Toutefois, plus de la moitié des répondants (53 %) indiquent avoir une très faible connaissance de l’Aire Protégée.</w:t>
      </w:r>
    </w:p>
    <w:tbl>
      <w:tblPr>
        <w:tblStyle w:val="Table"/>
        <w:tblW w:type="pct" w:w="5000"/>
        <w:tblLayout w:type="fixed"/>
        <w:tblLook w:firstRow="0" w:lastRow="0" w:firstColumn="0" w:lastColumn="0" w:noHBand="0" w:noVBand="0" w:val="0000"/>
      </w:tblPr>
      <w:tblGrid>
        <w:gridCol w:w="7920"/>
      </w:tblGrid>
      <w:tr>
        <w:tc>
          <w:tcPr/>
          <w:bookmarkStart w:id="786"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t xml:space="preserve">Source : Enquête auprès des OR 2025</w:t>
                  </w:r>
                </w:p>
              </w:tc>
            </w:tr>
          </w:tbl>
          <w:bookmarkEnd w:id="786"/>
          <w:p/>
        </w:tc>
      </w:tr>
    </w:tbl>
    <w:bookmarkEnd w:id="787"/>
    <w:bookmarkStart w:id="792"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p>
      <w:pPr>
        <w:pStyle w:val="Corpsdetexte"/>
      </w:pPr>
      <w:r>
        <w:t xml:space="preserve">A Alaotra, l’absence d’intérêt constitue également une raison importante, avec 39 % des ménages déclarant ne rien y trouver d’intéressant. L’interdiction légale est mentionnée par 10 % des répondants comme facteur limitant l’accès à l’Aire Protégée. Les raisons liées au danger et aux interdits coutumiers (fady) restent marginales, chacune étant citée par 4 % des ménages.</w:t>
      </w:r>
    </w:p>
    <w:p>
      <w:pPr>
        <w:pStyle w:val="Corpsdetexte"/>
      </w:pPr>
      <w:r>
        <w:t xml:space="preserve">A Marovoay, l’absence d’intérêt est citée par 35 % des répondants, traduisant une faible attractivité de l’espace pour une partie des ménages. L’interdiction par la loi est évoquée par 16 % des ménages. Ce qui montre que les règles de protection constituent un facteur de limitation plus visible pour certains usagers. Les raisons liées au danger (3 %) et aux interdits coutumiers ou fady (1 %) demeurent très peu mentionnées.</w:t>
      </w:r>
    </w:p>
    <w:tbl>
      <w:tblPr>
        <w:tblStyle w:val="Table"/>
        <w:tblW w:type="pct" w:w="5000"/>
        <w:tblLayout w:type="fixed"/>
        <w:tblLook w:firstRow="0" w:lastRow="0" w:firstColumn="0" w:lastColumn="0" w:noHBand="0" w:noVBand="0" w:val="0000"/>
      </w:tblPr>
      <w:tblGrid>
        <w:gridCol w:w="7920"/>
      </w:tblGrid>
      <w:tr>
        <w:tc>
          <w:tcPr/>
          <w:bookmarkStart w:id="791"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1492250"/>
                  <wp:effectExtent b="0" l="0" r="0" t="0"/>
                  <wp:docPr descr="" title="" id="789" name="Picture"/>
                  <a:graphic>
                    <a:graphicData uri="http://schemas.openxmlformats.org/drawingml/2006/picture">
                      <pic:pic>
                        <pic:nvPicPr>
                          <pic:cNvPr descr="07_rapport_environnement_files/figure-docx/fig-non-freq-1.png" id="790" name="Picture"/>
                          <pic:cNvPicPr>
                            <a:picLocks noChangeArrowheads="1" noChangeAspect="1"/>
                          </pic:cNvPicPr>
                        </pic:nvPicPr>
                        <pic:blipFill>
                          <a:blip r:embed="rId788"/>
                          <a:stretch>
                            <a:fillRect/>
                          </a:stretch>
                        </pic:blipFill>
                        <pic:spPr bwMode="auto">
                          <a:xfrm>
                            <a:off x="0" y="0"/>
                            <a:ext cx="5969000" cy="1492250"/>
                          </a:xfrm>
                          <a:prstGeom prst="rect">
                            <a:avLst/>
                          </a:prstGeom>
                          <a:noFill/>
                          <a:ln w="9525">
                            <a:noFill/>
                            <a:headEnd/>
                            <a:tailEnd/>
                          </a:ln>
                        </pic:spPr>
                      </pic:pic>
                    </a:graphicData>
                  </a:graphic>
                </wp:inline>
              </w:drawing>
            </w:r>
          </w:p>
          <w:bookmarkEnd w:id="791"/>
        </w:tc>
      </w:tr>
    </w:tbl>
    <w:bookmarkEnd w:id="792"/>
    <w:bookmarkStart w:id="801"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p>
      <w:pPr>
        <w:pStyle w:val="Corpsdetexte"/>
      </w:pPr>
      <w:r>
        <w:t xml:space="preserve">A Alaotra, les activités de promenade et de loisir ainsi que la chasse ou la pêche représentent chacune 16 % des usages déclarés. Les activités liées à l’exploitation directe des ressources naturelles restent relativement limitées : 6 % des usagers fréquentent l’Aire Protégée pour cultiver, 3 % pour faire paître les animaux et 1 % pour couper du bois. La cueillette de plantes comestibles et médicinales est très faiblement mentionnée, avec respectivement 2 % des réponses. Les usages culturels et artisanaux demeurent également marginaux, avec 1 % des ménages citant les rituels ou cérémonies funéraires et 1 % les produits destinés à l’artisanat.</w:t>
      </w:r>
    </w:p>
    <w:p>
      <w:pPr>
        <w:pStyle w:val="Corpsdetexte"/>
      </w:pPr>
      <w:r>
        <w:t xml:space="preserve">A Marovoay, la principale raison de fréquentation de l’Aire Protégée est liée à la promenade et au loisir, mentionnée par 67 % des usagers. La cueillette de plantes comestibles concerne 14 % des usagers. La coupe de bois est citée par 8 % des répondants. Les autres usages restent très peu fréquents : 2 % des ménages déclarent accompagner des touristes ou des chercheurs et 2 % évoquent les rituels ou cérémonies funéraires. Les activités agricoles, le pâturage, les produits artisanaux et le passage des zébus ne concernent chacun qu’environ 1 % des usagers.</w:t>
      </w:r>
    </w:p>
    <w:tbl>
      <w:tblPr>
        <w:tblStyle w:val="Table"/>
        <w:tblW w:type="pct" w:w="5000"/>
        <w:tblLayout w:type="fixed"/>
        <w:tblLook w:firstRow="0" w:lastRow="0" w:firstColumn="0" w:lastColumn="0" w:noHBand="0" w:noVBand="0" w:val="0000"/>
      </w:tblPr>
      <w:tblGrid>
        <w:gridCol w:w="7920"/>
      </w:tblGrid>
      <w:tr>
        <w:tc>
          <w:tcPr/>
          <w:bookmarkStart w:id="796"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1865312"/>
                  <wp:effectExtent b="0" l="0" r="0" t="0"/>
                  <wp:docPr descr="" title="" id="794" name="Picture"/>
                  <a:graphic>
                    <a:graphicData uri="http://schemas.openxmlformats.org/drawingml/2006/picture">
                      <pic:pic>
                        <pic:nvPicPr>
                          <pic:cNvPr descr="07_rapport_environnement_files/figure-docx/fig-usages-ap-1.png" id="795" name="Picture"/>
                          <pic:cNvPicPr>
                            <a:picLocks noChangeArrowheads="1" noChangeAspect="1"/>
                          </pic:cNvPicPr>
                        </pic:nvPicPr>
                        <pic:blipFill>
                          <a:blip r:embed="rId793"/>
                          <a:stretch>
                            <a:fillRect/>
                          </a:stretch>
                        </pic:blipFill>
                        <pic:spPr bwMode="auto">
                          <a:xfrm>
                            <a:off x="0" y="0"/>
                            <a:ext cx="5969000" cy="1865312"/>
                          </a:xfrm>
                          <a:prstGeom prst="rect">
                            <a:avLst/>
                          </a:prstGeom>
                          <a:noFill/>
                          <a:ln w="9525">
                            <a:noFill/>
                            <a:headEnd/>
                            <a:tailEnd/>
                          </a:ln>
                        </pic:spPr>
                      </pic:pic>
                    </a:graphicData>
                  </a:graphic>
                </wp:inline>
              </w:drawing>
            </w:r>
          </w:p>
          <w:bookmarkEnd w:id="796"/>
        </w:tc>
      </w:tr>
    </w:tbl>
    <w:p>
      <w:pPr>
        <w:pStyle w:val="Corpsdetexte"/>
      </w:pPr>
      <w:r>
        <w:t xml:space="preserve">A Alaotra, les déplacements les plus fréquents dans l’Aire Protégée concernent principalement les activités agricoles et de subsistance. Les activités de culture enregistrent la proportion la plus élevée d’usagers s’y rendant plusieurs fois par semaine (29 %), suivies de la chasse ou de la pêche (22 %). La cueillette de plantes médicinales et le pâturage présentent également des fréquentations régulières, avec respectivement 25 % et 14 % des usagers déclarant fréquenter l’aire plusieurs fois par semaine. Les déplacements effectués une fois par semaine concernent surtout la cueillette de plantes médicinales (25 %), puis la culture et le pâturage (14 % chacun), ainsi que la chasse ou la pêche (8 %). Les usages réalisés quelques fois par mois restent relativement limités et concernent principalement la culture (14 %). En revanche, la majorité des autres activités sont pratiquées de manière occasionnelle, quelques fois par an. C’est notamment le cas de la promenade et du loisir (88 %), des rituels ou cérémonies funéraires, de la coupe du bois, de la cueillette de plantes comestibles, des activités artisanales, de l’accompagnement de touristes ou chercheurs et du passage des zébus, qui sont exclusivement ou presque réalisés de manière ponctuelle.</w:t>
      </w:r>
    </w:p>
    <w:p>
      <w:pPr>
        <w:pStyle w:val="Corpsdetexte"/>
      </w:pPr>
      <w:r>
        <w:t xml:space="preserve">A Marovoay, l’activité présentant la fréquence la plus élevée est le pâturage, puisque l’ensemble des usagers concernés déclarent se rendre dans l’Aire Protégée plusieurs fois par semaine. La cueillette de plantes comestibles constitue également une activité relativement régulière, avec 15 % des usagers s’y rendant plusieurs fois par semaine et 10 % une fois par semaine. Aucune autre activité ne présente de fréquentation hebdomadaire importante. Les déplacements effectués quelques fois par mois concernent principalement les activités agricoles, pratiquées à cette fréquence par tous les usagers concernés, ainsi que la cueillette de plantes comestibles (20 %) et, dans une moindre mesure, la coupe du bois (18 %). Les autres usages sont essentiellement occasionnels et réalisés quelques fois par an. Cela concerne particulièrement la promenade et le loisir (98 %), mais aussi les rituels ou cérémonies funéraires, l’accompagnement de touristes ou chercheurs, les produits artisanaux et le passage des zébus, qui sont exclusivement pratiqués à une fréquence annuelle.</w:t>
      </w:r>
    </w:p>
    <w:tbl>
      <w:tblPr>
        <w:tblStyle w:val="Table"/>
        <w:tblW w:type="pct" w:w="5000"/>
        <w:tblLayout w:type="fixed"/>
        <w:tblLook w:firstRow="0" w:lastRow="0" w:firstColumn="0" w:lastColumn="0" w:noHBand="0" w:noVBand="0" w:val="0000"/>
      </w:tblPr>
      <w:tblGrid>
        <w:gridCol w:w="7920"/>
      </w:tblGrid>
      <w:tr>
        <w:tc>
          <w:tcPr/>
          <w:bookmarkStart w:id="800"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2611437"/>
                  <wp:effectExtent b="0" l="0" r="0" t="0"/>
                  <wp:docPr descr="" title="" id="798" name="Picture"/>
                  <a:graphic>
                    <a:graphicData uri="http://schemas.openxmlformats.org/drawingml/2006/picture">
                      <pic:pic>
                        <pic:nvPicPr>
                          <pic:cNvPr descr="07_rapport_environnement_files/figure-docx/fig-freq-usages-1.png" id="799" name="Picture"/>
                          <pic:cNvPicPr>
                            <a:picLocks noChangeArrowheads="1" noChangeAspect="1"/>
                          </pic:cNvPicPr>
                        </pic:nvPicPr>
                        <pic:blipFill>
                          <a:blip r:embed="rId797"/>
                          <a:stretch>
                            <a:fillRect/>
                          </a:stretch>
                        </pic:blipFill>
                        <pic:spPr bwMode="auto">
                          <a:xfrm>
                            <a:off x="0" y="0"/>
                            <a:ext cx="5969000" cy="2611437"/>
                          </a:xfrm>
                          <a:prstGeom prst="rect">
                            <a:avLst/>
                          </a:prstGeom>
                          <a:noFill/>
                          <a:ln w="9525">
                            <a:noFill/>
                            <a:headEnd/>
                            <a:tailEnd/>
                          </a:ln>
                        </pic:spPr>
                      </pic:pic>
                    </a:graphicData>
                  </a:graphic>
                </wp:inline>
              </w:drawing>
            </w:r>
          </w:p>
          <w:bookmarkEnd w:id="800"/>
        </w:tc>
      </w:tr>
    </w:tbl>
    <w:bookmarkEnd w:id="801"/>
    <w:bookmarkStart w:id="806"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Alaotra, les usages de l’Aire Protégée présentent des variations selon les périodes climatiques. Pendant la période humide (octobre à avril), les activités de culture restent relativement limitées, avec des niveaux d’activité modérés en début d’année, oscillant autour de 21.6 % entre février et avril, avant une baisse progressive jusqu’en avril. Cette phase précède les récoltes du riz pluvial (avril-mai) et du riz irrigué (mai-juin) documentées dans le calendrier de la zone Moyen-Est. Les activités de promenade et de loisir demeurent également faibles et relativement stables durant cette période, bien qu’un pic de 33.3 % soit observé en avril. Les activités de chasse ou de pêche se maintiennent à des niveaux modérés, variant de 11.1 % à 14.3 %, tandis que les autres usages connaissent peu de variations. Durant la période sèche (mai à septembre), les activités de culture augmentent progressivement pour atteindre leurs niveaux les plus élevés entre août et septembre avec 43.1 % de mentions. Cette intensification coïncide avec la phase de préparation des sols pour le cycle suivant identifiée dans la zone Moyen-Est en août et septembre. Les activités de chasse ou de pêche connaissent également une hausse marquée au cours de cette période, atteignant un sommet de 50.0 % en septembre et octobre. Les promenades et loisirs restent relativement réguliers malgré quelques fluctuations entre 11.1 % et 25.9 %. Les autres usages demeurent globalement modérés tout au long de l’année. Ces résultats montrent une intensification des usages productifs de l’Aire Protégée pendant la saison sèche.</w:t>
      </w:r>
    </w:p>
    <w:p>
      <w:pPr>
        <w:pStyle w:val="Corpsdetexte"/>
      </w:pPr>
      <w:r>
        <w:t xml:space="preserve">A Marovoay, les usages de l’Aire Protégée varient fortement selon les saisons. Pendant la période humide (octobre à avril), les activités de culture présentent des pics très importants notamment au mois d’avril où la proportion d’usagers actifs atteint son niveau maximal de 100.0 %. Ce résultat concorde avec la période de récolte des campagnes Asara (riz de 2ème saison) et Atriatry (riz intermédiaire) documentées entre avril et juin dans la zone du Nord-Ouest. Les promenades et loisirs enregistrent également une forte augmentation à cette période avec 57.1 % en avril avant de diminuer rapidement les mois suivants. Les autres usages restent relativement faibles pendant cette saison, bien que certaines hausses ponctuelles soient observées. Durant la période sèche (mai à septembre), les activités de culture diminuent fortement, avec une absence totale de mentions entre mai et août, avant de connaître un nouveau pic très marqué au mois de septembre atteignant 100.0 %. Ce pic de septembre, qui se prolonge en octobre, correspond au déclenchement de la récolte de la campagne Jeby dans le Nord-Ouest, située entre mi-septembre et novembre. Les activités de cueillette de plantes comestibles augmentent progressivement au cours de la saison sèche et atteignent leurs niveaux les plus élevés entre octobre et novembre, grimpant jusqu’à 65.2 %. Les activités de chasse ou de pêche restent globalement faibles et relativement stables tout au long de l’année, variant entre 4.3 % et 19.1 %. Ces résultats mettent en évidence une forte saisonnalité des usages de l’Aire Protégée, avec des pics d’activités concentrés autour des transitions entre saisons.</w:t>
      </w:r>
    </w:p>
    <w:tbl>
      <w:tblPr>
        <w:tblStyle w:val="Table"/>
        <w:tblW w:type="pct" w:w="5000"/>
        <w:tblLayout w:type="fixed"/>
        <w:tblLook w:firstRow="0" w:lastRow="0" w:firstColumn="0" w:lastColumn="0" w:noHBand="0" w:noVBand="0" w:val="0000"/>
      </w:tblPr>
      <w:tblGrid>
        <w:gridCol w:w="7920"/>
      </w:tblGrid>
      <w:tr>
        <w:tc>
          <w:tcPr/>
          <w:bookmarkStart w:id="805"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1865312"/>
                  <wp:effectExtent b="0" l="0" r="0" t="0"/>
                  <wp:docPr descr="" title="" id="803" name="Picture"/>
                  <a:graphic>
                    <a:graphicData uri="http://schemas.openxmlformats.org/drawingml/2006/picture">
                      <pic:pic>
                        <pic:nvPicPr>
                          <pic:cNvPr descr="07_rapport_environnement_files/figure-docx/fig-saison-ap-1.png" id="804" name="Picture"/>
                          <pic:cNvPicPr>
                            <a:picLocks noChangeArrowheads="1" noChangeAspect="1"/>
                          </pic:cNvPicPr>
                        </pic:nvPicPr>
                        <pic:blipFill>
                          <a:blip r:embed="rId802"/>
                          <a:stretch>
                            <a:fillRect/>
                          </a:stretch>
                        </pic:blipFill>
                        <pic:spPr bwMode="auto">
                          <a:xfrm>
                            <a:off x="0" y="0"/>
                            <a:ext cx="5969000" cy="1865312"/>
                          </a:xfrm>
                          <a:prstGeom prst="rect">
                            <a:avLst/>
                          </a:prstGeom>
                          <a:noFill/>
                          <a:ln w="9525">
                            <a:noFill/>
                            <a:headEnd/>
                            <a:tailEnd/>
                          </a:ln>
                        </pic:spPr>
                      </pic:pic>
                    </a:graphicData>
                  </a:graphic>
                </wp:inline>
              </w:drawing>
            </w:r>
          </w:p>
          <w:bookmarkEnd w:id="805"/>
        </w:tc>
      </w:tr>
    </w:tbl>
    <w:bookmarkEnd w:id="806"/>
    <w:bookmarkEnd w:id="807"/>
    <w:bookmarkStart w:id="836"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812"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p>
      <w:pPr>
        <w:pStyle w:val="Corpsdetexte"/>
      </w:pPr>
      <w:r>
        <w:t xml:space="preserve">A Alaotra, la principale raison perçue de faire des feux est liée au nettoyage des espaces, mentionnée par 52 % des ménages. L’augmentation des surfaces cultivées constitue également une motivation importante, citée par 24 % des répondants. Les usages liés à l’élevage restent présents, avec 15 % des ménages associant les feux à l’augmentation des surfaces de pâturage. Le marquage du territoire est évoqué par 8 % des répondants. Les autres raisons demeurent marginales, notamment la vengeance (4 %), les pratiques traditionnelles ou rituelles (2 %), la chasse (2 %) et la protection (1 %). Les formes de mécontentement envers les autorités locales ou nationales sont très faiblement mentionnées. Ces résultats montrent que les feux sont principalement perçus comme des pratiques liées à la gestion et à l’exploitation des espaces ruraux.</w:t>
      </w:r>
    </w:p>
    <w:p>
      <w:pPr>
        <w:pStyle w:val="Corpsdetexte"/>
      </w:pPr>
      <w:r>
        <w:t xml:space="preserve">A Marovoay, le nettoyage des espaces apparaît très largement comme la principale raison perçue de faire des feux, cité par 81 % des ménages. L’augmentation des surfaces cultivées est également mentionnée par 34 % des répondants, tandis que 23 % associent les feux au marquage du territoire. L’augmentation des surfaces de pâturage concerne 18 % des réponses. Les autres motivations restent peu fréquentes, notamment les pratiques traditionnelles ou rituelles (5 %), la vengeance (3 %) et la chasse (2 %). Les raisons liées à la protection ainsi qu’au mécontentement envers les autorités locales ou nationales sont marginales, chacune représentant environ 1 % des réponses. Ces résultats indiquent que les feux sont avant tout associés aux pratiques d’aménagement et de contrôle des espaces.</w:t>
      </w:r>
    </w:p>
    <w:tbl>
      <w:tblPr>
        <w:tblStyle w:val="Table"/>
        <w:tblW w:type="pct" w:w="5000"/>
        <w:tblLayout w:type="fixed"/>
        <w:tblLook w:firstRow="0" w:lastRow="0" w:firstColumn="0" w:lastColumn="0" w:noHBand="0" w:noVBand="0" w:val="0000"/>
      </w:tblPr>
      <w:tblGrid>
        <w:gridCol w:w="7920"/>
      </w:tblGrid>
      <w:tr>
        <w:tc>
          <w:tcPr/>
          <w:bookmarkStart w:id="811"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2238375"/>
                  <wp:effectExtent b="0" l="0" r="0" t="0"/>
                  <wp:docPr descr="" title="" id="809" name="Picture"/>
                  <a:graphic>
                    <a:graphicData uri="http://schemas.openxmlformats.org/drawingml/2006/picture">
                      <pic:pic>
                        <pic:nvPicPr>
                          <pic:cNvPr descr="07_rapport_environnement_files/figure-docx/fig-raisons-feux-1.png" id="810" name="Picture"/>
                          <pic:cNvPicPr>
                            <a:picLocks noChangeArrowheads="1" noChangeAspect="1"/>
                          </pic:cNvPicPr>
                        </pic:nvPicPr>
                        <pic:blipFill>
                          <a:blip r:embed="rId808"/>
                          <a:stretch>
                            <a:fillRect/>
                          </a:stretch>
                        </pic:blipFill>
                        <pic:spPr bwMode="auto">
                          <a:xfrm>
                            <a:off x="0" y="0"/>
                            <a:ext cx="5969000" cy="2238375"/>
                          </a:xfrm>
                          <a:prstGeom prst="rect">
                            <a:avLst/>
                          </a:prstGeom>
                          <a:noFill/>
                          <a:ln w="9525">
                            <a:noFill/>
                            <a:headEnd/>
                            <a:tailEnd/>
                          </a:ln>
                        </pic:spPr>
                      </pic:pic>
                    </a:graphicData>
                  </a:graphic>
                </wp:inline>
              </w:drawing>
            </w:r>
          </w:p>
          <w:bookmarkEnd w:id="811"/>
        </w:tc>
      </w:tr>
    </w:tbl>
    <w:bookmarkEnd w:id="812"/>
    <w:bookmarkStart w:id="817"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Alaotra, 67 % des ménages considèrent que faire des feux constitue une pratique normale, mais seuls 8 % estiment qu’elle est vitale ou nécessaire. Par ailleurs, 11 % des répondants déclarent avoir déjà pratiqué des feux et 10 % indiquent que des feux ont eu lieu au cours des douze derniers mois. Lorsque des feux sont signalés, ils se produisent majoritairement loin des villages et hors de l’Aire Protégée (80 %), tandis que 20 % sont localisés près des villages. Une large majorité des ménages concernés (82 %) affirme chercher à maîtriser les feux, bien que 33 % déclarent qu’un feu leur a déjà échappé.</w:t>
      </w:r>
    </w:p>
    <w:p>
      <w:pPr>
        <w:pStyle w:val="Corpsdetexte"/>
      </w:pPr>
      <w:r>
        <w:t xml:space="preserve">A Marovoay, 77 % des ménages considèrent que faire des feux est une pratique normale et 62 % estiment même qu’elle est vitale ou nécessaire. Plus de la moitié des répondants (54 %) déclarent avoir déjà pratiqué des feux, tandis que 72 % signalent la présence de feux au cours des douze derniers mois. Les feux sont localisés aussi bien loin des villages et hors de l’Aire Protégée (52 %) qu’à proximité des villages (48 %). La majorité des ménages concernés (81 %) déclare chercher à maîtriser les feux. Toutefois, seuls 5 % indiquent qu’un feu leur a déjà échappé.</w:t>
      </w:r>
    </w:p>
    <w:tbl>
      <w:tblPr>
        <w:tblStyle w:val="Table"/>
        <w:tblW w:type="pct" w:w="5000"/>
        <w:tblLayout w:type="fixed"/>
        <w:tblLook w:firstRow="0" w:lastRow="0" w:firstColumn="0" w:lastColumn="0" w:noHBand="0" w:noVBand="0" w:val="0000"/>
      </w:tblPr>
      <w:tblGrid>
        <w:gridCol w:w="7920"/>
      </w:tblGrid>
      <w:tr>
        <w:tc>
          <w:tcPr/>
          <w:bookmarkStart w:id="813"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t xml:space="preserve">Source : Enquête auprès des OR 2025</w:t>
                  </w:r>
                </w:p>
              </w:tc>
            </w:tr>
          </w:tbl>
          <w:bookmarkEnd w:id="813"/>
          <w:p/>
        </w:tc>
      </w:tr>
    </w:tbl>
    <w:p>
      <w:pPr>
        <w:pStyle w:val="CaptionedFigure"/>
      </w:pPr>
      <w:r>
        <w:drawing>
          <wp:inline>
            <wp:extent cx="4620126" cy="3696101"/>
            <wp:effectExtent b="0" l="0" r="0" t="0"/>
            <wp:docPr descr="Pratique et perception des feux (% de Oui)" title="" id="815" name="Picture"/>
            <a:graphic>
              <a:graphicData uri="http://schemas.openxmlformats.org/drawingml/2006/picture">
                <pic:pic>
                  <pic:nvPicPr>
                    <pic:cNvPr descr="07_rapport_environnement_files/figure-docx/fig_feux-1.png" id="816" name="Picture"/>
                    <pic:cNvPicPr>
                      <a:picLocks noChangeArrowheads="1" noChangeAspect="1"/>
                    </pic:cNvPicPr>
                  </pic:nvPicPr>
                  <pic:blipFill>
                    <a:blip r:embed="rId81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817"/>
    <w:bookmarkStart w:id="822"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A Alaotra, l’analyse de la saisonnalité des feux de brousse montre une activité très faible durant la majeure partie de l’année, restant sous la barre des 10.0 % entre janvier et août. Une intensification brutale est observée à partir du mois de septembre avec 19.0 % de ménages actifs, pour atteindre son sommet annuel en octobre avec 34.5 %, suivi d’un maintien élevé en novembre à 27.7 %. L’activité chute ensuite rapidement dès le mois de décembre pour s’établir à 5.1 %.</w:t>
      </w:r>
      <w:r>
        <w:t xml:space="preserve"> </w:t>
      </w:r>
      <w:r>
        <w:t xml:space="preserve">Ce pic d’activité concentré entre septembre et novembre se situe précisément à la transition entre la période sèche (mai à septembre) et le début de la période humide (octobre à avril). Cette période de brûlis coïncide avec les phases de préparation des sols pour la riziculture pluviale et irriguée documentées dans la zone Moyen-Est durant les mois d’octobre et novembre. L’usage du feu apparaît ici comme un outil technique de nettoyage et de préparation des parcelles juste avant le retour massif des précipitations nécessaires à la mise en culture.</w:t>
      </w:r>
    </w:p>
    <w:p>
      <w:pPr>
        <w:pStyle w:val="Corpsdetexte"/>
      </w:pPr>
      <w:r>
        <w:t xml:space="preserve">À Marovoay, la pratique des feux suit une dynamique saisonnière encore plus marquée, avec une quasi-inactivité entre janvier et août. La fréquence des feux progresse nettement en septembre avec 21.2 % d’usagers actifs, avant de culminer à un niveau exceptionnel en octobre avec 51.1 %. L’activité demeure importante en novembre avec 38.8 % de mentions, puis décline en décembre pour atteindre 15.5 %. Le sommet observé en octobre intervient au cœur de la transition vers la période humide allant d’octobre à avril. Ce calendrier est en corrélation directe avec les cycles culturaux de la zone Nord-Ouest, correspondant à la fois à la période de récolte de la campagne rizicole Jeby située entre mi-septembre et novembre, et au déclenchement des travaux de préparation des sols pour le riz pluvial et la campagne Asara. L’intensification des feux à cette période souligne leur rôle central dans la gestion des résidus de récolte et la préparation des terres avant les nouveaux semis de saison humide.</w:t>
      </w:r>
    </w:p>
    <w:tbl>
      <w:tblPr>
        <w:tblStyle w:val="Table"/>
        <w:tblW w:type="pct" w:w="5000"/>
        <w:tblLayout w:type="fixed"/>
        <w:tblLook w:firstRow="0" w:lastRow="0" w:firstColumn="0" w:lastColumn="0" w:noHBand="0" w:noVBand="0" w:val="0000"/>
      </w:tblPr>
      <w:tblGrid>
        <w:gridCol w:w="7920"/>
      </w:tblGrid>
      <w:tr>
        <w:tc>
          <w:tcPr/>
          <w:bookmarkStart w:id="821"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1865312"/>
                  <wp:effectExtent b="0" l="0" r="0" t="0"/>
                  <wp:docPr descr="" title="" id="819" name="Picture"/>
                  <a:graphic>
                    <a:graphicData uri="http://schemas.openxmlformats.org/drawingml/2006/picture">
                      <pic:pic>
                        <pic:nvPicPr>
                          <pic:cNvPr descr="07_rapport_environnement_files/figure-docx/fig-saison-feux-1.png" id="820" name="Picture"/>
                          <pic:cNvPicPr>
                            <a:picLocks noChangeArrowheads="1" noChangeAspect="1"/>
                          </pic:cNvPicPr>
                        </pic:nvPicPr>
                        <pic:blipFill>
                          <a:blip r:embed="rId818"/>
                          <a:stretch>
                            <a:fillRect/>
                          </a:stretch>
                        </pic:blipFill>
                        <pic:spPr bwMode="auto">
                          <a:xfrm>
                            <a:off x="0" y="0"/>
                            <a:ext cx="5969000" cy="1865312"/>
                          </a:xfrm>
                          <a:prstGeom prst="rect">
                            <a:avLst/>
                          </a:prstGeom>
                          <a:noFill/>
                          <a:ln w="9525">
                            <a:noFill/>
                            <a:headEnd/>
                            <a:tailEnd/>
                          </a:ln>
                        </pic:spPr>
                      </pic:pic>
                    </a:graphicData>
                  </a:graphic>
                </wp:inline>
              </w:drawing>
            </w:r>
          </w:p>
          <w:bookmarkEnd w:id="821"/>
        </w:tc>
      </w:tr>
    </w:tbl>
    <w:bookmarkEnd w:id="822"/>
    <w:bookmarkStart w:id="835"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Alaotra, les feux de brousse restent relativement limités pendant une grande partie de l’année, avec des proportions de ménages actifs variant généralement entre 2 % et 7 % durant la période humide (octobre à avril). À partir du mois de juillet, correspondant à la saison sèche, l’activité commence à augmenter progressivement, passant de 7 % en juillet à 8 % en août, puis à 20 % en septembre. Le niveau maximal est atteint en octobre avec 35 % des ménages ayant pratiqué des feux de brousse. L’activité diminue ensuite à 28 % en novembre avant de retomber à 5 % en décembre. Ces résultats montrent que les pratiques de feux de brousse se concentrent principalement à la fin de la saison sèche et au début de la période humide.</w:t>
      </w:r>
    </w:p>
    <w:p>
      <w:pPr>
        <w:pStyle w:val="Corpsdetexte"/>
      </w:pPr>
      <w:r>
        <w:t xml:space="preserve">A Marovoay, les proportions de ménages pratiquant les feux de brousse restent faibles entre janvier et août, oscillant globalement entre 3 % et 8 %. Une forte augmentation est observée à partir de septembre, où la proportion atteint 22 %, puis un pic très marqué est enregistré en octobre avec 51 % des ménages actifs. Bien que l’activité diminue ensuite, les niveaux demeurent élevés avec 39 % en novembre et 16 % en décembre. Ces résultats mettent en évidence une forte intensification des feux de brousse à la fin de la saison sèche, suivie d’une baisse progressive au début de la période humide.</w:t>
      </w:r>
    </w:p>
    <w:tbl>
      <w:tblPr>
        <w:tblStyle w:val="Table"/>
        <w:tblW w:type="pct" w:w="5000"/>
        <w:tblLayout w:type="fixed"/>
        <w:tblLook w:firstRow="0" w:lastRow="0" w:firstColumn="0" w:lastColumn="0" w:noHBand="0" w:noVBand="0" w:val="0000"/>
      </w:tblPr>
      <w:tblGrid>
        <w:gridCol w:w="7920"/>
      </w:tblGrid>
      <w:tr>
        <w:tc>
          <w:tcPr/>
          <w:bookmarkStart w:id="826"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1865312"/>
                  <wp:effectExtent b="0" l="0" r="0" t="0"/>
                  <wp:docPr descr="" title="" id="824" name="Picture"/>
                  <a:graphic>
                    <a:graphicData uri="http://schemas.openxmlformats.org/drawingml/2006/picture">
                      <pic:pic>
                        <pic:nvPicPr>
                          <pic:cNvPr descr="07_rapport_environnement_files/figure-docx/fig-evol-feux-1.png" id="825" name="Picture"/>
                          <pic:cNvPicPr>
                            <a:picLocks noChangeArrowheads="1" noChangeAspect="1"/>
                          </pic:cNvPicPr>
                        </pic:nvPicPr>
                        <pic:blipFill>
                          <a:blip r:embed="rId823"/>
                          <a:stretch>
                            <a:fillRect/>
                          </a:stretch>
                        </pic:blipFill>
                        <pic:spPr bwMode="auto">
                          <a:xfrm>
                            <a:off x="0" y="0"/>
                            <a:ext cx="5969000" cy="1865312"/>
                          </a:xfrm>
                          <a:prstGeom prst="rect">
                            <a:avLst/>
                          </a:prstGeom>
                          <a:noFill/>
                          <a:ln w="9525">
                            <a:noFill/>
                            <a:headEnd/>
                            <a:tailEnd/>
                          </a:ln>
                        </pic:spPr>
                      </pic:pic>
                    </a:graphicData>
                  </a:graphic>
                </wp:inline>
              </w:drawing>
            </w:r>
          </w:p>
          <w:bookmarkEnd w:id="826"/>
        </w:tc>
      </w:tr>
    </w:tbl>
    <w:p>
      <w:pPr>
        <w:pStyle w:val="Corpsdetexte"/>
      </w:pPr>
      <w:r>
        <w:t xml:space="preserve">A Alaotra, les feux sont très largement perçus comme un problème dans la région. En effet, 73.6 % des ménages considèrent qu’ils représentent un problème très important, tandis que 22.7 % les jugent importants. En revanche, seuls 3.4 % estiment que les feux sont peu importants et à peine 0.4 % considèrent qu’ils ne constituent pas du tout un problème. Ces résultats montrent une forte prise de conscience des impacts négatifs des feux au sein des ménages de l’observatoire.</w:t>
      </w:r>
    </w:p>
    <w:p>
      <w:pPr>
        <w:pStyle w:val="Corpsdetexte"/>
      </w:pPr>
      <w:r>
        <w:t xml:space="preserve">A Marovoay, les feux sont également perçus comme un problème majeur par une grande partie des ménages. Ainsi, 61.1 % des répondants les considèrent comme très importants et 23.3 % comme importants. Toutefois, une proportion plus élevée de ménages estime que les feux sont peu importants (13.7 %) et 1.9 % considèrent qu’ils ne représentent aucun problème. Ces résultats traduisent une perception globalement négative des feux dans la région, bien que cette perception soit légèrement moins marquée chez certains ménages.</w:t>
      </w:r>
    </w:p>
    <w:tbl>
      <w:tblPr>
        <w:tblStyle w:val="Table"/>
        <w:tblW w:type="pct" w:w="5000"/>
        <w:tblLayout w:type="fixed"/>
        <w:tblLook w:firstRow="0" w:lastRow="0" w:firstColumn="0" w:lastColumn="0" w:noHBand="0" w:noVBand="0" w:val="0000"/>
      </w:tblPr>
      <w:tblGrid>
        <w:gridCol w:w="7920"/>
      </w:tblGrid>
      <w:tr>
        <w:tc>
          <w:tcPr/>
          <w:bookmarkStart w:id="830"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1865312"/>
                  <wp:effectExtent b="0" l="0" r="0" t="0"/>
                  <wp:docPr descr="" title="" id="828" name="Picture"/>
                  <a:graphic>
                    <a:graphicData uri="http://schemas.openxmlformats.org/drawingml/2006/picture">
                      <pic:pic>
                        <pic:nvPicPr>
                          <pic:cNvPr descr="07_rapport_environnement_files/figure-docx/fig-probleme-feux-1.png" id="829" name="Picture"/>
                          <pic:cNvPicPr>
                            <a:picLocks noChangeArrowheads="1" noChangeAspect="1"/>
                          </pic:cNvPicPr>
                        </pic:nvPicPr>
                        <pic:blipFill>
                          <a:blip r:embed="rId827"/>
                          <a:stretch>
                            <a:fillRect/>
                          </a:stretch>
                        </pic:blipFill>
                        <pic:spPr bwMode="auto">
                          <a:xfrm>
                            <a:off x="0" y="0"/>
                            <a:ext cx="5969000" cy="1865312"/>
                          </a:xfrm>
                          <a:prstGeom prst="rect">
                            <a:avLst/>
                          </a:prstGeom>
                          <a:noFill/>
                          <a:ln w="9525">
                            <a:noFill/>
                            <a:headEnd/>
                            <a:tailEnd/>
                          </a:ln>
                        </pic:spPr>
                      </pic:pic>
                    </a:graphicData>
                  </a:graphic>
                </wp:inline>
              </w:drawing>
            </w:r>
          </w:p>
          <w:bookmarkEnd w:id="830"/>
        </w:tc>
      </w:tr>
    </w:tbl>
    <w:p>
      <w:pPr>
        <w:pStyle w:val="Corpsdetexte"/>
      </w:pPr>
      <w:r>
        <w:t xml:space="preserve">A Alaotra, une très large majorité des ménages estime que la pratique du feu devrait être interdite, avec 85.2 % des réponses. Par ailleurs, 14.6 % considèrent que cette pratique devrait être limitée, tandis qu’une proportion très faible de ménages (0.2 %) pense qu’elle devrait rester libre.</w:t>
      </w:r>
    </w:p>
    <w:p>
      <w:pPr>
        <w:pStyle w:val="Corpsdetexte"/>
      </w:pPr>
      <w:r>
        <w:t xml:space="preserve">A Marovoay, la majorité des ménages considère également que la pratique du feu devrait être interdite, position partagée par 79.2 % des répondants. En outre, 20.6 % estiment qu’elle devrait être limitée et seulement 0.2 % pensent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834"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1865312"/>
                  <wp:effectExtent b="0" l="0" r="0" t="0"/>
                  <wp:docPr descr="" title="" id="832" name="Picture"/>
                  <a:graphic>
                    <a:graphicData uri="http://schemas.openxmlformats.org/drawingml/2006/picture">
                      <pic:pic>
                        <pic:nvPicPr>
                          <pic:cNvPr descr="07_rapport_environnement_files/figure-docx/fig-reglementation-feux-1.png" id="833" name="Picture"/>
                          <pic:cNvPicPr>
                            <a:picLocks noChangeArrowheads="1" noChangeAspect="1"/>
                          </pic:cNvPicPr>
                        </pic:nvPicPr>
                        <pic:blipFill>
                          <a:blip r:embed="rId831"/>
                          <a:stretch>
                            <a:fillRect/>
                          </a:stretch>
                        </pic:blipFill>
                        <pic:spPr bwMode="auto">
                          <a:xfrm>
                            <a:off x="0" y="0"/>
                            <a:ext cx="5969000" cy="1865312"/>
                          </a:xfrm>
                          <a:prstGeom prst="rect">
                            <a:avLst/>
                          </a:prstGeom>
                          <a:noFill/>
                          <a:ln w="9525">
                            <a:noFill/>
                            <a:headEnd/>
                            <a:tailEnd/>
                          </a:ln>
                        </pic:spPr>
                      </pic:pic>
                    </a:graphicData>
                  </a:graphic>
                </wp:inline>
              </w:drawing>
            </w:r>
          </w:p>
          <w:bookmarkEnd w:id="834"/>
        </w:tc>
      </w:tr>
    </w:tbl>
    <w:bookmarkEnd w:id="835"/>
    <w:bookmarkEnd w:id="836"/>
    <w:bookmarkStart w:id="867"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841"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Alaotra, la nécessité de protéger l’environnement ainsi que cette Aire Protégée en particulier fait l’objet d’une adhésion totale, avec 100 % des ménages partageant cette opinion. La reconnaissance de la perte de biodiversité à Madagascar et l’idée que les Aires Protégées produisent des résultats positifs sont également très largement partagées, chacune étant mentionnée par 98 % des répondants. Enfin, 80 % des ménages déclarent avoir déjà entendu parler de l’Aire Protégée.</w:t>
      </w:r>
    </w:p>
    <w:p>
      <w:pPr>
        <w:pStyle w:val="Corpsdetexte"/>
      </w:pPr>
      <w:r>
        <w:t xml:space="preserve">A Marovoay, la nécessité de protéger l’environnement ainsi que cette Aire Protégée spécifique est reconnue par 99 % des ménages. Les résultats positifs attribués aux Aires Protégées sont également largement reconnus, avec 98 % des réponses. La perte de biodiversité à Madagascar est perçue par 94 % des répondants. Enfin, 82 % des ménages déclarent avoir entendu parler de l’Aire Protégée.</w:t>
      </w:r>
    </w:p>
    <w:tbl>
      <w:tblPr>
        <w:tblStyle w:val="Table"/>
        <w:tblW w:type="pct" w:w="5000"/>
        <w:tblLayout w:type="fixed"/>
        <w:tblLook w:firstRow="0" w:lastRow="0" w:firstColumn="0" w:lastColumn="0" w:noHBand="0" w:noVBand="0" w:val="0000"/>
      </w:tblPr>
      <w:tblGrid>
        <w:gridCol w:w="7920"/>
      </w:tblGrid>
      <w:tr>
        <w:tc>
          <w:tcPr/>
          <w:bookmarkStart w:id="837"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t xml:space="preserve">Source : Enquête auprès des OR 2025</w:t>
                  </w:r>
                </w:p>
              </w:tc>
            </w:tr>
          </w:tbl>
          <w:bookmarkEnd w:id="837"/>
          <w:p/>
        </w:tc>
      </w:tr>
    </w:tbl>
    <w:p>
      <w:pPr>
        <w:pStyle w:val="CaptionedFigure"/>
      </w:pPr>
      <w:r>
        <w:drawing>
          <wp:inline>
            <wp:extent cx="4620126" cy="3696101"/>
            <wp:effectExtent b="0" l="0" r="0" t="0"/>
            <wp:docPr descr="Connaissance de l’Aire protégée et demande de protection (% de Oui)" title="" id="839" name="Picture"/>
            <a:graphic>
              <a:graphicData uri="http://schemas.openxmlformats.org/drawingml/2006/picture">
                <pic:pic>
                  <pic:nvPicPr>
                    <pic:cNvPr descr="07_rapport_environnement_files/figure-docx/fig_connaissance_ap-1.png" id="840" name="Picture"/>
                    <pic:cNvPicPr>
                      <a:picLocks noChangeArrowheads="1" noChangeAspect="1"/>
                    </pic:cNvPicPr>
                  </pic:nvPicPr>
                  <pic:blipFill>
                    <a:blip r:embed="rId83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841"/>
    <w:bookmarkStart w:id="846"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Alaotra, les actions de l’Aire Protégée sont perçues très positivement par les ménages, en particulier dans le domaine environnemental où 95 % des répondants jugent les effets très positifs et une faible proportion les considère plutôt positifs. Sur le plan économique, 71 % des ménages estiment que les actions de l’AP ont des effets très positifs et 26 % les jugent plutôt positifs. La dimension sociale est également appréciée favorablement, avec 55 % d’avis très positifs et 32 % d’avis plutôt positifs. Les perceptions négatives restent limitées. Les avis plutôt négatifs concernent principalement la dimension sociale (7 %), tandis que les opinions très négatives demeurent marginales dans l’ensemble des dimensions étudiées.</w:t>
      </w:r>
    </w:p>
    <w:p>
      <w:pPr>
        <w:pStyle w:val="Corpsdetexte"/>
      </w:pPr>
      <w:r>
        <w:t xml:space="preserve">A Marovoay, les perceptions positives dominent également dans les trois dimensions évaluées. Les effets environnementaux des actions de l’Aire Protégée sont considérés comme très positifs par 84 % des ménages et plutôt positifs par 14 %. Sur le plan économique, 76 % des répondants expriment une opinion très positive et 19 % une opinion plutôt positive. Les effets sociaux sont jugés très positifs par 65 % des ménages et plutôt positifs par 24 %. Les perceptions négatives restent faibles. Les avis plutôt négatifs concernent surtout la dimension sociale avec 8 % des réponses, tandis que les opinions très négatives sont quasi inexistantes dans les différentes dimensions.</w:t>
      </w:r>
    </w:p>
    <w:tbl>
      <w:tblPr>
        <w:tblStyle w:val="Table"/>
        <w:tblW w:type="pct" w:w="5000"/>
        <w:tblLayout w:type="fixed"/>
        <w:tblLook w:firstRow="0" w:lastRow="0" w:firstColumn="0" w:lastColumn="0" w:noHBand="0" w:noVBand="0" w:val="0000"/>
      </w:tblPr>
      <w:tblGrid>
        <w:gridCol w:w="7920"/>
      </w:tblGrid>
      <w:tr>
        <w:tc>
          <w:tcPr/>
          <w:bookmarkStart w:id="845"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1705428"/>
                  <wp:effectExtent b="0" l="0" r="0" t="0"/>
                  <wp:docPr descr="" title="" id="843" name="Picture"/>
                  <a:graphic>
                    <a:graphicData uri="http://schemas.openxmlformats.org/drawingml/2006/picture">
                      <pic:pic>
                        <pic:nvPicPr>
                          <pic:cNvPr descr="07_rapport_environnement_files/figure-docx/fig-jugement-ap-1.png" id="844" name="Picture"/>
                          <pic:cNvPicPr>
                            <a:picLocks noChangeArrowheads="1" noChangeAspect="1"/>
                          </pic:cNvPicPr>
                        </pic:nvPicPr>
                        <pic:blipFill>
                          <a:blip r:embed="rId842"/>
                          <a:stretch>
                            <a:fillRect/>
                          </a:stretch>
                        </pic:blipFill>
                        <pic:spPr bwMode="auto">
                          <a:xfrm>
                            <a:off x="0" y="0"/>
                            <a:ext cx="5969000" cy="1705428"/>
                          </a:xfrm>
                          <a:prstGeom prst="rect">
                            <a:avLst/>
                          </a:prstGeom>
                          <a:noFill/>
                          <a:ln w="9525">
                            <a:noFill/>
                            <a:headEnd/>
                            <a:tailEnd/>
                          </a:ln>
                        </pic:spPr>
                      </pic:pic>
                    </a:graphicData>
                  </a:graphic>
                </wp:inline>
              </w:drawing>
            </w:r>
          </w:p>
          <w:bookmarkEnd w:id="845"/>
        </w:tc>
      </w:tr>
    </w:tbl>
    <w:bookmarkEnd w:id="846"/>
    <w:bookmarkStart w:id="851"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Alaotra, la gestion de l’Aire Protégée devrait principalement relever de l’État (Fanjakana) selon 45.5 % des ménages favorables à la protection. Les communautés locales sont également largement citées, avec 34.8 % des réponses. Les autres formes de gestion sont beaucoup moins mentionnées, notamment le partenariat mixte (8.7 %) et les riverains tompontany (7.3 %). Les ONG malgaches (1.8 %), les ONG étrangères (1.2 %) et les COBA (0.6 %) sont très faiblement citées.</w:t>
      </w:r>
    </w:p>
    <w:p>
      <w:pPr>
        <w:pStyle w:val="Corpsdetexte"/>
      </w:pPr>
      <w:r>
        <w:t xml:space="preserve">A Marovoay, l’État (Fanjakana) est également l’acteur le plus fréquemment cité pour assurer la gestion de l’Aire Protégée, avec 56.9 % des réponses. Les communautés locales occupent la deuxième position avec 27.9 % des ménages. Les autres acteurs sont beaucoup moins mentionnés, notamment les ONG étrangères (6.6 %), les partenariats mixtes (3.4 %) et les riverains tompontany (3.4 %). Les COBA (1 %) et les ONG malgaches (0.8 %) restent marginalement citées.</w:t>
      </w:r>
    </w:p>
    <w:tbl>
      <w:tblPr>
        <w:tblStyle w:val="Table"/>
        <w:tblW w:type="pct" w:w="5000"/>
        <w:tblLayout w:type="fixed"/>
        <w:tblLook w:firstRow="0" w:lastRow="0" w:firstColumn="0" w:lastColumn="0" w:noHBand="0" w:noVBand="0" w:val="0000"/>
      </w:tblPr>
      <w:tblGrid>
        <w:gridCol w:w="7920"/>
      </w:tblGrid>
      <w:tr>
        <w:tc>
          <w:tcPr/>
          <w:bookmarkStart w:id="850"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865312"/>
                  <wp:effectExtent b="0" l="0" r="0" t="0"/>
                  <wp:docPr descr="" title="" id="848" name="Picture"/>
                  <a:graphic>
                    <a:graphicData uri="http://schemas.openxmlformats.org/drawingml/2006/picture">
                      <pic:pic>
                        <pic:nvPicPr>
                          <pic:cNvPr descr="07_rapport_environnement_files/figure-docx/fig-gestionnaire-1.png" id="849" name="Picture"/>
                          <pic:cNvPicPr>
                            <a:picLocks noChangeArrowheads="1" noChangeAspect="1"/>
                          </pic:cNvPicPr>
                        </pic:nvPicPr>
                        <pic:blipFill>
                          <a:blip r:embed="rId847"/>
                          <a:stretch>
                            <a:fillRect/>
                          </a:stretch>
                        </pic:blipFill>
                        <pic:spPr bwMode="auto">
                          <a:xfrm>
                            <a:off x="0" y="0"/>
                            <a:ext cx="5969000" cy="1865312"/>
                          </a:xfrm>
                          <a:prstGeom prst="rect">
                            <a:avLst/>
                          </a:prstGeom>
                          <a:noFill/>
                          <a:ln w="9525">
                            <a:noFill/>
                            <a:headEnd/>
                            <a:tailEnd/>
                          </a:ln>
                        </pic:spPr>
                      </pic:pic>
                    </a:graphicData>
                  </a:graphic>
                </wp:inline>
              </w:drawing>
            </w:r>
          </w:p>
          <w:bookmarkEnd w:id="850"/>
        </w:tc>
      </w:tr>
    </w:tbl>
    <w:bookmarkEnd w:id="851"/>
    <w:bookmarkStart w:id="856"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Alaotra, plus de la moitié des ménages favorables à la protection souhaitent avant tout interdire tous les feux, mesure citée par 91 % des répondants. Les savoirs et pratiques traditionnels sont également largement valorisés, avec 73 % des réponses. L’interdiction de l’accès des bêtes est mentionnée par 69 % des ménages, suivie par la restriction de l’accès des hommes (64 %). Le développement des AGR et l’interdiction des prélèvements sont chacun cités par 61 % des répondants.Les mesures soutenues par moins de la moitié des ménages concernent principalement la limitation des prélèvements liés à la chasse ou à la cueillette (49 %) ainsi que la limitation des feux (47 %). L’encouragement du tourisme et la restriction des recherches scientifiques sont chacun mentionnés par 45 % des ménages. La restriction de l’accès des bêtes pour le pâturage et la restriction du tourisme sont citées par 42 % des répondants, tandis que l’interdiction de l’accès des hommes est mentionnée par 36 % des ménages. Ces résultats montrent que les mesures les plus soutenues sont celles liées au contrôle des feux, des accès et des prélèvements.</w:t>
      </w:r>
    </w:p>
    <w:p>
      <w:pPr>
        <w:pStyle w:val="Corpsdetexte"/>
      </w:pPr>
      <w:r>
        <w:t xml:space="preserve">A Marovoay, plus de la moitié des ménages favorables à la protection souhaitent principalement interdire tous les feux, mesure mentionnée par 77 % des répondants. Les savoirs et pratiques traditionnels sont cités par 54 % des ménages, suivis de la restriction de l’accès des hommes (50 %). Les autres mesures sont soutenues par moins de la moitié des ménages. L’interdiction de l’accès des bêtes est mentionnée par 49 % des répondants et le développement des AGR par 46 %. La restriction des feux concerne 41 % des ménages, tandis que l’interdiction des prélèvements et la limitation des prélèvements liés à la chasse ou à la cueillette sont chacune citées par 40 % des répondants. L’encouragement du tourisme est mentionné par 38 % des ménages, la restriction de l’accès des bêtes pour le pâturage par 35 %, la restriction des recherches scientifiques par 34 % et la restriction du tourisme par 32 %. Enfin, l’interdiction de l’accès des hommes est citée par 43 % des répondants. Ces résultats montrent que les mesures privilégiées concernent principalement la gestion des feux et le contrôle des usages de l’Aire Protégée.</w:t>
      </w:r>
    </w:p>
    <w:tbl>
      <w:tblPr>
        <w:tblStyle w:val="Table"/>
        <w:tblW w:type="pct" w:w="5000"/>
        <w:tblLayout w:type="fixed"/>
        <w:tblLook w:firstRow="0" w:lastRow="0" w:firstColumn="0" w:lastColumn="0" w:noHBand="0" w:noVBand="0" w:val="0000"/>
      </w:tblPr>
      <w:tblGrid>
        <w:gridCol w:w="7920"/>
      </w:tblGrid>
      <w:tr>
        <w:tc>
          <w:tcPr/>
          <w:bookmarkStart w:id="855"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2238375"/>
                  <wp:effectExtent b="0" l="0" r="0" t="0"/>
                  <wp:docPr descr="" title="" id="853" name="Picture"/>
                  <a:graphic>
                    <a:graphicData uri="http://schemas.openxmlformats.org/drawingml/2006/picture">
                      <pic:pic>
                        <pic:nvPicPr>
                          <pic:cNvPr descr="07_rapport_environnement_files/figure-docx/fig-mesures-protection-1.png" id="854" name="Picture"/>
                          <pic:cNvPicPr>
                            <a:picLocks noChangeArrowheads="1" noChangeAspect="1"/>
                          </pic:cNvPicPr>
                        </pic:nvPicPr>
                        <pic:blipFill>
                          <a:blip r:embed="rId852"/>
                          <a:stretch>
                            <a:fillRect/>
                          </a:stretch>
                        </pic:blipFill>
                        <pic:spPr bwMode="auto">
                          <a:xfrm>
                            <a:off x="0" y="0"/>
                            <a:ext cx="5969000" cy="2238375"/>
                          </a:xfrm>
                          <a:prstGeom prst="rect">
                            <a:avLst/>
                          </a:prstGeom>
                          <a:noFill/>
                          <a:ln w="9525">
                            <a:noFill/>
                            <a:headEnd/>
                            <a:tailEnd/>
                          </a:ln>
                        </pic:spPr>
                      </pic:pic>
                    </a:graphicData>
                  </a:graphic>
                </wp:inline>
              </w:drawing>
            </w:r>
          </w:p>
          <w:bookmarkEnd w:id="855"/>
        </w:tc>
      </w:tr>
    </w:tbl>
    <w:bookmarkEnd w:id="856"/>
    <w:bookmarkStart w:id="861"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Alaotra, la priorité la plus fréquemment citée par les ménages concerne la lutte simultanée contre la pauvreté et la protection de l’environnement, mentionnée par 41.1 % des répondants. L’option privilégiant uniquement la lutte contre la pauvreté arrive en deuxième position avec 22.3 % des réponses. La priorité accordée à l’environnement est citée par 17.8 % des ménages, tandis que 9.7 % privilégient la pauvreté et le développement. La protection exclusive de l’environnement est mentionnée par 8.9 % des répondants. Enfin, une proportion très marginale des ménages (0.2 %) déclare ne privilégier ni l’un ni l’autre. Ces résultats montrent que les ménages accordent principalement de l’importance à une approche combinant protection environnementale et amélioration des conditions de vie.</w:t>
      </w:r>
    </w:p>
    <w:p>
      <w:pPr>
        <w:pStyle w:val="Corpsdetexte"/>
      </w:pPr>
      <w:r>
        <w:t xml:space="preserve">A Marovoay, la priorité accordée à l’environnement constitue l’option la plus fréquemment mentionnée, avec 36.8 % des ménages concernés. La combinaison entre lutte contre la pauvreté et protection de l’environnement arrive en deuxième position avec 26 % des réponses, suivie de l’option privilégiant uniquement la pauvreté (24.1 %). La priorité donnée à la pauvreté et au développement est citée par 11.8 % des ménages. En revanche, la protection exclusive de l’environnement est très faiblement mentionnée, avec seulement 1.3 % des réponses. Ces résultats traduisent une forte importance accordée aux enjeux environnementaux, tout en maintenant une attention portée aux questions de pauvreté et de développement.</w:t>
      </w:r>
    </w:p>
    <w:tbl>
      <w:tblPr>
        <w:tblStyle w:val="Table"/>
        <w:tblW w:type="pct" w:w="5000"/>
        <w:tblLayout w:type="fixed"/>
        <w:tblLook w:firstRow="0" w:lastRow="0" w:firstColumn="0" w:lastColumn="0" w:noHBand="0" w:noVBand="0" w:val="0000"/>
      </w:tblPr>
      <w:tblGrid>
        <w:gridCol w:w="7920"/>
      </w:tblGrid>
      <w:tr>
        <w:tc>
          <w:tcPr/>
          <w:bookmarkStart w:id="860"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1492250"/>
                  <wp:effectExtent b="0" l="0" r="0" t="0"/>
                  <wp:docPr descr="" title="" id="858" name="Picture"/>
                  <a:graphic>
                    <a:graphicData uri="http://schemas.openxmlformats.org/drawingml/2006/picture">
                      <pic:pic>
                        <pic:nvPicPr>
                          <pic:cNvPr descr="07_rapport_environnement_files/figure-docx/fig-priorite-1.png" id="859" name="Picture"/>
                          <pic:cNvPicPr>
                            <a:picLocks noChangeArrowheads="1" noChangeAspect="1"/>
                          </pic:cNvPicPr>
                        </pic:nvPicPr>
                        <pic:blipFill>
                          <a:blip r:embed="rId857"/>
                          <a:stretch>
                            <a:fillRect/>
                          </a:stretch>
                        </pic:blipFill>
                        <pic:spPr bwMode="auto">
                          <a:xfrm>
                            <a:off x="0" y="0"/>
                            <a:ext cx="5969000" cy="1492250"/>
                          </a:xfrm>
                          <a:prstGeom prst="rect">
                            <a:avLst/>
                          </a:prstGeom>
                          <a:noFill/>
                          <a:ln w="9525">
                            <a:noFill/>
                            <a:headEnd/>
                            <a:tailEnd/>
                          </a:ln>
                        </pic:spPr>
                      </pic:pic>
                    </a:graphicData>
                  </a:graphic>
                </wp:inline>
              </w:drawing>
            </w:r>
          </w:p>
          <w:bookmarkEnd w:id="860"/>
        </w:tc>
      </w:tr>
    </w:tbl>
    <w:bookmarkEnd w:id="861"/>
    <w:bookmarkStart w:id="866"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p>
      <w:pPr>
        <w:pStyle w:val="Corpsdetexte"/>
      </w:pPr>
      <w:r>
        <w:t xml:space="preserve">A Alaotra, les principaux bénéfices tirés des actions de l’Aire Protégée concernent le reboisement et les pépinières, cités par 50 % des ménages. Les dons et aides arrivent en deuxième position avec 29 % des réponses, suivis de l’appui technique (17 %), de la sensibilisation (12 %) et de l’élaboration des plans (12 %). L’achat de produits est mentionné par 4 % des ménages, tandis que les autres formes de bénéfices restent marginales.</w:t>
      </w:r>
      <w:r>
        <w:t xml:space="preserve"> </w:t>
      </w:r>
      <w:r>
        <w:t xml:space="preserve">Concernant les consultations, les ménages déclarent avoir principalement été consultés pour les activités de reboisement et de pépinière (43 %). L’appui technique représente également une part importante des consultations avec 17 % des réponses, suivi de la sensibilisation (16 %). Les dons et aides concernent 9 % des ménages consultés, les autres activités 6 %, les AGR liées à l’élevage 5 % et l’élaboration des plans 4 %. Les consultations sur l’achat de produits restent faibles avec 2 %.</w:t>
      </w:r>
      <w:r>
        <w:t xml:space="preserve"> </w:t>
      </w:r>
      <w:r>
        <w:t xml:space="preserve">En matière d’information, les ménages déclarent avoir surtout été informés sur les activités de reboisement et de pépinière (34 %). Les actions de sensibilisation sont citées par 20 % des répondants, suivies de l’appui technique (11 %), des dons et aides (4 %) et de l’achat de produits (2 %). Les AGR liées à l’élevage, le tourisme et les autres activités sont très faiblement mentionnés, avec environ 1 % des réponses chacun.</w:t>
      </w:r>
    </w:p>
    <w:p>
      <w:pPr>
        <w:pStyle w:val="Corpsdetexte"/>
      </w:pPr>
      <w:r>
        <w:t xml:space="preserve">A Marovoay, les principaux bénéfices perçus concernent l’élaboration des plans, mentionnée par 38 % des ménages. Les activités de reboisement et de pépinière arrivent en deuxième position avec 31 % des réponses, suivies de la sensibilisation (28 %), de l’achat de produits (25 %), des dons et aides (16 %) et de l’appui technique (14 %).</w:t>
      </w:r>
      <w:r>
        <w:t xml:space="preserve"> </w:t>
      </w:r>
      <w:r>
        <w:t xml:space="preserve">Les consultations portent principalement sur les activités de reboisement et de pépinière, citées par 19 % des ménages. La sensibilisation représente 8 % des consultations, tandis que l’appui technique et l’élaboration des plans concernent chacun 5 % des répondants. Les consultations liées aux dons et aides ainsi qu’aux autres activités restent limitées, avec environ 3 % des réponses chacune.</w:t>
      </w:r>
      <w:r>
        <w:t xml:space="preserve"> </w:t>
      </w:r>
      <w:r>
        <w:t xml:space="preserve">Concernant l’information, les ménages déclarent avoir principalement été informés sur les activités de reboisement et de pépinière (29 %). Les actions de sensibilisation sont citées par 17 % des répondants, suivies de l’élaboration des plans (7 %), des dons et aides (6 %) et de l’appui technique (5 %). Le tourisme et les AGR liées à l’élevage restent très faiblement mentionnés, avec respectivement 4 % et 2 % des réponses.</w:t>
      </w:r>
    </w:p>
    <w:tbl>
      <w:tblPr>
        <w:tblStyle w:val="Table"/>
        <w:tblW w:type="pct" w:w="5000"/>
        <w:tblLayout w:type="fixed"/>
        <w:tblLook w:firstRow="0" w:lastRow="0" w:firstColumn="0" w:lastColumn="0" w:noHBand="0" w:noVBand="0" w:val="0000"/>
      </w:tblPr>
      <w:tblGrid>
        <w:gridCol w:w="7920"/>
      </w:tblGrid>
      <w:tr>
        <w:tc>
          <w:tcPr/>
          <w:bookmarkStart w:id="865"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2984500"/>
                  <wp:effectExtent b="0" l="0" r="0" t="0"/>
                  <wp:docPr descr="" title="" id="863" name="Picture"/>
                  <a:graphic>
                    <a:graphicData uri="http://schemas.openxmlformats.org/drawingml/2006/picture">
                      <pic:pic>
                        <pic:nvPicPr>
                          <pic:cNvPr descr="07_rapport_environnement_files/figure-docx/fig-actions-ap-1.png" id="864" name="Picture"/>
                          <pic:cNvPicPr>
                            <a:picLocks noChangeArrowheads="1" noChangeAspect="1"/>
                          </pic:cNvPicPr>
                        </pic:nvPicPr>
                        <pic:blipFill>
                          <a:blip r:embed="rId862"/>
                          <a:stretch>
                            <a:fillRect/>
                          </a:stretch>
                        </pic:blipFill>
                        <pic:spPr bwMode="auto">
                          <a:xfrm>
                            <a:off x="0" y="0"/>
                            <a:ext cx="5969000" cy="2984500"/>
                          </a:xfrm>
                          <a:prstGeom prst="rect">
                            <a:avLst/>
                          </a:prstGeom>
                          <a:noFill/>
                          <a:ln w="9525">
                            <a:noFill/>
                            <a:headEnd/>
                            <a:tailEnd/>
                          </a:ln>
                        </pic:spPr>
                      </pic:pic>
                    </a:graphicData>
                  </a:graphic>
                </wp:inline>
              </w:drawing>
            </w:r>
          </w:p>
          <w:bookmarkEnd w:id="865"/>
        </w:tc>
      </w:tr>
    </w:tbl>
    <w:bookmarkEnd w:id="866"/>
    <w:bookmarkEnd w:id="867"/>
    <w:bookmarkEnd w:id="868"/>
    <w:bookmarkStart w:id="916"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5"/>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5"/>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c:\PROGRA~1\Positron\RESOUR~1\app\quarto\share\formats\docx\warning.png" id="870"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76"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71"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w:t>
      </w:r>
    </w:p>
    <w:bookmarkEnd w:id="871"/>
    <w:bookmarkStart w:id="875" w:name="prévalence-par-type-de-catastrophe"/>
    <w:p>
      <w:pPr>
        <w:pStyle w:val="Titre3"/>
      </w:pPr>
      <w:r>
        <w:t xml:space="preserve">8.1.2 Prévalence par type de catastrophe</w:t>
      </w:r>
    </w:p>
    <w:p>
      <w:pPr>
        <w:pStyle w:val="FirstParagraph"/>
      </w:pPr>
      <w:r>
        <w:t xml:space="preserve">A Alaotra, l’analyse de la répartition des cataclysmes a met en évidence une prédominance marquée de la sécheresse qui affecte 56.4% des ménages. Les risques liés aux nuisibles constituent le second pôle de vulnérabilité avec 15.2% des foyers touchés par d’autres bestioles et 13.4% par les rats. Les maladies des cultures ou de l’élevage, tout comme les facteurs humains incluant les vols et dégradations concernent chacun 13.0% de la population enquêtée. Les aléas climatiques violents tels que les inondations et les cyclones présentent des taux de prévalence respectifs de 9.5% et 5.5%. Les autres catégories d’évènements, notamment la grêle (1.4%), les incendies ou la foudre (0.8%), les oiseaux (0.8%) et les invasions de criquets (0.4%), demeurent plus marginales au cours de la période de référence.</w:t>
      </w:r>
    </w:p>
    <w:p>
      <w:pPr>
        <w:pStyle w:val="Corpsdetexte"/>
      </w:pPr>
      <w:r>
        <w:t xml:space="preserve">A Marovoay, la structure de l’exposition aux risques est également dominée par la sécheresse, signalée par 52.4% des ménages. Les pathologies affectant le capital productif regroupées sous la catégorie des maladies des cultures et de l’élevage représentent un défi majeur touchant 20.0% des foyers. Les dommages imputables aux rats et aux facteurs humains atteignent des niveaux identiques concernant chacun 8.1% de l’échantillon. La zone enregistre par ailleurs des incidents liés aux criquets à hauteur de 3.9% suivis par les autres bestioles (3.5%) ainsi que les cyclones (3.1%) et les inondations (3.1%).</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4620126"/>
            <wp:effectExtent b="0" l="0" r="0" t="0"/>
            <wp:docPr descr="" title="" id="873" name="Picture"/>
            <a:graphic>
              <a:graphicData uri="http://schemas.openxmlformats.org/drawingml/2006/picture">
                <pic:pic>
                  <pic:nvPicPr>
                    <pic:cNvPr descr="08_cataclysme_catastrophe_files/figure-docx/g1_prevalence_type-1.png" id="874" name="Picture"/>
                    <pic:cNvPicPr>
                      <a:picLocks noChangeArrowheads="1" noChangeAspect="1"/>
                    </pic:cNvPicPr>
                  </pic:nvPicPr>
                  <pic:blipFill>
                    <a:blip r:embed="rId872"/>
                    <a:stretch>
                      <a:fillRect/>
                    </a:stretch>
                  </pic:blipFill>
                  <pic:spPr bwMode="auto">
                    <a:xfrm>
                      <a:off x="0" y="0"/>
                      <a:ext cx="4620126" cy="4620126"/>
                    </a:xfrm>
                    <a:prstGeom prst="rect">
                      <a:avLst/>
                    </a:prstGeom>
                    <a:noFill/>
                    <a:ln w="9525">
                      <a:noFill/>
                      <a:headEnd/>
                      <a:tailEnd/>
                    </a:ln>
                  </pic:spPr>
                </pic:pic>
              </a:graphicData>
            </a:graphic>
          </wp:inline>
        </w:drawing>
      </w:r>
    </w:p>
    <w:bookmarkEnd w:id="875"/>
    <w:bookmarkEnd w:id="876"/>
    <w:bookmarkStart w:id="890"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bookmarkStart w:id="880"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Alaotra, l’évaluation des dommages causés aux habitations par les différents aléas révèle une sensibilité particulière aux événements cycloniques pour 45.8% des ménages . Les nuisibles biologiques, spécifiquement les rats, représentent également une menace significative pour l’intégrité du bâti touchant 35.9% des ménages exposés à ce risque. Les impacts liés aux actions humaines (8.3%) ou à d’autres types d’insectes et bestioles (5.6%) demeurent plus restreints.</w:t>
      </w:r>
    </w:p>
    <w:p>
      <w:pPr>
        <w:pStyle w:val="Corpsdetexte"/>
      </w:pPr>
      <w:r>
        <w:t xml:space="preserve">A Marovoay, les cyclones s’avèrent être la cause la plus fréquente de dommages, affectant 60.0% des ménages ayant déclaré ce type de sinistre. La sécheresse influe également sur l’état des habitations pour 20.0% des ménages concernés, tandis que les inondations touchent 14.3% des logements exposés. L’influence des rats (7.3%), des autres bestioles (5.9%) et des facteurs humains incluant les vols ou dégradations (2.6%) sur l’habitat est nettement moins prononcée.</w:t>
      </w:r>
    </w:p>
    <w:p>
      <w:pPr>
        <w:pStyle w:val="Corpsdetexte"/>
      </w:pPr>
      <w:r>
        <w:t xml:space="preserve">Il est à noter que les phénomènes de sécheresse, d’inondation ou de grêle n’ont engendré aucune dégradation déclarée sur les habitats durant cette campagne d’enquête.</w:t>
      </w:r>
    </w:p>
    <w:p>
      <w:pPr>
        <w:pStyle w:val="CaptionedFigure"/>
      </w:pPr>
      <w:r>
        <w:drawing>
          <wp:inline>
            <wp:extent cx="4620126" cy="3696101"/>
            <wp:effectExtent b="0" l="0" r="0" t="0"/>
            <wp:docPr descr="Dégâts sur le logement par type de catastrophe" title="" id="878" name="Picture"/>
            <a:graphic>
              <a:graphicData uri="http://schemas.openxmlformats.org/drawingml/2006/picture">
                <pic:pic>
                  <pic:nvPicPr>
                    <pic:cNvPr descr="08_cataclysme_catastrophe_files/figure-docx/fig_degats_logement-1.png" id="879" name="Picture"/>
                    <pic:cNvPicPr>
                      <a:picLocks noChangeArrowheads="1" noChangeAspect="1"/>
                    </pic:cNvPicPr>
                  </pic:nvPicPr>
                  <pic:blipFill>
                    <a:blip r:embed="rId8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880"/>
    <w:bookmarkStart w:id="881" w:name="dégâts-sur-lélevage"/>
    <w:p>
      <w:pPr>
        <w:pStyle w:val="Titre3"/>
      </w:pPr>
      <w:r>
        <w:t xml:space="preserve">8.2.2 Dégâts sur l’élevage</w:t>
      </w:r>
    </w:p>
    <w:p>
      <w:pPr>
        <w:pStyle w:val="FirstParagraph"/>
      </w:pPr>
      <w:r>
        <w:rPr>
          <w:b/>
          <w:bCs/>
        </w:rPr>
        <w:t xml:space="preserve">A VOIR DANS LE CODE R POURQUOI LA FIGURE NE S’AFFICHE PAS + INTERPRETATION</w:t>
      </w:r>
    </w:p>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881"/>
    <w:bookmarkStart w:id="885"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Alaotra, les événements cycloniques se distinguent par une incidence élevée sur la santé, affectant 24.0% des ménages exposés sous forme de blessures ou de maladies. Les pathologies liées au capital productif, incluant les cultures et l’élevage, engendrent également des conséquences sanitaires pour 15.3% des ménages concernés. Le manque de vivres, bien que relativement contenu pour la majorité des aléas, atteint 11.9% des cas lors de catastrophes d’origine humaine. Enfin, bien que rares, des décès ou disparitions sont rapportés lors d’inondations (2.4%), de maladies (1.7%), d’attaques de nuisibles (1.5%) et de périodes de sécheresse (1.2%), illustrant la dangerosité potentielle de ces phénomènes malgré une majorité de situations sans dommage corporel direct.</w:t>
      </w:r>
    </w:p>
    <w:p>
      <w:pPr>
        <w:pStyle w:val="Corpsdetexte"/>
      </w:pPr>
      <w:r>
        <w:t xml:space="preserve">A Marovoay, la sécheresse constitue l’aléa le plus critique à cet égard, provoquant un manque de vivres pour 48.5% des ménages touchés. Les inondations et les cyclones présentent des profils de risques mixtes associant des manques de vivre pour respectivement 18.8% et 13.3% des ménages à des impacts sanitaires notables sous forme de blessures ou maladies touchant environ 20.0% des répondants. Les maladies affectant les cultures ou l’élevage ont également des conséquences directes sur les individus, avec 11.8% de cas de blessures ou maladies et 2.9% de décès ou disparitions signalés. Enfin, les dommages liés aux nuisibles ou aux facteurs humains se traduisent essentiellement par des difficultés d’approvisionnement alimentaire, affectant entre 5.3% et 11.8% de la population concernée.</w:t>
      </w:r>
    </w:p>
    <w:p>
      <w:pPr>
        <w:pStyle w:val="CaptionedFigure"/>
      </w:pPr>
      <w:r>
        <w:drawing>
          <wp:inline>
            <wp:extent cx="4620126" cy="2772075"/>
            <wp:effectExtent b="0" l="0" r="0" t="0"/>
            <wp:docPr descr="Conséquences des cataclysmes sur les personnes" title="" id="883" name="Picture"/>
            <a:graphic>
              <a:graphicData uri="http://schemas.openxmlformats.org/drawingml/2006/picture">
                <pic:pic>
                  <pic:nvPicPr>
                    <pic:cNvPr descr="08_cataclysme_catastrophe_files/figure-docx/fig_degats_personnes-1.png" id="884" name="Picture"/>
                    <pic:cNvPicPr>
                      <a:picLocks noChangeArrowheads="1" noChangeAspect="1"/>
                    </pic:cNvPicPr>
                  </pic:nvPicPr>
                  <pic:blipFill>
                    <a:blip r:embed="rId882"/>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Conséquences des cataclysmes sur les personnes</w:t>
      </w:r>
    </w:p>
    <w:bookmarkEnd w:id="885"/>
    <w:bookmarkStart w:id="889"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Alaotra, l’analyse de la sévérité des dégâts sur l’élevage montre que les maladies constituent la menace la plus grave pour l’agriculture et l’élevage. Près de 51.6% des ménages touchés par des maladies des cultures/élevage rapportent des dommages importants ou une destruction totale . Les sinistres d’origine humaine, incluant les vols et dégradations, entraînent également des pertes sévères pour 36.1% des foyers concernés. À l’inverse, l’impact des rats, de la sécheresse et des autres nuisibles biologiques reste marginal. Plus de 90.0% des ménages exposés à ces aléas ne déclarant aucun dégât notable.</w:t>
      </w:r>
    </w:p>
    <w:p>
      <w:pPr>
        <w:pStyle w:val="Corpsdetexte"/>
      </w:pPr>
      <w:r>
        <w:t xml:space="preserve">A Marovoay, le profil de sévérité des catastrophes sur l’agriculture et l’élevage est dominé par l’impact massif des maladies et des facteurs humains. Les pathologies afférentes provoquent des pertes qualifiées de beaucoup ou de destruction totale pour 72.1% des ménages sinistrés. Les actes de malveillance ou vols (facteurs humains) affichent également un niveau de sévérité élevé avec 59.0% de dommages importants. En revanche, la sécheresse et les rats engendrent des préjudices plus limités tandis que les autres bestioles ne causent une destruction totale que dans 5.6% des cas recensés.</w:t>
      </w:r>
    </w:p>
    <w:p>
      <w:pPr>
        <w:pStyle w:val="Corpsdetexte"/>
      </w:pPr>
      <w:r>
        <w:drawing>
          <wp:inline>
            <wp:extent cx="4620126" cy="3696101"/>
            <wp:effectExtent b="0" l="0" r="0" t="0"/>
            <wp:docPr descr="" title="" id="887" name="Picture"/>
            <a:graphic>
              <a:graphicData uri="http://schemas.openxmlformats.org/drawingml/2006/picture">
                <pic:pic>
                  <pic:nvPicPr>
                    <pic:cNvPr descr="08_cataclysme_catastrophe_files/figure-docx/g2_severite_profil-1.png" id="888" name="Picture"/>
                    <pic:cNvPicPr>
                      <a:picLocks noChangeArrowheads="1" noChangeAspect="1"/>
                    </pic:cNvPicPr>
                  </pic:nvPicPr>
                  <pic:blipFill>
                    <a:blip r:embed="rId886"/>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889"/>
    <w:bookmarkEnd w:id="890"/>
    <w:bookmarkStart w:id="894"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Alaotra, l’analyse de la période de survenance des aléas met en évidence une forte corrélation entre les chocs climatiques majeurs et la période de soudure. Les cyclones et les inondations surviennent ainsi très majoritairement durant cette phase critique avec des taux respectifs de 85.7% et 77.1%. Les phénomènes de grêle (71.4%) sont également prédominants durant les mois de pénurie alimentaire. Bien qu’une légère majorité des cas (55.2%) soit enregistrée pendant la soudure, la sécheresse présente une répartition plus équilibrée. À l’inverse, les risques biologiques et humains sont plus fréquents hors période de soudure notamment pour les attaques de rats (80.9%), les maladies des cultures et de l’élevage (68.2%) et les nuisibles divers (59.7%). Les facteurs humains incluant les vols et dégradations touchent 54.5% des ménages en dehors de la phase de soudure.</w:t>
      </w:r>
    </w:p>
    <w:p>
      <w:pPr>
        <w:pStyle w:val="Corpsdetexte"/>
      </w:pPr>
      <w:r>
        <w:t xml:space="preserve">A Marovoay, la majorité des cataclysmes coïncident avec la période de soudure exacerbant la vulnérabilité des ménages. Les cyclones constituent l’aléa le plus saisonnier avec 81.2% des événements se produisant durant la soudure, suivis par les inondations (75.0%) et les attaques de nuisibles biologiques tels que les rats (66.7%) ou d’autres bestioles (66.7%). La sécheresse, risque majeur dans cette zone, survient également en priorité pendant les mois de soudure pour 64.3% des signalements. Les invasions de criquets et les facteurs humains présentent une distribution relativement homogène entre les deux périodes avec une légère prédominance durant la soudure (respectivement 50.0% et 54.8%). A l’exception, les maladies affectant l’agriculture et l’élevage sont plus fréquents hors période de soudure (54.8%).</w:t>
      </w:r>
    </w:p>
    <w:p>
      <w:pPr>
        <w:pStyle w:val="Corpsdetexte"/>
      </w:pPr>
      <w:r>
        <w:drawing>
          <wp:inline>
            <wp:extent cx="4620126" cy="3696101"/>
            <wp:effectExtent b="0" l="0" r="0" t="0"/>
            <wp:docPr descr="" title="" id="892" name="Picture"/>
            <a:graphic>
              <a:graphicData uri="http://schemas.openxmlformats.org/drawingml/2006/picture">
                <pic:pic>
                  <pic:nvPicPr>
                    <pic:cNvPr descr="08_cataclysme_catastrophe_files/figure-docx/g3_saisonnalite-1.png" id="893" name="Picture"/>
                    <pic:cNvPicPr>
                      <a:picLocks noChangeArrowheads="1" noChangeAspect="1"/>
                    </pic:cNvPicPr>
                  </pic:nvPicPr>
                  <pic:blipFill>
                    <a:blip r:embed="rId891"/>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894"/>
    <w:bookmarkStart w:id="911" w:name="dégâts-agricoles-par-culture"/>
    <w:p>
      <w:pPr>
        <w:pStyle w:val="Titre2"/>
      </w:pPr>
      <w:r>
        <w:t xml:space="preserve">8.4 Dégâts agricoles par culture</w:t>
      </w:r>
    </w:p>
    <w:p>
      <w:pPr>
        <w:pStyle w:val="FirstParagraph"/>
      </w:pPr>
      <w:r>
        <w:t xml:space="preserve">Ce chapitre identifie les:cultures les plus sinistrées, détaille la gravité des dommages subis par les champs et les stocks de riz selon le type d’aléa.</w:t>
      </w:r>
    </w:p>
    <w:p>
      <w:pPr>
        <w:pStyle w:val="Corpsdetexte"/>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898" w:name="cultures-les-plus-touchées"/>
    <w:p>
      <w:pPr>
        <w:pStyle w:val="Titre3"/>
      </w:pPr>
      <w:r>
        <w:t xml:space="preserve">8.4.1 Cultures les plus touchées</w:t>
      </w:r>
    </w:p>
    <w:p>
      <w:pPr>
        <w:pStyle w:val="FirstParagraph"/>
      </w:pPr>
      <w:r>
        <w:t xml:space="preserve">A Alaotra, le riz s’impose comme la culture la plus fréquemment touchée pour 33.9% des ménages déclarant des dégâts. Devant le maïs à 9.1% et le manioc à 6.5%, le haricot constitue le second pôle de fragilité avec 16.9% de signalements . Les brèdes et le haricot vert subissent également des pertes notables concernant respectivement 5.4% et 4.7% des exploitants. Le reste du classement est composé du concombre (2.4%), de l’arachide (1.8%) ainsi que de la carotte et de la mangue, qui enregistrent chacune un taux de sinistralité de 1.7%.</w:t>
      </w:r>
    </w:p>
    <w:p>
      <w:pPr>
        <w:pStyle w:val="Corpsdetexte"/>
      </w:pPr>
      <w:r>
        <w:t xml:space="preserve">A Marovoay, la hiérarchie des cultures touchées par les catastrophes souligne la fragilité structurelle de l’activité principale de la zone. Le riz est la culture la plus sinistrée, affectant 66.7% des ménages enquêtés. Les autres cultures de base présentent une exposition plus restreinte avec des taux de 14.2% pour le maïs et 7.6% pour le manioc. L’impact sur les autres cultures comme l’arachide (2.9%), la banane (1.6%) et la canne à sucre (1.3%) est moins étendu. Les dégâts se répartissent enfin de manière résiduelle sur les légumineuses Black Eyes (1.0%), la courge (1.0%), les brèdes (0.8%) et le concombre (0.8%).</w:t>
      </w:r>
    </w:p>
    <w:p>
      <w:pPr>
        <w:pStyle w:val="CaptionedFigure"/>
      </w:pPr>
      <w:r>
        <w:drawing>
          <wp:inline>
            <wp:extent cx="4620126" cy="3696101"/>
            <wp:effectExtent b="0" l="0" r="0" t="0"/>
            <wp:docPr descr="Top 10 des cultures les plus touchées" title="" id="896" name="Picture"/>
            <a:graphic>
              <a:graphicData uri="http://schemas.openxmlformats.org/drawingml/2006/picture">
                <pic:pic>
                  <pic:nvPicPr>
                    <pic:cNvPr descr="08_cataclysme_catastrophe_files/figure-docx/fig_cultures_touchees-1.png" id="897" name="Picture"/>
                    <pic:cNvPicPr>
                      <a:picLocks noChangeArrowheads="1" noChangeAspect="1"/>
                    </pic:cNvPicPr>
                  </pic:nvPicPr>
                  <pic:blipFill>
                    <a:blip r:embed="rId89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898"/>
    <w:bookmarkStart w:id="902"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Alaotra, la sécheresse et les inondations constituent les menaces les plus sévères pour les champs de riz. Près de 71.7% des exploitants touchés par la sécheresse rapportent des dommages qualifiés de beaucoup ou une destruction totale, soit respectivement 58.6% et 13.1%. De même, les inondations engendrent des pertes importantes ou totales pour 53.9% des ménages sinistrés. Bien que moins fréquente, la grêle se distingue par une intensité de dégâts remarquable avec 77.8% des cas étant classés dans la catégorie beaucoup. Les nuisibles biologiques comme les rats ont un impact significatif, affectant un peu de la production pour 58.5% des parcelles et beaucoup pour 12.2% d’entre elles. En revanche, les événements liés aux cyclones se traduisent majoritairement par des dégâts qualifiés de «un peu» pour 70.0% des répondants sans enregistrer de destruction totale sur les champs de riz au cours de cette campagne.</w:t>
      </w:r>
    </w:p>
    <w:p>
      <w:pPr>
        <w:pStyle w:val="Corpsdetexte"/>
      </w:pPr>
      <w:r>
        <w:t xml:space="preserve">A Marovoay, la sécheresse s’avère particulièrement dévastatrice avec 79.0% des ménages affectés déclarant des pertes massives ou une destruction totale de leurs champs. Dans le détail, 66.5% des sinistrés rapportent beaucoup de dégâts et 12.5% une destruction totale. Les attaques de rats présentent également un profil de sévérité élevé, provoquant des dommages sur 94.3% des parcelles exposées, dont 22.9% subissent des pertes qualifiées de beaucoup. Les inondations impactent sévèrement 40.0% des exploitants concernés, tandis que les criquets génèrent essentiellement des dégâts modérés qualifiés de un peu pour 70.6% des sinistrés. Il est à noter que les maladies ont un impact destructeur limité, 90.5% des cas ne donnant lieu à aucun dégât notable sur les champs de riz. Enfin, les cyclones ont entraîné des conséquences relativement contenues sur les cultures en place, avec 75.0% de signalements sans aucun dommage.</w:t>
      </w:r>
    </w:p>
    <w:p>
      <w:pPr>
        <w:pStyle w:val="CaptionedFigure"/>
      </w:pPr>
      <w:r>
        <w:drawing>
          <wp:inline>
            <wp:extent cx="4620126" cy="3234088"/>
            <wp:effectExtent b="0" l="0" r="0" t="0"/>
            <wp:docPr descr="Gravité des dégâts sur les champs de riz" title="" id="900" name="Picture"/>
            <a:graphic>
              <a:graphicData uri="http://schemas.openxmlformats.org/drawingml/2006/picture">
                <pic:pic>
                  <pic:nvPicPr>
                    <pic:cNvPr descr="08_cataclysme_catastrophe_files/figure-docx/fig_degats_champs_riz-1.png" id="901" name="Picture"/>
                    <pic:cNvPicPr>
                      <a:picLocks noChangeArrowheads="1" noChangeAspect="1"/>
                    </pic:cNvPicPr>
                  </pic:nvPicPr>
                  <pic:blipFill>
                    <a:blip r:embed="rId899"/>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902"/>
    <w:bookmarkStart w:id="906" w:name="Xcf77f7ca95e8511826fa9c1eb4f3d1682b70b3d"/>
    <w:p>
      <w:pPr>
        <w:pStyle w:val="Titre3"/>
      </w:pPr>
      <w:r>
        <w:t xml:space="preserve">8.4.3 Dégâts sur les stocks de riz par type de catastrophe</w:t>
      </w:r>
    </w:p>
    <w:p>
      <w:pPr>
        <w:pStyle w:val="FirstParagraph"/>
      </w:pPr>
      <w:r>
        <w:t xml:space="preserve">A Alaotra, l’évaluation de la gravité des préjudices subis par les réserves de riz révèle une vulnérabilité particulièrement marquée face à la grêle et à la sécheresse. Pour les ménages touchés par la grêle, 62.5% signalent des dégâts qualifiés de beaucoup. La sécheresse constitue l’aléa le plus diversifié dans ses impacts provoquant une destruction totale des stocks pour 1.9% des sinistrés, tandis que 17.5% rapportent des pertes importantes et 24.5% des dommages modérés. Les événements cycloniques impactent également les stocks, avec 11.1% de pertes importantes et 22.2% de dégâts légers. Les nuisibles biologiques tels que les rats et autres bestioles engendrent des dommages pour respectivement 17.5% et 11.7% des ménages exposés. En revanche, les facteurs humains, les inondations et les maladies ont des répercussions plus limitées sur le stockage, la grande majorité des cas ne donnant lieu à aucun dégât notable.</w:t>
      </w:r>
    </w:p>
    <w:p>
      <w:pPr>
        <w:pStyle w:val="Corpsdetexte"/>
      </w:pPr>
      <w:r>
        <w:t xml:space="preserve">A Marovoay, la sévérité des pertes sur les stocks de riz est principalement imputable aux attaques de rongeurs. Les rats affectent la majorité des stocks exposés avec 54.3% de dégâts qualifiés de un peu et 5.7% de beaucoup laissant seulement 40.0% des ménages sans dommage. La sécheresse et les inondations ont une incidence nettement moindre sur les réserves après récolte ne touchant respectivement que 6.7% et 10.0% des foyers concernés essentiellement sous forme de dégâts légers ou modérés. Les autres types d’aléas notamment les cyclones, les invasions de criquets, les maladies ainsi que les facteurs humains n’ont engendré aucune perte déclarée sur les stocks de riz au cours de la période de référence.</w:t>
      </w:r>
    </w:p>
    <w:p>
      <w:pPr>
        <w:pStyle w:val="CaptionedFigure"/>
      </w:pPr>
      <w:r>
        <w:drawing>
          <wp:inline>
            <wp:extent cx="4620126" cy="3234088"/>
            <wp:effectExtent b="0" l="0" r="0" t="0"/>
            <wp:docPr descr="Gravité des dégâts sur les stocks de riz" title="" id="904" name="Picture"/>
            <a:graphic>
              <a:graphicData uri="http://schemas.openxmlformats.org/drawingml/2006/picture">
                <pic:pic>
                  <pic:nvPicPr>
                    <pic:cNvPr descr="08_cataclysme_catastrophe_files/figure-docx/fig_degats_stocks_riz-1.png" id="905" name="Picture"/>
                    <pic:cNvPicPr>
                      <a:picLocks noChangeArrowheads="1" noChangeAspect="1"/>
                    </pic:cNvPicPr>
                  </pic:nvPicPr>
                  <pic:blipFill>
                    <a:blip r:embed="rId903"/>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906"/>
    <w:bookmarkStart w:id="910"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Alaotra, l’analyse comparative de l’incidence des sinistres entre les cultures sur pied et les produits stockés met en évidence une vulnérabilité systématiquement plus élevée des champs par rapport aux stocks. Pour la production rizicole, plus de 90.0% des ménages rapportent des dommages significatifs sur les parcelles en croissance, alors que les pertes sur les stocks concernent environ 40.0% de ces ménages. Une tendance similaire est observée pour les autres cultures majeures telles que le maïs, le haricot et le manioc, où la prévalence des dégâts aux champs se situe entre 80.0% et 90.0%, tandis que les atteintes aux stocks demeurent nettement inférieures, affectant environ 25.0% à 30.0% des cas. Les brèdes affichent également un contraste marqué avec environ 75.0% de sinistralité aux champs contre 20.0% pour le stockage.</w:t>
      </w:r>
    </w:p>
    <w:p>
      <w:pPr>
        <w:pStyle w:val="Corpsdetexte"/>
      </w:pPr>
      <w:r>
        <w:t xml:space="preserve">A Marovoay, la fréquence des dommages agricoles est nettement plus élevée sur les parcelles cultivées que sur les produits récoltés. La riziculture, le maïs et le manioc présentent des taux de sinistralité extrêmement élevés touchant plus de 90.0% des ménages engagés dans ces productions. En revanche, l’impact sur les stocks est beaucoup plus limité dans cette zone s’établissant à environ 15.0% pour le riz et se situant aux alentours de 10.0% pour le maïs et le manioc. Concernant les brèdes, si les dégâts sur les champs affectent près de 65.0% des exploitants, aucune perte n’est signalée au niveau des stocks dans l’échantillon.</w:t>
      </w:r>
    </w:p>
    <w:p>
      <w:pPr>
        <w:pStyle w:val="Corpsdetexte"/>
      </w:pPr>
      <w:r>
        <w:drawing>
          <wp:inline>
            <wp:extent cx="4620126" cy="3696101"/>
            <wp:effectExtent b="0" l="0" r="0" t="0"/>
            <wp:docPr descr="" title="" id="908" name="Picture"/>
            <a:graphic>
              <a:graphicData uri="http://schemas.openxmlformats.org/drawingml/2006/picture">
                <pic:pic>
                  <pic:nvPicPr>
                    <pic:cNvPr descr="08_cataclysme_catastrophe_files/figure-docx/g4_champs_vs_stocks-1.png" id="909" name="Picture"/>
                    <pic:cNvPicPr>
                      <a:picLocks noChangeArrowheads="1" noChangeAspect="1"/>
                    </pic:cNvPicPr>
                  </pic:nvPicPr>
                  <pic:blipFill>
                    <a:blip r:embed="rId90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910"/>
    <w:bookmarkEnd w:id="911"/>
    <w:bookmarkStart w:id="915" w:name="sec-cata-multiyear"/>
    <w:p>
      <w:pPr>
        <w:pStyle w:val="Titre2"/>
      </w:pPr>
      <w:r>
        <w:t xml:space="preserve">8.5 Évolution de la prévalence des catastrophes (2003–2025)</w:t>
      </w:r>
    </w:p>
    <w:p>
      <w:pPr>
        <w:pStyle w:val="FirstParagraph"/>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p>
      <w:pPr>
        <w:pStyle w:val="Corpsdetexte"/>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orpsdetexte"/>
      </w:pPr>
      <w:r>
        <w:t xml:space="preserve">A Alaotra, l’analyse de l’exposition des ménages aux aléas met en évidence des fluctuations interannuelles marquées sur les deux dernières décennies. En début de période, le taux de sinistralité s’établit à 55.0% en 2003 et 58.0% en 2004 avant de connaître un repli sensible à 23.0% en 2005. Une phase de très faible prévalence est observée entre 2008 et 2010 ( respectivement 3.0% et 5.0%). À partir de 2011, le pourcentage de ménages touchés s’inscrit dans une tendance haussière irrégulière atteignant 45.0% en 2014. La campagne 2025 marque un sommet pour la zone avec 73.0% des foyers déclarant avoir subi au moins une catastrophe au cours de l’année.</w:t>
      </w:r>
    </w:p>
    <w:p>
      <w:pPr>
        <w:pStyle w:val="Corpsdetexte"/>
      </w:pPr>
      <w:r>
        <w:t xml:space="preserve">A Marovoay, un pic exceptionnel est enregistré en 2004, année au cours de laquelle environ 92.0% des ménages ont été sinistrés. Après cette crise majeure, le taux d’exposition a progressivement diminué pour atteindre ses niveaux les plus bas entre 2008 et 2010 se situant entre 12.0% et 15.0%. Une recrudescence notable des évènements est observée en 2012 affectant 45.0% de l’échantillon suivie d’une redescente à 25.0% en 2014. Pour la dernière période de référence en 2025, le taux de ménages ayant été confrontés à au moins un aléa remonte significativement pour s’établir à 71.1%.</w:t>
      </w:r>
    </w:p>
    <w:p>
      <w:pPr>
        <w:pStyle w:val="CaptionedFigure"/>
      </w:pPr>
      <w:r>
        <w:drawing>
          <wp:inline>
            <wp:extent cx="5969000" cy="2238375"/>
            <wp:effectExtent b="0" l="0" r="0" t="0"/>
            <wp:docPr descr="Évolution du pourcentage de ménages ayant subi au moins une catastrophe (2003–2025)" title="" id="913" name="Picture"/>
            <a:graphic>
              <a:graphicData uri="http://schemas.openxmlformats.org/drawingml/2006/picture">
                <pic:pic>
                  <pic:nvPicPr>
                    <pic:cNvPr descr="08_cataclysme_catastrophe_files/figure-docx/fig_cata_prevalence-1.png" id="914" name="Picture"/>
                    <pic:cNvPicPr>
                      <a:picLocks noChangeArrowheads="1" noChangeAspect="1"/>
                    </pic:cNvPicPr>
                  </pic:nvPicPr>
                  <pic:blipFill>
                    <a:blip r:embed="rId912"/>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bookmarkEnd w:id="915"/>
    <w:bookmarkEnd w:id="916"/>
    <w:bookmarkStart w:id="963"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c:\PROGRA~1\Positron\RESOUR~1\app\quarto\share\formats\docx\warning.png" id="91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41"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920"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w:t>
      </w:r>
    </w:p>
    <w:p>
      <w:pPr>
        <w:pStyle w:val="Corpsdetexte"/>
      </w:pPr>
      <w:r>
        <w:t xml:space="preserve">La participation est nettement plus élevée à Marovoay qu’à Alaotra avec un taux de participation supérieur de plus de 20 points.</w:t>
      </w:r>
    </w:p>
    <w:p>
      <w:pPr>
        <w:pStyle w:val="Corpsdetexte"/>
      </w:pPr>
      <w:r>
        <w:rPr>
          <w:b/>
          <w:bCs/>
        </w:rPr>
        <w:t xml:space="preserve">Alaotra :</w:t>
      </w:r>
      <w:r>
        <w:t xml:space="preserve"> </w:t>
      </w:r>
      <w:r>
        <w:t xml:space="preserve">Seulement 32.1 % des ménages sont membres.</w:t>
      </w:r>
    </w:p>
    <w:p>
      <w:pPr>
        <w:pStyle w:val="Corpsdetexte"/>
      </w:pPr>
      <w:r>
        <w:rPr>
          <w:b/>
          <w:bCs/>
        </w:rPr>
        <w:t xml:space="preserve">Marovoay :</w:t>
      </w:r>
      <w:r>
        <w:t xml:space="preserve"> </w:t>
      </w:r>
      <w:r>
        <w:t xml:space="preserve">Une majorité de 55.3 % des ménages participent à la vie associative.</w:t>
      </w:r>
    </w:p>
    <w:tbl>
      <w:tblPr>
        <w:tblStyle w:val="Table"/>
        <w:tblW w:type="pct" w:w="5000"/>
        <w:tblLayout w:type="fixed"/>
        <w:tblLook w:firstRow="0" w:lastRow="0" w:firstColumn="0" w:lastColumn="0" w:noHBand="0" w:noVBand="0" w:val="0000"/>
      </w:tblPr>
      <w:tblGrid>
        <w:gridCol w:w="7920"/>
      </w:tblGrid>
      <w:tr>
        <w:tc>
          <w:tcPr/>
          <w:bookmarkStart w:id="919"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919"/>
          <w:p/>
        </w:tc>
      </w:tr>
    </w:tbl>
    <w:bookmarkEnd w:id="920"/>
    <w:bookmarkStart w:id="925"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A Alaotra, la grande majorité des ménages membres, soit environ 71 %, ne sont affiliés qu’à une seule structure. L’adhésion à deux organisations concerne près de 22 % des foyers engagés, tandis que la multi-affiliation plus intensive (trois ou quatre organisations) demeure marginale, touchant moins de 8 % des membres.</w:t>
      </w:r>
    </w:p>
    <w:p>
      <w:pPr>
        <w:pStyle w:val="Corpsdetexte"/>
      </w:pPr>
      <w:r>
        <w:t xml:space="preserve">À Marovoay, 73 % des ménages membres sont affiliés à une organisation unique. Le cumul de deux affiliations est légèrement plus fréquent concernant 25 % des ménages membres. En revanche, l’appartenance à trois ou quatre organisations est exceptionnelle, ne représentant environ que 1 % des cas pour chaque catégorie.</w:t>
      </w:r>
    </w:p>
    <w:tbl>
      <w:tblPr>
        <w:tblStyle w:val="Table"/>
        <w:tblW w:type="pct" w:w="5000"/>
        <w:tblLayout w:type="fixed"/>
        <w:tblLook w:firstRow="0" w:lastRow="0" w:firstColumn="0" w:lastColumn="0" w:noHBand="0" w:noVBand="0" w:val="0000"/>
      </w:tblPr>
      <w:tblGrid>
        <w:gridCol w:w="7920"/>
      </w:tblGrid>
      <w:tr>
        <w:tc>
          <w:tcPr/>
          <w:bookmarkStart w:id="924"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1492250"/>
                  <wp:effectExtent b="0" l="0" r="0" t="0"/>
                  <wp:docPr descr="" title="" id="922" name="Picture"/>
                  <a:graphic>
                    <a:graphicData uri="http://schemas.openxmlformats.org/drawingml/2006/picture">
                      <pic:pic>
                        <pic:nvPicPr>
                          <pic:cNvPr descr="09_insertion_projet_files/figure-docx/fig-nb-org-1.png" id="923" name="Picture"/>
                          <pic:cNvPicPr>
                            <a:picLocks noChangeArrowheads="1" noChangeAspect="1"/>
                          </pic:cNvPicPr>
                        </pic:nvPicPr>
                        <pic:blipFill>
                          <a:blip r:embed="rId921"/>
                          <a:stretch>
                            <a:fillRect/>
                          </a:stretch>
                        </pic:blipFill>
                        <pic:spPr bwMode="auto">
                          <a:xfrm>
                            <a:off x="0" y="0"/>
                            <a:ext cx="5969000" cy="1492250"/>
                          </a:xfrm>
                          <a:prstGeom prst="rect">
                            <a:avLst/>
                          </a:prstGeom>
                          <a:noFill/>
                          <a:ln w="9525">
                            <a:noFill/>
                            <a:headEnd/>
                            <a:tailEnd/>
                          </a:ln>
                        </pic:spPr>
                      </pic:pic>
                    </a:graphicData>
                  </a:graphic>
                </wp:inline>
              </w:drawing>
            </w:r>
          </w:p>
          <w:bookmarkEnd w:id="924"/>
        </w:tc>
      </w:tr>
    </w:tbl>
    <w:bookmarkEnd w:id="925"/>
    <w:bookmarkStart w:id="930"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Alaotra :</w:t>
      </w:r>
      <w:r>
        <w:t xml:space="preserve"> </w:t>
      </w:r>
      <w:r>
        <w:t xml:space="preserve">Les associations religieuses écrasent le paysage (environ 55 % des adhésions), suivies des associations de femmes.</w:t>
      </w:r>
    </w:p>
    <w:p>
      <w:pPr>
        <w:pStyle w:val="Corpsdetexte"/>
      </w:pPr>
      <w:r>
        <w:rPr>
          <w:b/>
          <w:bCs/>
        </w:rPr>
        <w:t xml:space="preserve">Marovoay :</w:t>
      </w:r>
      <w:r>
        <w:t xml:space="preserve"> </w:t>
      </w:r>
      <w:r>
        <w:t xml:space="preserve">Les associations villageoises d’épargne et de crédit (tontines, voamamy) sont majoritaires (près de 50 %), suivies par les « autres organisations » et les associations de femmes.</w:t>
      </w:r>
    </w:p>
    <w:tbl>
      <w:tblPr>
        <w:tblStyle w:val="Table"/>
        <w:tblW w:type="pct" w:w="5000"/>
        <w:tblLayout w:type="fixed"/>
        <w:tblLook w:firstRow="0" w:lastRow="0" w:firstColumn="0" w:lastColumn="0" w:noHBand="0" w:noVBand="0" w:val="0000"/>
      </w:tblPr>
      <w:tblGrid>
        <w:gridCol w:w="7920"/>
      </w:tblGrid>
      <w:tr>
        <w:tc>
          <w:tcPr/>
          <w:bookmarkStart w:id="929"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2238375"/>
                  <wp:effectExtent b="0" l="0" r="0" t="0"/>
                  <wp:docPr descr="" title="" id="927" name="Picture"/>
                  <a:graphic>
                    <a:graphicData uri="http://schemas.openxmlformats.org/drawingml/2006/picture">
                      <pic:pic>
                        <pic:nvPicPr>
                          <pic:cNvPr descr="09_insertion_projet_files/figure-docx/fig-type-org-1.png" id="928" name="Picture"/>
                          <pic:cNvPicPr>
                            <a:picLocks noChangeArrowheads="1" noChangeAspect="1"/>
                          </pic:cNvPicPr>
                        </pic:nvPicPr>
                        <pic:blipFill>
                          <a:blip r:embed="rId926"/>
                          <a:stretch>
                            <a:fillRect/>
                          </a:stretch>
                        </pic:blipFill>
                        <pic:spPr bwMode="auto">
                          <a:xfrm>
                            <a:off x="0" y="0"/>
                            <a:ext cx="5969000" cy="2238375"/>
                          </a:xfrm>
                          <a:prstGeom prst="rect">
                            <a:avLst/>
                          </a:prstGeom>
                          <a:noFill/>
                          <a:ln w="9525">
                            <a:noFill/>
                            <a:headEnd/>
                            <a:tailEnd/>
                          </a:ln>
                        </pic:spPr>
                      </pic:pic>
                    </a:graphicData>
                  </a:graphic>
                </wp:inline>
              </w:drawing>
            </w:r>
          </w:p>
          <w:bookmarkEnd w:id="929"/>
        </w:tc>
      </w:tr>
    </w:tbl>
    <w:bookmarkEnd w:id="930"/>
    <w:bookmarkStart w:id="935"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Alaotra, le conjoint et le chef de ménage représentent chacun environ 41 à 42 % des affiliations. La participation des autres membres du ménage est notable avec 16.3 % des adhésions. Ce qui témoigne d’une insertion sociale plus large des différents membres de la famille par rapport à l’autre site.</w:t>
      </w:r>
    </w:p>
    <w:p>
      <w:pPr>
        <w:pStyle w:val="Corpsdetexte"/>
      </w:pPr>
      <w:r>
        <w:t xml:space="preserve">Pour Marovoay, l’insertion sociale est presque exclusivement réservée aux adultes à la tête du foyer (plus de 94 % des membres affiliés). Le conjoint est le membre le plus fréquemment membre d’une organisation (49.5 %) suivi de près par le chef de ménage (45.3 %). Ne représentant que 5.2 % des affiliations, la participation des jeunes ou des autres membres de la famille est négligeable.</w:t>
      </w:r>
    </w:p>
    <w:tbl>
      <w:tblPr>
        <w:tblStyle w:val="Table"/>
        <w:tblW w:type="pct" w:w="5000"/>
        <w:tblLayout w:type="fixed"/>
        <w:tblLook w:firstRow="0" w:lastRow="0" w:firstColumn="0" w:lastColumn="0" w:noHBand="0" w:noVBand="0" w:val="0000"/>
      </w:tblPr>
      <w:tblGrid>
        <w:gridCol w:w="7920"/>
      </w:tblGrid>
      <w:tr>
        <w:tc>
          <w:tcPr/>
          <w:bookmarkStart w:id="934"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492250"/>
                  <wp:effectExtent b="0" l="0" r="0" t="0"/>
                  <wp:docPr descr="" title="" id="932" name="Picture"/>
                  <a:graphic>
                    <a:graphicData uri="http://schemas.openxmlformats.org/drawingml/2006/picture">
                      <pic:pic>
                        <pic:nvPicPr>
                          <pic:cNvPr descr="09_insertion_projet_files/figure-docx/fig-qui-membre-1.png" id="933" name="Picture"/>
                          <pic:cNvPicPr>
                            <a:picLocks noChangeArrowheads="1" noChangeAspect="1"/>
                          </pic:cNvPicPr>
                        </pic:nvPicPr>
                        <pic:blipFill>
                          <a:blip r:embed="rId931"/>
                          <a:stretch>
                            <a:fillRect/>
                          </a:stretch>
                        </pic:blipFill>
                        <pic:spPr bwMode="auto">
                          <a:xfrm>
                            <a:off x="0" y="0"/>
                            <a:ext cx="5969000" cy="1492250"/>
                          </a:xfrm>
                          <a:prstGeom prst="rect">
                            <a:avLst/>
                          </a:prstGeom>
                          <a:noFill/>
                          <a:ln w="9525">
                            <a:noFill/>
                            <a:headEnd/>
                            <a:tailEnd/>
                          </a:ln>
                        </pic:spPr>
                      </pic:pic>
                    </a:graphicData>
                  </a:graphic>
                </wp:inline>
              </w:drawing>
            </w:r>
          </w:p>
          <w:bookmarkEnd w:id="934"/>
        </w:tc>
      </w:tr>
    </w:tbl>
    <w:bookmarkEnd w:id="935"/>
    <w:bookmarkStart w:id="940"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Alaotra, 60% des affiliations correspondent à des membres se déclarant occasionnels. La proportion d’individus occupant des fonctions de responsable s’établit à 21%, tandis que les membres actifs représentent approximativement 19% des adhésions enregistrées.</w:t>
      </w:r>
    </w:p>
    <w:p>
      <w:pPr>
        <w:pStyle w:val="Corpsdetexte"/>
      </w:pPr>
      <w:r>
        <w:t xml:space="preserve">A Marovoay, les membres occasionnels constituent la grande majorité des effectifs, représentant 81.0% des adhésions totales. En revanche, l’encadrement des structures est assuré par une minorité de responsables qui comptent pour 13% des membres, alors que la part des membres actifs est particulièrement réduite avec seulement 6% des cas identifiés.</w:t>
      </w:r>
    </w:p>
    <w:tbl>
      <w:tblPr>
        <w:tblStyle w:val="Table"/>
        <w:tblW w:type="pct" w:w="5000"/>
        <w:tblLayout w:type="fixed"/>
        <w:tblLook w:firstRow="0" w:lastRow="0" w:firstColumn="0" w:lastColumn="0" w:noHBand="0" w:noVBand="0" w:val="0000"/>
      </w:tblPr>
      <w:tblGrid>
        <w:gridCol w:w="7920"/>
      </w:tblGrid>
      <w:tr>
        <w:tc>
          <w:tcPr/>
          <w:bookmarkStart w:id="939"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238375"/>
                  <wp:effectExtent b="0" l="0" r="0" t="0"/>
                  <wp:docPr descr="" title="" id="937" name="Picture"/>
                  <a:graphic>
                    <a:graphicData uri="http://schemas.openxmlformats.org/drawingml/2006/picture">
                      <pic:pic>
                        <pic:nvPicPr>
                          <pic:cNvPr descr="09_insertion_projet_files/figure-docx/fig-responsabilite-1.png" id="938" name="Picture"/>
                          <pic:cNvPicPr>
                            <a:picLocks noChangeArrowheads="1" noChangeAspect="1"/>
                          </pic:cNvPicPr>
                        </pic:nvPicPr>
                        <pic:blipFill>
                          <a:blip r:embed="rId936"/>
                          <a:stretch>
                            <a:fillRect/>
                          </a:stretch>
                        </pic:blipFill>
                        <pic:spPr bwMode="auto">
                          <a:xfrm>
                            <a:off x="0" y="0"/>
                            <a:ext cx="5969000" cy="2238375"/>
                          </a:xfrm>
                          <a:prstGeom prst="rect">
                            <a:avLst/>
                          </a:prstGeom>
                          <a:noFill/>
                          <a:ln w="9525">
                            <a:noFill/>
                            <a:headEnd/>
                            <a:tailEnd/>
                          </a:ln>
                        </pic:spPr>
                      </pic:pic>
                    </a:graphicData>
                  </a:graphic>
                </wp:inline>
              </w:drawing>
            </w:r>
          </w:p>
          <w:bookmarkEnd w:id="939"/>
        </w:tc>
      </w:tr>
    </w:tbl>
    <w:bookmarkEnd w:id="940"/>
    <w:bookmarkEnd w:id="941"/>
    <w:bookmarkStart w:id="957"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45"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r>
        <w:t xml:space="preserve"> </w:t>
      </w:r>
      <w:r>
        <w:rPr>
          <w:b/>
          <w:bCs/>
        </w:rPr>
        <w:t xml:space="preserve">A VERIFIER LA VALEUR 20%</w:t>
      </w:r>
    </w:p>
    <w:p>
      <w:pPr>
        <w:pStyle w:val="Corpsdetexte"/>
      </w:pPr>
      <w:r>
        <w:t xml:space="preserve">A Marovoay, 25.8 % des ménages déclarent avoir bénéficié d’au moins un projet ou d’une formation.</w:t>
      </w:r>
      <w:r>
        <w:t xml:space="preserve"> </w:t>
      </w:r>
      <w:r>
        <w:rPr>
          <w:b/>
          <w:bCs/>
        </w:rPr>
        <w:t xml:space="preserve">A VERIFIER LA VALEUR 25%</w:t>
      </w:r>
    </w:p>
    <w:p>
      <w:pPr>
        <w:pStyle w:val="CaptionedFigure"/>
      </w:pPr>
      <w:r>
        <w:drawing>
          <wp:inline>
            <wp:extent cx="4620126" cy="3696101"/>
            <wp:effectExtent b="0" l="0" r="0" t="0"/>
            <wp:docPr descr="Ménages bénéficiaires de projets ou formations" title="" id="943" name="Picture"/>
            <a:graphic>
              <a:graphicData uri="http://schemas.openxmlformats.org/drawingml/2006/picture">
                <pic:pic>
                  <pic:nvPicPr>
                    <pic:cNvPr descr="09_insertion_projet_files/figure-docx/fig_pro1-1.png" id="944" name="Picture"/>
                    <pic:cNvPicPr>
                      <a:picLocks noChangeArrowheads="1" noChangeAspect="1"/>
                    </pic:cNvPicPr>
                  </pic:nvPicPr>
                  <pic:blipFill>
                    <a:blip r:embed="rId94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945"/>
    <w:bookmarkStart w:id="950"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Alaotra, les projets portant sur l’éducation et la santé constituent la principale forme d’assistance, bénéficiant à 56.4% des ménages ayant eu accès à un programme de développement. Le soutien à l’agriculture représente le second axe majeur avec un taux de 43.4%, suivi de près par les actions liées à la nutrition qui touchent 39.4% des bénéficiaires. À l’inverse, les thématiques environnementales (8.6%) et celles relatives à l’élevage ou à la pêche (5.4%) occupent une place secondaire, tandis qu’aucune intervention n’est enregistrée dans le secteur du tourisme ou pour d’autres types de productions.</w:t>
      </w:r>
    </w:p>
    <w:p>
      <w:pPr>
        <w:pStyle w:val="Corpsdetexte"/>
      </w:pPr>
      <w:r>
        <w:t xml:space="preserve">A Marovoay, les interventions en éducation et santé sont les plus fréquentes concernant 40.8% des ménages bénéficiaires, suivies immédiatement par la catégorie des autres projets incluant les activités de type HIMO à hauteur de 39.6%. La nutrition et l’agriculture constituent également des piliers importants de l’assistance avec des taux respectifs de 32.0% et 23.7%. Bien que le secteur touristique demeure totalement inexploré, les domaines de l’environnement (9.3%), de l’élevage ou de la pêche (7.5%) ainsi que les autres productions (6.6%) complètent un éventail d’interventions plus diversifié.</w:t>
      </w:r>
    </w:p>
    <w:tbl>
      <w:tblPr>
        <w:tblStyle w:val="Table"/>
        <w:tblW w:type="pct" w:w="5000"/>
        <w:tblLayout w:type="fixed"/>
        <w:tblLook w:firstRow="0" w:lastRow="0" w:firstColumn="0" w:lastColumn="0" w:noHBand="0" w:noVBand="0" w:val="0000"/>
      </w:tblPr>
      <w:tblGrid>
        <w:gridCol w:w="7920"/>
      </w:tblGrid>
      <w:tr>
        <w:tc>
          <w:tcPr/>
          <w:bookmarkStart w:id="949"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2238375"/>
                  <wp:effectExtent b="0" l="0" r="0" t="0"/>
                  <wp:docPr descr="" title="" id="947" name="Picture"/>
                  <a:graphic>
                    <a:graphicData uri="http://schemas.openxmlformats.org/drawingml/2006/picture">
                      <pic:pic>
                        <pic:nvPicPr>
                          <pic:cNvPr descr="09_insertion_projet_files/figure-docx/fig-benef-type-1.png" id="948" name="Picture"/>
                          <pic:cNvPicPr>
                            <a:picLocks noChangeArrowheads="1" noChangeAspect="1"/>
                          </pic:cNvPicPr>
                        </pic:nvPicPr>
                        <pic:blipFill>
                          <a:blip r:embed="rId946"/>
                          <a:stretch>
                            <a:fillRect/>
                          </a:stretch>
                        </pic:blipFill>
                        <pic:spPr bwMode="auto">
                          <a:xfrm>
                            <a:off x="0" y="0"/>
                            <a:ext cx="5969000" cy="2238375"/>
                          </a:xfrm>
                          <a:prstGeom prst="rect">
                            <a:avLst/>
                          </a:prstGeom>
                          <a:noFill/>
                          <a:ln w="9525">
                            <a:noFill/>
                            <a:headEnd/>
                            <a:tailEnd/>
                          </a:ln>
                        </pic:spPr>
                      </pic:pic>
                    </a:graphicData>
                  </a:graphic>
                </wp:inline>
              </w:drawing>
            </w:r>
          </w:p>
          <w:bookmarkEnd w:id="949"/>
        </w:tc>
      </w:tr>
    </w:tbl>
    <w:bookmarkEnd w:id="950"/>
    <w:bookmarkStart w:id="956"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Alaotra, l’État constitue le principal pilier des services sociaux et des programmes de travaux, assurant le financement de 100.0% des ménages engagés dans les projets de type HIMO, environ 95.0% de ceux bénéficiant d’actions en éducation et santé, et 92.0% dans le domaine de la nutrition. À l’inverse, les organisations non gouvernementales et les projets de développement dominent le soutien au secteur productif, finançant 81.0% des bénéficiaires en agriculture et 50.0% des initiatives environnementales. Le secteur de l’élevage et de la pêche présente une configuration mixte où l’État intervient à hauteur de 60.0% contre 40.0% pour les ONG. La contribution des structures confessionnelles demeure négligeable, avec une présence marginale uniquement relevée dans le secteur agricole.</w:t>
      </w:r>
    </w:p>
    <w:p>
      <w:pPr>
        <w:pStyle w:val="Corpsdetexte"/>
      </w:pPr>
      <w:r>
        <w:t xml:space="preserve">A Marovoay, les ONG et projets de développement financent ainsi environ 86.0% des ménages bénéficiaires dans les catégories de l’élevage et de la pêche ainsi que pour les projets de type HIMO. Cette domination des organismes internationaux et associatifs se retrouve également dans les autres productions (83.0%) et dans l’agriculture (78.0%). L’État conserve sa mission prioritaire dans les secteurs sociaux en prenant en charge 92.0% des bénéficiaires en éducation et santé et 88.0% en nutrition. Le domaine de l’environnement affiche une structure plus équilibrée avec 45.0% de financements étatiques et 33.0% issus des ONG. L’implication de l’Église reste extrêmement limitée, ne représentant qu’une source mineure de l’ordre de 3.0% pour les projets divers.</w:t>
      </w:r>
    </w:p>
    <w:tbl>
      <w:tblPr>
        <w:tblStyle w:val="Table"/>
        <w:tblW w:type="pct" w:w="5000"/>
        <w:tblLayout w:type="fixed"/>
        <w:tblLook w:firstRow="0" w:lastRow="0" w:firstColumn="0" w:lastColumn="0" w:noHBand="0" w:noVBand="0" w:val="0000"/>
      </w:tblPr>
      <w:tblGrid>
        <w:gridCol w:w="7920"/>
      </w:tblGrid>
      <w:tr>
        <w:tc>
          <w:tcPr/>
          <w:bookmarkStart w:id="954"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2984500"/>
                  <wp:effectExtent b="0" l="0" r="0" t="0"/>
                  <wp:docPr descr="" title="" id="952" name="Picture"/>
                  <a:graphic>
                    <a:graphicData uri="http://schemas.openxmlformats.org/drawingml/2006/picture">
                      <pic:pic>
                        <pic:nvPicPr>
                          <pic:cNvPr descr="09_insertion_projet_files/figure-docx/fig-source-projet-1.png" id="953" name="Picture"/>
                          <pic:cNvPicPr>
                            <a:picLocks noChangeArrowheads="1" noChangeAspect="1"/>
                          </pic:cNvPicPr>
                        </pic:nvPicPr>
                        <pic:blipFill>
                          <a:blip r:embed="rId951"/>
                          <a:stretch>
                            <a:fillRect/>
                          </a:stretch>
                        </pic:blipFill>
                        <pic:spPr bwMode="auto">
                          <a:xfrm>
                            <a:off x="0" y="0"/>
                            <a:ext cx="5969000" cy="2984500"/>
                          </a:xfrm>
                          <a:prstGeom prst="rect">
                            <a:avLst/>
                          </a:prstGeom>
                          <a:noFill/>
                          <a:ln w="9525">
                            <a:noFill/>
                            <a:headEnd/>
                            <a:tailEnd/>
                          </a:ln>
                        </pic:spPr>
                      </pic:pic>
                    </a:graphicData>
                  </a:graphic>
                </wp:inline>
              </w:drawing>
            </w:r>
          </w:p>
          <w:bookmarkEnd w:id="954"/>
        </w:tc>
      </w:tr>
    </w:tbl>
    <w:p>
      <w:pPr>
        <w:pStyle w:val="Corpsdetexte"/>
      </w:pPr>
      <w:r>
        <w:t xml:space="preserve">A Alaotra révèle une prédominance marquée des financements publics. L’État constitue le principal pilier de l’aide au développement dans cette zone, intervenant auprès de 71.8% des bénéficiaires recensés. Les organisations non gouvernementales représentent la seconde source de soutien, touchant 32.2% de ces ménages. La contribution des structures confessionnelles demeure quant à elle marginale, avec un seul cas enregistré dans l’échantillon.</w:t>
      </w:r>
    </w:p>
    <w:p>
      <w:pPr>
        <w:pStyle w:val="Corpsdetexte"/>
      </w:pPr>
      <w:r>
        <w:t xml:space="preserve">A Marovoay, l’État assure le financement des interventions pour 66.9% des ménages bénéficiaires. En parallèle, les organisations non gouvernementales jouent un rôle significatif en appuyant 43.0% des ménages assistés. Les institutions religieuses ne constituent qu’une source de financement exceptionnelle, ne concernant qu’un seul ménage de l’échantillon.</w:t>
      </w:r>
    </w:p>
    <w:tbl>
      <w:tblPr>
        <w:tblStyle w:val="Table"/>
        <w:tblW w:type="pct" w:w="5000"/>
        <w:tblLayout w:type="fixed"/>
        <w:tblLook w:firstRow="0" w:lastRow="0" w:firstColumn="0" w:lastColumn="0" w:noHBand="0" w:noVBand="0" w:val="0000"/>
      </w:tblPr>
      <w:tblGrid>
        <w:gridCol w:w="7920"/>
      </w:tblGrid>
      <w:tr>
        <w:tc>
          <w:tcPr/>
          <w:bookmarkStart w:id="955" w:name="tbl-source-global"/>
          <w:p>
            <w:pPr>
              <w:jc w:val="center"/>
            </w:pPr>
            <w:pPr>
              <w:jc w:val="left"/>
              <w:spacing w:before="200"/>
              <w:pStyle w:val="ImageCaption"/>
            </w:pPr>
            <w:r>
              <w:t xml:space="preserve">Table 9.2: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955"/>
          <w:p/>
        </w:tc>
      </w:tr>
    </w:tbl>
    <w:bookmarkEnd w:id="956"/>
    <w:bookmarkEnd w:id="957"/>
    <w:bookmarkStart w:id="962"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w:t>
      </w:r>
      <w:r>
        <w:t xml:space="preserve"> </w:t>
      </w:r>
      <w:r>
        <w:rPr>
          <w:b/>
          <w:bCs/>
        </w:rPr>
        <w:t xml:space="preserve">(??27.5%)</w:t>
      </w:r>
      <w:r>
        <w:t xml:space="preserve"> </w:t>
      </w:r>
      <w:r>
        <w:t xml:space="preserve">des ménages sont membres d’une organisation.</w:t>
      </w:r>
    </w:p>
    <w:p>
      <w:pPr>
        <w:pStyle w:val="Corpsdetexte"/>
      </w:pPr>
      <w:r>
        <w:t xml:space="preserve">A Marovoay, 55.3 %</w:t>
      </w:r>
      <w:r>
        <w:t xml:space="preserve"> </w:t>
      </w:r>
      <w:r>
        <w:rPr>
          <w:b/>
          <w:bCs/>
        </w:rPr>
        <w:t xml:space="preserve">(??35.4% )</w:t>
      </w:r>
      <w:r>
        <w:t xml:space="preserve"> </w:t>
      </w:r>
      <w:r>
        <w:t xml:space="preserve">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58" w:name="tbl-croisement"/>
          <w:p>
            <w:pPr>
              <w:jc w:val="center"/>
            </w:pPr>
            <w:pPr>
              <w:jc w:val="left"/>
              <w:spacing w:before="200"/>
              <w:pStyle w:val="ImageCaption"/>
            </w:pPr>
            <w:r>
              <w:t xml:space="preserve">Table 9.3: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958"/>
          <w:p/>
        </w:tc>
      </w:tr>
    </w:tbl>
    <w:p>
      <w:pPr>
        <w:pStyle w:val="CaptionedFigure"/>
      </w:pPr>
      <w:r>
        <w:drawing>
          <wp:inline>
            <wp:extent cx="4620126" cy="3696101"/>
            <wp:effectExtent b="0" l="0" r="0" t="0"/>
            <wp:docPr descr="Accès aux projets selon l’appartenance à une organisation" title="" id="960" name="Picture"/>
            <a:graphic>
              <a:graphicData uri="http://schemas.openxmlformats.org/drawingml/2006/picture">
                <pic:pic>
                  <pic:nvPicPr>
                    <pic:cNvPr descr="09_insertion_projet_files/figure-docx/fig_croisement-1.png" id="961" name="Picture"/>
                    <pic:cNvPicPr>
                      <a:picLocks noChangeArrowheads="1" noChangeAspect="1"/>
                    </pic:cNvPicPr>
                  </pic:nvPicPr>
                  <pic:blipFill>
                    <a:blip r:embed="rId9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962"/>
    <w:bookmarkEnd w:id="963"/>
    <w:bookmarkStart w:id="965" w:name="bibliographie"/>
    <w:p>
      <w:pPr>
        <w:pStyle w:val="Titre1"/>
      </w:pPr>
      <w:r>
        <w:t xml:space="preserve">Bibliographie</w:t>
      </w:r>
    </w:p>
    <w:bookmarkStart w:id="964" w:name="refs"/>
    <w:bookmarkEnd w:id="964"/>
    <w:bookmarkEnd w:id="965"/>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81" Target="media/rId181.png"/>
  <Relationship Type="http://schemas.openxmlformats.org/officeDocument/2006/relationships/image" Id="rId191" Target="media/rId191.png"/>
  <Relationship Type="http://schemas.openxmlformats.org/officeDocument/2006/relationships/image" Id="rId244" Target="media/rId244.png"/>
  <Relationship Type="http://schemas.openxmlformats.org/officeDocument/2006/relationships/image" Id="rId284" Target="media/rId284.png"/>
  <Relationship Type="http://schemas.openxmlformats.org/officeDocument/2006/relationships/image" Id="rId278" Target="media/rId278.png"/>
  <Relationship Type="http://schemas.openxmlformats.org/officeDocument/2006/relationships/image" Id="rId248" Target="media/rId248.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5" Target="media/rId235.png"/>
  <Relationship Type="http://schemas.openxmlformats.org/officeDocument/2006/relationships/image" Id="rId222" Target="media/rId222.png"/>
  <Relationship Type="http://schemas.openxmlformats.org/officeDocument/2006/relationships/image" Id="rId239" Target="media/rId239.png"/>
  <Relationship Type="http://schemas.openxmlformats.org/officeDocument/2006/relationships/image" Id="rId307" Target="media/rId307.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298" Target="media/rId298.png"/>
  <Relationship Type="http://schemas.openxmlformats.org/officeDocument/2006/relationships/image" Id="rId213" Target="media/rId213.png"/>
  <Relationship Type="http://schemas.openxmlformats.org/officeDocument/2006/relationships/image" Id="rId200" Target="media/rId200.png"/>
  <Relationship Type="http://schemas.openxmlformats.org/officeDocument/2006/relationships/image" Id="rId209" Target="media/rId209.png"/>
  <Relationship Type="http://schemas.openxmlformats.org/officeDocument/2006/relationships/image" Id="rId289" Target="media/rId289.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54" Target="media/rId254.png"/>
  <Relationship Type="http://schemas.openxmlformats.org/officeDocument/2006/relationships/image" Id="rId270" Target="media/rId270.png"/>
  <Relationship Type="http://schemas.openxmlformats.org/officeDocument/2006/relationships/image" Id="rId204" Target="media/rId204.png"/>
  <Relationship Type="http://schemas.openxmlformats.org/officeDocument/2006/relationships/image" Id="rId217" Target="media/rId217.png"/>
  <Relationship Type="http://schemas.openxmlformats.org/officeDocument/2006/relationships/image" Id="rId341" Target="media/rId341.png"/>
  <Relationship Type="http://schemas.openxmlformats.org/officeDocument/2006/relationships/image" Id="rId353" Target="media/rId353.png"/>
  <Relationship Type="http://schemas.openxmlformats.org/officeDocument/2006/relationships/image" Id="rId334" Target="media/rId334.png"/>
  <Relationship Type="http://schemas.openxmlformats.org/officeDocument/2006/relationships/image" Id="rId365" Target="media/rId365.png"/>
  <Relationship Type="http://schemas.openxmlformats.org/officeDocument/2006/relationships/image" Id="rId324" Target="media/rId324.png"/>
  <Relationship Type="http://schemas.openxmlformats.org/officeDocument/2006/relationships/image" Id="rId329" Target="media/rId329.png"/>
  <Relationship Type="http://schemas.openxmlformats.org/officeDocument/2006/relationships/image" Id="rId319" Target="media/rId319.png"/>
  <Relationship Type="http://schemas.openxmlformats.org/officeDocument/2006/relationships/image" Id="rId314" Target="media/rId314.png"/>
  <Relationship Type="http://schemas.openxmlformats.org/officeDocument/2006/relationships/image" Id="rId347" Target="media/rId347.png"/>
  <Relationship Type="http://schemas.openxmlformats.org/officeDocument/2006/relationships/image" Id="rId360" Target="media/rId360.png"/>
  <Relationship Type="http://schemas.openxmlformats.org/officeDocument/2006/relationships/image" Id="rId431" Target="media/rId431.png"/>
  <Relationship Type="http://schemas.openxmlformats.org/officeDocument/2006/relationships/image" Id="rId393" Target="media/rId393.png"/>
  <Relationship Type="http://schemas.openxmlformats.org/officeDocument/2006/relationships/image" Id="rId400" Target="media/rId400.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8" Target="media/rId388.png"/>
  <Relationship Type="http://schemas.openxmlformats.org/officeDocument/2006/relationships/image" Id="rId397" Target="media/rId397.png"/>
  <Relationship Type="http://schemas.openxmlformats.org/officeDocument/2006/relationships/image" Id="rId385" Target="media/rId385.png"/>
  <Relationship Type="http://schemas.openxmlformats.org/officeDocument/2006/relationships/image" Id="rId426" Target="media/rId426.png"/>
  <Relationship Type="http://schemas.openxmlformats.org/officeDocument/2006/relationships/image" Id="rId413" Target="media/rId413.png"/>
  <Relationship Type="http://schemas.openxmlformats.org/officeDocument/2006/relationships/image" Id="rId419" Target="media/rId419.png"/>
  <Relationship Type="http://schemas.openxmlformats.org/officeDocument/2006/relationships/image" Id="rId416" Target="media/rId416.png"/>
  <Relationship Type="http://schemas.openxmlformats.org/officeDocument/2006/relationships/image" Id="rId382" Target="media/rId382.png"/>
  <Relationship Type="http://schemas.openxmlformats.org/officeDocument/2006/relationships/image" Id="rId423" Target="media/rId423.png"/>
  <Relationship Type="http://schemas.openxmlformats.org/officeDocument/2006/relationships/image" Id="rId404" Target="media/rId404.png"/>
  <Relationship Type="http://schemas.openxmlformats.org/officeDocument/2006/relationships/image" Id="rId410" Target="media/rId410.png"/>
  <Relationship Type="http://schemas.openxmlformats.org/officeDocument/2006/relationships/image" Id="rId407" Target="media/rId407.png"/>
  <Relationship Type="http://schemas.openxmlformats.org/officeDocument/2006/relationships/image" Id="rId462" Target="media/rId462.png"/>
  <Relationship Type="http://schemas.openxmlformats.org/officeDocument/2006/relationships/image" Id="rId466" Target="media/rId466.png"/>
  <Relationship Type="http://schemas.openxmlformats.org/officeDocument/2006/relationships/image" Id="rId490" Target="media/rId490.png"/>
  <Relationship Type="http://schemas.openxmlformats.org/officeDocument/2006/relationships/image" Id="rId500" Target="media/rId500.png"/>
  <Relationship Type="http://schemas.openxmlformats.org/officeDocument/2006/relationships/image" Id="rId508" Target="media/rId508.png"/>
  <Relationship Type="http://schemas.openxmlformats.org/officeDocument/2006/relationships/image" Id="rId457" Target="media/rId457.png"/>
  <Relationship Type="http://schemas.openxmlformats.org/officeDocument/2006/relationships/image" Id="rId452" Target="media/rId452.png"/>
  <Relationship Type="http://schemas.openxmlformats.org/officeDocument/2006/relationships/image" Id="rId482" Target="media/rId482.png"/>
  <Relationship Type="http://schemas.openxmlformats.org/officeDocument/2006/relationships/image" Id="rId486" Target="media/rId486.png"/>
  <Relationship Type="http://schemas.openxmlformats.org/officeDocument/2006/relationships/image" Id="rId438" Target="media/rId438.png"/>
  <Relationship Type="http://schemas.openxmlformats.org/officeDocument/2006/relationships/image" Id="rId476" Target="media/rId476.png"/>
  <Relationship Type="http://schemas.openxmlformats.org/officeDocument/2006/relationships/image" Id="rId504" Target="media/rId504.png"/>
  <Relationship Type="http://schemas.openxmlformats.org/officeDocument/2006/relationships/image" Id="rId515" Target="media/rId515.png"/>
  <Relationship Type="http://schemas.openxmlformats.org/officeDocument/2006/relationships/image" Id="rId472" Target="media/rId472.png"/>
  <Relationship Type="http://schemas.openxmlformats.org/officeDocument/2006/relationships/image" Id="rId496" Target="media/rId496.png"/>
  <Relationship Type="http://schemas.openxmlformats.org/officeDocument/2006/relationships/image" Id="rId444" Target="media/rId444.png"/>
  <Relationship Type="http://schemas.openxmlformats.org/officeDocument/2006/relationships/image" Id="rId448" Target="media/rId448.png"/>
  <Relationship Type="http://schemas.openxmlformats.org/officeDocument/2006/relationships/image" Id="rId649" Target="media/rId649.png"/>
  <Relationship Type="http://schemas.openxmlformats.org/officeDocument/2006/relationships/image" Id="rId653" Target="media/rId653.png"/>
  <Relationship Type="http://schemas.openxmlformats.org/officeDocument/2006/relationships/image" Id="rId585" Target="media/rId585.png"/>
  <Relationship Type="http://schemas.openxmlformats.org/officeDocument/2006/relationships/image" Id="rId528" Target="media/rId528.png"/>
  <Relationship Type="http://schemas.openxmlformats.org/officeDocument/2006/relationships/image" Id="rId594" Target="media/rId594.png"/>
  <Relationship Type="http://schemas.openxmlformats.org/officeDocument/2006/relationships/image" Id="rId537" Target="media/rId537.png"/>
  <Relationship Type="http://schemas.openxmlformats.org/officeDocument/2006/relationships/image" Id="rId627" Target="media/rId627.png"/>
  <Relationship Type="http://schemas.openxmlformats.org/officeDocument/2006/relationships/image" Id="rId657" Target="media/rId657.png"/>
  <Relationship Type="http://schemas.openxmlformats.org/officeDocument/2006/relationships/image" Id="rId632" Target="media/rId632.png"/>
  <Relationship Type="http://schemas.openxmlformats.org/officeDocument/2006/relationships/image" Id="rId561" Target="media/rId561.png"/>
  <Relationship Type="http://schemas.openxmlformats.org/officeDocument/2006/relationships/image" Id="rId638" Target="media/rId638.png"/>
  <Relationship Type="http://schemas.openxmlformats.org/officeDocument/2006/relationships/image" Id="rId615" Target="media/rId615.png"/>
  <Relationship Type="http://schemas.openxmlformats.org/officeDocument/2006/relationships/image" Id="rId574" Target="media/rId574.png"/>
  <Relationship Type="http://schemas.openxmlformats.org/officeDocument/2006/relationships/image" Id="rId619" Target="media/rId619.png"/>
  <Relationship Type="http://schemas.openxmlformats.org/officeDocument/2006/relationships/image" Id="rId603" Target="media/rId603.png"/>
  <Relationship Type="http://schemas.openxmlformats.org/officeDocument/2006/relationships/image" Id="rId599" Target="media/rId599.png"/>
  <Relationship Type="http://schemas.openxmlformats.org/officeDocument/2006/relationships/image" Id="rId548" Target="media/rId548.png"/>
  <Relationship Type="http://schemas.openxmlformats.org/officeDocument/2006/relationships/image" Id="rId557" Target="media/rId557.png"/>
  <Relationship Type="http://schemas.openxmlformats.org/officeDocument/2006/relationships/image" Id="rId661" Target="media/rId661.png"/>
  <Relationship Type="http://schemas.openxmlformats.org/officeDocument/2006/relationships/image" Id="rId533" Target="media/rId533.png"/>
  <Relationship Type="http://schemas.openxmlformats.org/officeDocument/2006/relationships/image" Id="rId524" Target="media/rId524.png"/>
  <Relationship Type="http://schemas.openxmlformats.org/officeDocument/2006/relationships/image" Id="rId589" Target="media/rId589.png"/>
  <Relationship Type="http://schemas.openxmlformats.org/officeDocument/2006/relationships/image" Id="rId610" Target="media/rId610.png"/>
  <Relationship Type="http://schemas.openxmlformats.org/officeDocument/2006/relationships/image" Id="rId553" Target="media/rId553.png"/>
  <Relationship Type="http://schemas.openxmlformats.org/officeDocument/2006/relationships/image" Id="rId570" Target="media/rId570.png"/>
  <Relationship Type="http://schemas.openxmlformats.org/officeDocument/2006/relationships/image" Id="rId566" Target="media/rId566.png"/>
  <Relationship Type="http://schemas.openxmlformats.org/officeDocument/2006/relationships/image" Id="rId677" Target="media/rId677.png"/>
  <Relationship Type="http://schemas.openxmlformats.org/officeDocument/2006/relationships/image" Id="rId674" Target="media/rId674.png"/>
  <Relationship Type="http://schemas.openxmlformats.org/officeDocument/2006/relationships/image" Id="rId579" Target="media/rId579.png"/>
  <Relationship Type="http://schemas.openxmlformats.org/officeDocument/2006/relationships/image" Id="rId643" Target="media/rId643.png"/>
  <Relationship Type="http://schemas.openxmlformats.org/officeDocument/2006/relationships/image" Id="rId545" Target="media/rId545.png"/>
  <Relationship Type="http://schemas.openxmlformats.org/officeDocument/2006/relationships/image" Id="rId541" Target="media/rId541.png"/>
  <Relationship Type="http://schemas.openxmlformats.org/officeDocument/2006/relationships/image" Id="rId700" Target="media/rId700.png"/>
  <Relationship Type="http://schemas.openxmlformats.org/officeDocument/2006/relationships/image" Id="rId737" Target="media/rId737.png"/>
  <Relationship Type="http://schemas.openxmlformats.org/officeDocument/2006/relationships/image" Id="rId734" Target="media/rId734.png"/>
  <Relationship Type="http://schemas.openxmlformats.org/officeDocument/2006/relationships/image" Id="rId685" Target="media/rId685.png"/>
  <Relationship Type="http://schemas.openxmlformats.org/officeDocument/2006/relationships/image" Id="rId722" Target="media/rId722.png"/>
  <Relationship Type="http://schemas.openxmlformats.org/officeDocument/2006/relationships/image" Id="rId719" Target="media/rId719.png"/>
  <Relationship Type="http://schemas.openxmlformats.org/officeDocument/2006/relationships/image" Id="rId689" Target="media/rId689.png"/>
  <Relationship Type="http://schemas.openxmlformats.org/officeDocument/2006/relationships/image" Id="rId693" Target="media/rId693.png"/>
  <Relationship Type="http://schemas.openxmlformats.org/officeDocument/2006/relationships/image" Id="rId708" Target="media/rId708.png"/>
  <Relationship Type="http://schemas.openxmlformats.org/officeDocument/2006/relationships/image" Id="rId715" Target="media/rId715.png"/>
  <Relationship Type="http://schemas.openxmlformats.org/officeDocument/2006/relationships/image" Id="rId725" Target="media/rId725.png"/>
  <Relationship Type="http://schemas.openxmlformats.org/officeDocument/2006/relationships/image" Id="rId730" Target="media/rId730.png"/>
  <Relationship Type="http://schemas.openxmlformats.org/officeDocument/2006/relationships/image" Id="rId862" Target="media/rId862.png"/>
  <Relationship Type="http://schemas.openxmlformats.org/officeDocument/2006/relationships/image" Id="rId754" Target="media/rId754.png"/>
  <Relationship Type="http://schemas.openxmlformats.org/officeDocument/2006/relationships/image" Id="rId774" Target="media/rId774.png"/>
  <Relationship Type="http://schemas.openxmlformats.org/officeDocument/2006/relationships/image" Id="rId770" Target="media/rId770.png"/>
  <Relationship Type="http://schemas.openxmlformats.org/officeDocument/2006/relationships/image" Id="rId779" Target="media/rId779.png"/>
  <Relationship Type="http://schemas.openxmlformats.org/officeDocument/2006/relationships/image" Id="rId823" Target="media/rId823.png"/>
  <Relationship Type="http://schemas.openxmlformats.org/officeDocument/2006/relationships/image" Id="rId749" Target="media/rId749.png"/>
  <Relationship Type="http://schemas.openxmlformats.org/officeDocument/2006/relationships/image" Id="rId797" Target="media/rId797.png"/>
  <Relationship Type="http://schemas.openxmlformats.org/officeDocument/2006/relationships/image" Id="rId847" Target="media/rId847.png"/>
  <Relationship Type="http://schemas.openxmlformats.org/officeDocument/2006/relationships/image" Id="rId842" Target="media/rId842.png"/>
  <Relationship Type="http://schemas.openxmlformats.org/officeDocument/2006/relationships/image" Id="rId852" Target="media/rId852.png"/>
  <Relationship Type="http://schemas.openxmlformats.org/officeDocument/2006/relationships/image" Id="rId788" Target="media/rId788.png"/>
  <Relationship Type="http://schemas.openxmlformats.org/officeDocument/2006/relationships/image" Id="rId857" Target="media/rId857.png"/>
  <Relationship Type="http://schemas.openxmlformats.org/officeDocument/2006/relationships/image" Id="rId827" Target="media/rId827.png"/>
  <Relationship Type="http://schemas.openxmlformats.org/officeDocument/2006/relationships/image" Id="rId808" Target="media/rId808.png"/>
  <Relationship Type="http://schemas.openxmlformats.org/officeDocument/2006/relationships/image" Id="rId831" Target="media/rId831.png"/>
  <Relationship Type="http://schemas.openxmlformats.org/officeDocument/2006/relationships/image" Id="rId764" Target="media/rId764.png"/>
  <Relationship Type="http://schemas.openxmlformats.org/officeDocument/2006/relationships/image" Id="rId744" Target="media/rId744.png"/>
  <Relationship Type="http://schemas.openxmlformats.org/officeDocument/2006/relationships/image" Id="rId802" Target="media/rId802.png"/>
  <Relationship Type="http://schemas.openxmlformats.org/officeDocument/2006/relationships/image" Id="rId818" Target="media/rId818.png"/>
  <Relationship Type="http://schemas.openxmlformats.org/officeDocument/2006/relationships/image" Id="rId793" Target="media/rId793.png"/>
  <Relationship Type="http://schemas.openxmlformats.org/officeDocument/2006/relationships/image" Id="rId838" Target="media/rId838.png"/>
  <Relationship Type="http://schemas.openxmlformats.org/officeDocument/2006/relationships/image" Id="rId814" Target="media/rId814.png"/>
  <Relationship Type="http://schemas.openxmlformats.org/officeDocument/2006/relationships/image" Id="rId760" Target="media/rId760.png"/>
  <Relationship Type="http://schemas.openxmlformats.org/officeDocument/2006/relationships/image" Id="rId912" Target="media/rId912.png"/>
  <Relationship Type="http://schemas.openxmlformats.org/officeDocument/2006/relationships/image" Id="rId895" Target="media/rId895.png"/>
  <Relationship Type="http://schemas.openxmlformats.org/officeDocument/2006/relationships/image" Id="rId899" Target="media/rId899.png"/>
  <Relationship Type="http://schemas.openxmlformats.org/officeDocument/2006/relationships/image" Id="rId877" Target="media/rId877.png"/>
  <Relationship Type="http://schemas.openxmlformats.org/officeDocument/2006/relationships/image" Id="rId882" Target="media/rId882.png"/>
  <Relationship Type="http://schemas.openxmlformats.org/officeDocument/2006/relationships/image" Id="rId903" Target="media/rId903.png"/>
  <Relationship Type="http://schemas.openxmlformats.org/officeDocument/2006/relationships/image" Id="rId872" Target="media/rId872.png"/>
  <Relationship Type="http://schemas.openxmlformats.org/officeDocument/2006/relationships/image" Id="rId886" Target="media/rId886.png"/>
  <Relationship Type="http://schemas.openxmlformats.org/officeDocument/2006/relationships/image" Id="rId891" Target="media/rId891.png"/>
  <Relationship Type="http://schemas.openxmlformats.org/officeDocument/2006/relationships/image" Id="rId907" Target="media/rId907.png"/>
  <Relationship Type="http://schemas.openxmlformats.org/officeDocument/2006/relationships/image" Id="rId946" Target="media/rId946.png"/>
  <Relationship Type="http://schemas.openxmlformats.org/officeDocument/2006/relationships/image" Id="rId921" Target="media/rId921.png"/>
  <Relationship Type="http://schemas.openxmlformats.org/officeDocument/2006/relationships/image" Id="rId931" Target="media/rId931.png"/>
  <Relationship Type="http://schemas.openxmlformats.org/officeDocument/2006/relationships/image" Id="rId936" Target="media/rId936.png"/>
  <Relationship Type="http://schemas.openxmlformats.org/officeDocument/2006/relationships/image" Id="rId951" Target="media/rId951.png"/>
  <Relationship Type="http://schemas.openxmlformats.org/officeDocument/2006/relationships/image" Id="rId926" Target="media/rId926.png"/>
  <Relationship Type="http://schemas.openxmlformats.org/officeDocument/2006/relationships/image" Id="rId959" Target="media/rId959.png"/>
  <Relationship Type="http://schemas.openxmlformats.org/officeDocument/2006/relationships/image" Id="rId942" Target="media/rId942.png"/>
  <Relationship Type="http://schemas.openxmlformats.org/officeDocument/2006/relationships/image" Id="rId295" Target="media/rId295.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image" Id="rId169" Target="media/rId169.png"/>
  <Relationship Id="rId960"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2026-07-08T10:52:34Z</dcterms:created>
  <dcterms:modified xsi:type="dcterms:W3CDTF">2026-07-08T10:52:34Z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2026-07-08</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consolidé d’enquêtes</vt:lpwstr>
  </property>
  <property fmtid="{D5CDD505-2E9C-101B-9397-08002B2CF9AE}" pid="16" name="template-partials">
    <vt:lpwstr/>
  </property>
  <property fmtid="{D5CDD505-2E9C-101B-9397-08002B2CF9AE}" pid="17" name="toc-title">
    <vt:lpwstr>Table des matières</vt:lpwstr>
  </property>
</Properties>
</file>