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33.png" ContentType="image/png"/>
  <Override PartName="/word/media/rId29.png" ContentType="image/png"/>
  <Override PartName="/word/media/rId25.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Campagne 2025 de l’Observatoire rural de l’Alaotra</w:t>
      </w:r>
    </w:p>
    <w:p>
      <w:pPr>
        <w:pStyle w:val="Subtitle"/>
      </w:pPr>
      <w:r>
        <w:t xml:space="preserve">Rapport d’enquête — Observatoire de l’Alaotra</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Heading1"/>
      </w:pPr>
      <w:r>
        <w:t xml:space="preserve">Introduction</w:t>
      </w:r>
    </w:p>
    <w:p>
      <w:pPr>
        <w:pStyle w:val="CaptionedFigure"/>
      </w:pPr>
      <w:r>
        <w:drawing>
          <wp:inline>
            <wp:extent cx="5334000" cy="3550443"/>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Hyperlink"/>
          </w:rPr>
          <w:t xml:space="preserve">CC BY-SA 4.0</w:t>
        </w:r>
      </w:hyperlink>
      <w:r>
        <w:t xml:space="preserve">, via</w:t>
      </w:r>
      <w:r>
        <w:t xml:space="preserve"> </w:t>
      </w:r>
      <w:hyperlink r:id="rId24">
        <w:r>
          <w:rPr>
            <w:rStyle w:val="Hyperlink"/>
          </w:rPr>
          <w:t xml:space="preserve">Wikimedia Commons</w:t>
        </w:r>
      </w:hyperlink>
      <w:r>
        <w:t xml:space="preserve">.</w:t>
      </w:r>
    </w:p>
    <w:p>
      <w:pPr>
        <w:pStyle w:val="BodyText"/>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BodyText"/>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334000" cy="37337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BodyText"/>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BodyText"/>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BodyText"/>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BodyText"/>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48" w:name="description-de-lenquête"/>
    <w:p>
      <w:pPr>
        <w:pStyle w:val="Heading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2" w:name="contexte-et-objectifs"/>
    <w:p>
      <w:pPr>
        <w:pStyle w:val="Heading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BodyText"/>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BodyText"/>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Heading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BodyText"/>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BodyText"/>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 protocole éthique de l’enquête a fait l’objet d’une approbation. Il est présenté en annexe du rapport.</w:t>
            </w:r>
          </w:p>
          <w:p/>
        </w:tc>
      </w:tr>
    </w:tbl>
    <w:bookmarkEnd w:id="36"/>
    <w:bookmarkStart w:id="37" w:name="localisation-des-sites-enquêtés"/>
    <w:p>
      <w:pPr>
        <w:pStyle w:val="Heading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tbl>
      <w:tblPr>
        <w:tblStyle w:val="FigureTable"/>
        <w:tblW w:type="auto" w:w="0"/>
        <w:jc w:val="center"/>
        <w:tblLook w:firstRow="0" w:lastRow="0" w:firstColumn="0" w:lastColumn="0"/>
      </w:tblPr>
      <w:tblGrid>
        <w:gridCol w:w="7920"/>
      </w:tblGrid>
      <w:tr>
        <w:tc>
          <w:tcPr/>
          <w:p>
            <w:pPr>
              <w:pStyle w:val="Compact"/>
              <w:jc w:val="center"/>
            </w:pPr>
            <w:r>
              <w:t xml:space="preserve">Localisation approximative des fokontany enquêtés (centroïde des hameaux)</w:t>
            </w:r>
          </w:p>
        </w:tc>
      </w:tr>
    </w:tbl>
    <w:p>
      <w:pPr>
        <w:pStyle w:val="ImageCaption"/>
      </w:pPr>
      <w:r>
        <w:t xml:space="preserve">Localisation approximative des fokontany enquêtés (centroïde des hameaux)</w:t>
      </w:r>
    </w:p>
    <w:bookmarkEnd w:id="37"/>
    <w:bookmarkStart w:id="43" w:name="ménages-enquêtés"/>
    <w:p>
      <w:pPr>
        <w:pStyle w:val="Heading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8"/>
          <w:p/>
        </w:tc>
      </w:tr>
    </w:tbl>
    <w:bookmarkStart w:id="40" w:name="dénombrement-et-taux-de-sondage"/>
    <w:p>
      <w:pPr>
        <w:pStyle w:val="Heading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Hyperlink"/>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9"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9"/>
          <w:p/>
        </w:tc>
      </w:tr>
    </w:tbl>
    <w:bookmarkEnd w:id="40"/>
    <w:bookmarkStart w:id="42" w:name="répartition-par-hameau"/>
    <w:p>
      <w:pPr>
        <w:pStyle w:val="Heading3"/>
      </w:pPr>
      <w:r>
        <w:t xml:space="preserve">1.4.2 Répartition par hameau</w:t>
      </w:r>
    </w:p>
    <w:p>
      <w:pPr>
        <w:pStyle w:val="FirstParagraph"/>
      </w:pPr>
      <w:r>
        <w:t xml:space="preserve">Le</w:t>
      </w:r>
      <w:r>
        <w:t xml:space="preserve"> </w:t>
      </w:r>
      <w:hyperlink w:anchor="tbl-men-hameau">
        <w:r>
          <w:rPr>
            <w:rStyle w:val="Hyperlink"/>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1"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1"/>
          <w:p/>
        </w:tc>
      </w:tr>
    </w:tbl>
    <w:bookmarkEnd w:id="42"/>
    <w:bookmarkEnd w:id="43"/>
    <w:bookmarkStart w:id="47" w:name="déroulement-de-lenquête"/>
    <w:p>
      <w:pPr>
        <w:pStyle w:val="Heading2"/>
      </w:pPr>
      <w:r>
        <w:t xml:space="preserve">1.5 Déroulement de l’enquête</w:t>
      </w:r>
    </w:p>
    <w:bookmarkStart w:id="46" w:name="période-de-collecte"/>
    <w:p>
      <w:pPr>
        <w:pStyle w:val="Heading3"/>
      </w:pPr>
      <w:r>
        <w:t xml:space="preserve">1.5.1 Période de collecte</w:t>
      </w:r>
    </w:p>
    <w:p>
      <w:pPr>
        <w:pStyle w:val="FirstParagraph"/>
      </w:pPr>
      <w:r>
        <w:t xml:space="preserve">Les entretiens se sont déroulés entre début octobre et mi-novembre 2025. Un entretien isolé a été réalisé à Marovoay le 3 septembre ; il est exclu du chronogramme ci-dessous qui ne retient que les dates à partir du 1</w:t>
      </w:r>
      <w:r>
        <w:rPr>
          <w:vertAlign w:val="superscript"/>
        </w:rPr>
        <w:t xml:space="preserve">er</w:t>
      </w:r>
      <w:r>
        <w:t xml:space="preserve"> </w:t>
      </w:r>
      <w:r>
        <w:t xml:space="preserve">octobre 2025. Le</w:t>
      </w:r>
      <w:r>
        <w:t xml:space="preserve"> </w:t>
      </w:r>
      <w:hyperlink w:anchor="fig-chronogramme">
        <w:r>
          <w:rPr>
            <w:rStyle w:val="Hyperlink"/>
          </w:rPr>
          <w:t xml:space="preserve">Figure 1.1</w:t>
        </w:r>
      </w:hyperlink>
      <w:r>
        <w:t xml:space="preserve"> </w:t>
      </w:r>
      <w:r>
        <w:t xml:space="preserve">présente l’évolution cumulée du nombre d’entretiens réalisés.</w:t>
      </w:r>
    </w:p>
    <w:tbl>
      <w:tblPr>
        <w:tblStyle w:val="Table"/>
        <w:tblW w:type="pct" w:w="5000"/>
        <w:tblLayout w:type="fixed"/>
        <w:tblLook w:firstRow="0" w:lastRow="0" w:firstColumn="0" w:lastColumn="0" w:noHBand="0" w:noVBand="0" w:val="0000"/>
      </w:tblPr>
      <w:tblGrid>
        <w:gridCol w:w="7920"/>
      </w:tblGrid>
      <w:tr>
        <w:tc>
          <w:tcPr/>
          <w:bookmarkStart w:id="44" w:name="fig-chronogramme"/>
          <w:p>
            <w:pPr>
              <w:pStyle w:val="Compact"/>
              <w:jc w:val="center"/>
            </w:pPr>
          </w:p>
          <w:p>
            <w:pPr>
              <w:jc w:val="center"/>
            </w:pPr>
            <w:pPr>
              <w:jc w:val="left"/>
              <w:spacing w:before="200"/>
              <w:pStyle w:val="ImageCaption"/>
            </w:pPr>
            <w:r>
              <w:t xml:space="preserve">Figure 1.1: Fréquences cumulées des entretiens par observatoire (à partir du 1er octobre 2025)</w:t>
            </w:r>
          </w:p>
          <w:bookmarkEnd w:id="44"/>
        </w:tc>
      </w:tr>
    </w:tbl>
    <w:tbl>
      <w:tblPr>
        <w:tblStyle w:val="Table"/>
        <w:tblW w:type="pct" w:w="5000"/>
        <w:tblLayout w:type="fixed"/>
        <w:tblLook w:firstRow="0" w:lastRow="0" w:firstColumn="0" w:lastColumn="0" w:noHBand="0" w:noVBand="0" w:val="0000"/>
      </w:tblPr>
      <w:tblGrid>
        <w:gridCol w:w="7920"/>
      </w:tblGrid>
      <w:tr>
        <w:tc>
          <w:tcPr/>
          <w:bookmarkStart w:id="45"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518</w:t>
                  </w:r>
                </w:p>
              </w:tc>
            </w:tr>
            <w:tr>
              <w:tc>
                <w:tcPr>
                  <w:gridSpan w:val="5"/>
                </w:tcPr>
                <w:p>
                  <w:pPr>
                    <w:pStyle w:val="Compact"/>
                    <w:jc w:val="left"/>
                    <w:jc w:val="center"/>
                  </w:pPr>
                  <w:r>
                    <w:rPr>
                      <w:b/>
                      <w:bCs/>
                    </w:rPr>
                    <w:t xml:space="preserve">Source : Enquête auprès des OR 2025</w:t>
                  </w:r>
                </w:p>
              </w:tc>
            </w:tr>
          </w:tbl>
          <w:bookmarkEnd w:id="45"/>
          <w:p/>
        </w:tc>
      </w:tr>
    </w:tbl>
    <w:bookmarkEnd w:id="46"/>
    <w:bookmarkEnd w:id="47"/>
    <w:bookmarkEnd w:id="48"/>
    <w:bookmarkStart w:id="91" w:name="X2f0b4bab865cbdc8f0c24eb5bc26af9f83197a2"/>
    <w:p>
      <w:pPr>
        <w:pStyle w:val="Heading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fbede\AppData\Local\Programs\Quarto\share\formats\docx\warning.png" id="5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58" w:name="description-des-ménages"/>
    <w:p>
      <w:pPr>
        <w:pStyle w:val="Heading2"/>
      </w:pPr>
      <w:r>
        <w:t xml:space="preserve">2.1 Description des ménages</w:t>
      </w:r>
    </w:p>
    <w:p>
      <w:pPr>
        <w:pStyle w:val="FirstParagraph"/>
      </w:pPr>
      <w:r>
        <w:t xml:space="preserve">A Alaotra, on a recensé 1975 individus répartis dans 507 ménages. La taille moyenne des ménages s’établit à 3.9 personnes.</w:t>
      </w:r>
    </w:p>
    <w:bookmarkStart w:id="52" w:name="taille-des-ménages-par-observatoire"/>
    <w:p>
      <w:pPr>
        <w:pStyle w:val="Heading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1"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Observatoire</w:t>
                  </w:r>
                </w:p>
              </w:tc>
              <w:tc>
                <w:tcPr/>
                <w:p>
                  <w:pPr>
                    <w:pStyle w:val="Compact"/>
                    <w:jc w:val="right"/>
                    <w:jc w:val="center"/>
                  </w:pPr>
                  <w:r>
                    <w:t xml:space="preserve">Taille moyenne</w:t>
                  </w:r>
                </w:p>
              </w:tc>
            </w:tr>
            <w:tr>
              <w:tc>
                <w:tcPr/>
                <w:p>
                  <w:pPr>
                    <w:pStyle w:val="Compact"/>
                    <w:jc w:val="left"/>
                    <w:jc w:val="center"/>
                  </w:pPr>
                  <w:r>
                    <w:t xml:space="preserve">Alaotra</w:t>
                  </w:r>
                </w:p>
              </w:tc>
              <w:tc>
                <w:tcPr/>
                <w:p>
                  <w:pPr>
                    <w:pStyle w:val="Compact"/>
                    <w:jc w:val="right"/>
                    <w:jc w:val="center"/>
                  </w:pPr>
                  <w:r>
                    <w:t xml:space="preserve">3.90</w:t>
                  </w:r>
                </w:p>
              </w:tc>
            </w:tr>
            <w:tr>
              <w:tc>
                <w:tcPr>
                  <w:gridSpan w:val="2"/>
                </w:tcPr>
                <w:p>
                  <w:pPr>
                    <w:pStyle w:val="Compact"/>
                    <w:jc w:val="left"/>
                    <w:jc w:val="center"/>
                  </w:pPr>
                  <w:r>
                    <w:rPr>
                      <w:b/>
                      <w:bCs/>
                    </w:rPr>
                    <w:t xml:space="preserve">Source : Enquête auprès des OR 2025</w:t>
                  </w:r>
                </w:p>
              </w:tc>
            </w:tr>
          </w:tbl>
          <w:bookmarkEnd w:id="51"/>
          <w:p/>
        </w:tc>
      </w:tr>
    </w:tbl>
    <w:bookmarkEnd w:id="52"/>
    <w:bookmarkStart w:id="53" w:name="X5ecba2ce17d6f5a9c23e4167321cf9d859ff0b5"/>
    <w:p>
      <w:pPr>
        <w:pStyle w:val="Heading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 Alaotra</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rPr>
                <w:b/>
                <w:bCs/>
              </w:rPr>
              <w:t xml:space="preserve">Source : Enquête auprès des OR 2025</w:t>
            </w:r>
          </w:p>
        </w:tc>
      </w:tr>
    </w:tbl>
    <w:bookmarkEnd w:id="53"/>
    <w:bookmarkStart w:id="55" w:name="structure-par-âge"/>
    <w:p>
      <w:pPr>
        <w:pStyle w:val="Heading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BodyText"/>
      </w:pPr>
      <w:r>
        <w:t xml:space="preserve">A Alaotra, 37 % des individus ont moins de 15 ans. La population en âge de travailler (15–64 ans) représente 57.9 %, tandis que les personnes de 65 ans et plus ne constituent que 5.1 %.</w:t>
      </w:r>
    </w:p>
    <w:bookmarkStart w:id="54" w:name="au-niveau-des-observatoires"/>
    <w:p>
      <w:pPr>
        <w:pStyle w:val="Heading4"/>
      </w:pPr>
      <w:r>
        <w:t xml:space="preserve">2.1.3.1 Au niveau des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0-10 ans</w:t>
            </w:r>
          </w:p>
        </w:tc>
        <w:tc>
          <w:tcPr/>
          <w:p>
            <w:pPr>
              <w:pStyle w:val="Compact"/>
              <w:jc w:val="right"/>
            </w:pPr>
            <w:r>
              <w:t xml:space="preserve">551</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407</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322</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232</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177</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143</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88</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53</w:t>
            </w:r>
          </w:p>
        </w:tc>
        <w:tc>
          <w:tcPr/>
          <w:p>
            <w:pPr>
              <w:pStyle w:val="Compact"/>
              <w:jc w:val="right"/>
            </w:pPr>
            <w:r>
              <w:t xml:space="preserve">2.7</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Répartition des membres des ménages par tranche d’âge selon les observatoires</w:t>
            </w:r>
          </w:p>
        </w:tc>
      </w:tr>
    </w:tbl>
    <w:p>
      <w:pPr>
        <w:pStyle w:val="ImageCaption"/>
      </w:pPr>
      <w:r>
        <w:t xml:space="preserve">Répartition des membres des ménages par tranche d’âge selon les observatoires</w:t>
      </w:r>
    </w:p>
    <w:tbl>
      <w:tblPr>
        <w:tblStyle w:val="FigureTable"/>
        <w:tblW w:type="auto" w:w="0"/>
        <w:jc w:val="center"/>
        <w:tblLook w:firstRow="0" w:lastRow="0" w:firstColumn="0" w:lastColumn="0"/>
      </w:tblPr>
      <w:tblGrid>
        <w:gridCol w:w="7920"/>
      </w:tblGrid>
      <w:tr>
        <w:tc>
          <w:tcPr/>
          <w:p>
            <w:pPr>
              <w:pStyle w:val="Compact"/>
              <w:jc w:val="center"/>
            </w:pPr>
            <w:r>
              <w:t xml:space="preserve">Pyramide des âges des membres des ménages enquêtés par observatoire</w:t>
            </w:r>
          </w:p>
        </w:tc>
      </w:tr>
    </w:tbl>
    <w:p>
      <w:pPr>
        <w:pStyle w:val="ImageCaption"/>
      </w:pPr>
      <w:r>
        <w:t xml:space="preserve">Pyramide des âges des membres des ménages enquêtés par observatoire</w:t>
      </w:r>
    </w:p>
    <w:bookmarkEnd w:id="54"/>
    <w:bookmarkEnd w:id="55"/>
    <w:bookmarkStart w:id="56" w:name="origine-des-cm-et-conjoints"/>
    <w:p>
      <w:pPr>
        <w:pStyle w:val="Heading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Origine des chefs de ménage et conjoints par observatoire</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Origine</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Mpihavy</w:t>
            </w:r>
          </w:p>
        </w:tc>
        <w:tc>
          <w:tcPr/>
          <w:p>
            <w:pPr>
              <w:pStyle w:val="Compact"/>
              <w:jc w:val="right"/>
            </w:pPr>
            <w:r>
              <w:t xml:space="preserve">52</w:t>
            </w:r>
          </w:p>
        </w:tc>
        <w:tc>
          <w:tcPr/>
          <w:p>
            <w:pPr>
              <w:pStyle w:val="Compact"/>
              <w:jc w:val="right"/>
            </w:pPr>
            <w:r>
              <w:t xml:space="preserve">10.3</w:t>
            </w:r>
          </w:p>
        </w:tc>
        <w:tc>
          <w:tcPr/>
          <w:p>
            <w:pPr>
              <w:pStyle w:val="Compact"/>
              <w:jc w:val="right"/>
            </w:pPr>
            <w:r>
              <w:t xml:space="preserve">61</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338</w:t>
            </w:r>
          </w:p>
        </w:tc>
        <w:tc>
          <w:tcPr/>
          <w:p>
            <w:pPr>
              <w:pStyle w:val="Compact"/>
              <w:jc w:val="right"/>
            </w:pPr>
            <w:r>
              <w:t xml:space="preserve">66.8</w:t>
            </w:r>
          </w:p>
        </w:tc>
        <w:tc>
          <w:tcPr/>
          <w:p>
            <w:pPr>
              <w:pStyle w:val="Compact"/>
              <w:jc w:val="right"/>
            </w:pPr>
            <w:r>
              <w:t xml:space="preserve">210</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26</w:t>
            </w:r>
          </w:p>
        </w:tc>
        <w:tc>
          <w:tcPr/>
          <w:p>
            <w:pPr>
              <w:pStyle w:val="Compact"/>
              <w:jc w:val="right"/>
            </w:pPr>
            <w:r>
              <w:t xml:space="preserve">5.1</w:t>
            </w:r>
          </w:p>
        </w:tc>
        <w:tc>
          <w:tcPr/>
          <w:p>
            <w:pPr>
              <w:pStyle w:val="Compact"/>
              <w:jc w:val="right"/>
            </w:pPr>
            <w:r>
              <w:t xml:space="preserve">28</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90</w:t>
            </w:r>
          </w:p>
        </w:tc>
        <w:tc>
          <w:tcPr/>
          <w:p>
            <w:pPr>
              <w:pStyle w:val="Compact"/>
              <w:jc w:val="right"/>
            </w:pPr>
            <w:r>
              <w:t xml:space="preserve">17.8</w:t>
            </w:r>
          </w:p>
        </w:tc>
        <w:tc>
          <w:tcPr/>
          <w:p>
            <w:pPr>
              <w:pStyle w:val="Compact"/>
              <w:jc w:val="right"/>
            </w:pPr>
            <w:r>
              <w:t xml:space="preserve">73</w:t>
            </w:r>
          </w:p>
        </w:tc>
        <w:tc>
          <w:tcPr/>
          <w:p>
            <w:pPr>
              <w:pStyle w:val="Compact"/>
              <w:jc w:val="right"/>
            </w:pPr>
            <w:r>
              <w:t xml:space="preserve">19.6</w:t>
            </w:r>
          </w:p>
        </w:tc>
      </w:tr>
      <w:tr>
        <w:tc>
          <w:tcPr>
            <w:gridSpan w:val="5"/>
          </w:tcPr>
          <w:p>
            <w:pPr>
              <w:pStyle w:val="Compact"/>
              <w:jc w:val="left"/>
            </w:pPr>
            <w:r>
              <w:rPr>
                <w:b/>
                <w:bCs/>
              </w:rPr>
              <w:t xml:space="preserve">Source : Enquête auprès des OR 2025</w:t>
            </w:r>
          </w:p>
        </w:tc>
      </w:tr>
    </w:tbl>
    <w:p>
      <w:pPr>
        <w:pStyle w:val="BodyText"/>
      </w:pPr>
    </w:p>
    <w:bookmarkEnd w:id="56"/>
    <w:bookmarkStart w:id="57" w:name="raison-dinstallation"/>
    <w:p>
      <w:pPr>
        <w:pStyle w:val="Heading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Raison d'implantation des CM et conjoints par observatoire</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Raison</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113</w:t>
            </w:r>
          </w:p>
        </w:tc>
        <w:tc>
          <w:tcPr/>
          <w:p>
            <w:pPr>
              <w:pStyle w:val="Compact"/>
              <w:jc w:val="right"/>
            </w:pPr>
            <w:r>
              <w:t xml:space="preserve">30.5</w:t>
            </w:r>
          </w:p>
        </w:tc>
      </w:tr>
      <w:tr>
        <w:tc>
          <w:tcPr/>
          <w:p>
            <w:pPr>
              <w:pStyle w:val="Compact"/>
              <w:jc w:val="left"/>
            </w:pPr>
            <w:r>
              <w:t xml:space="preserve">Natif</w:t>
            </w:r>
          </w:p>
        </w:tc>
        <w:tc>
          <w:tcPr/>
          <w:p>
            <w:pPr>
              <w:pStyle w:val="Compact"/>
              <w:jc w:val="right"/>
            </w:pPr>
            <w:r>
              <w:t xml:space="preserve">371</w:t>
            </w:r>
          </w:p>
        </w:tc>
        <w:tc>
          <w:tcPr/>
          <w:p>
            <w:pPr>
              <w:pStyle w:val="Compact"/>
              <w:jc w:val="right"/>
            </w:pPr>
            <w:r>
              <w:t xml:space="preserve">73.3</w:t>
            </w:r>
          </w:p>
        </w:tc>
        <w:tc>
          <w:tcPr/>
          <w:p>
            <w:pPr>
              <w:pStyle w:val="Compact"/>
              <w:jc w:val="right"/>
            </w:pPr>
            <w:r>
              <w:t xml:space="preserve">216</w:t>
            </w:r>
          </w:p>
        </w:tc>
        <w:tc>
          <w:tcPr/>
          <w:p>
            <w:pPr>
              <w:pStyle w:val="Compact"/>
              <w:jc w:val="right"/>
            </w:pPr>
            <w:r>
              <w:t xml:space="preserve">58.2</w:t>
            </w:r>
          </w:p>
        </w:tc>
      </w:tr>
      <w:tr>
        <w:tc>
          <w:tcPr/>
          <w:p>
            <w:pPr>
              <w:pStyle w:val="Compact"/>
              <w:jc w:val="left"/>
            </w:pPr>
            <w:r>
              <w:t xml:space="preserve">Travail agricole</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25</w:t>
            </w:r>
          </w:p>
        </w:tc>
        <w:tc>
          <w:tcPr/>
          <w:p>
            <w:pPr>
              <w:pStyle w:val="Compact"/>
              <w:jc w:val="right"/>
            </w:pPr>
            <w:r>
              <w:t xml:space="preserve">6.7</w:t>
            </w:r>
          </w:p>
        </w:tc>
      </w:tr>
      <w:tr>
        <w:tc>
          <w:tcPr/>
          <w:p>
            <w:pPr>
              <w:pStyle w:val="Compact"/>
              <w:jc w:val="left"/>
            </w:pPr>
            <w:r>
              <w:t xml:space="preserve">Travail non agricole</w:t>
            </w:r>
          </w:p>
        </w:tc>
        <w:tc>
          <w:tcPr/>
          <w:p>
            <w:pPr>
              <w:pStyle w:val="Compact"/>
              <w:jc w:val="right"/>
            </w:pPr>
            <w:r>
              <w:t xml:space="preserve">35</w:t>
            </w:r>
          </w:p>
        </w:tc>
        <w:tc>
          <w:tcPr/>
          <w:p>
            <w:pPr>
              <w:pStyle w:val="Compact"/>
              <w:jc w:val="right"/>
            </w:pPr>
            <w:r>
              <w:t xml:space="preserve">6.9</w:t>
            </w:r>
          </w:p>
        </w:tc>
        <w:tc>
          <w:tcPr/>
          <w:p>
            <w:pPr>
              <w:pStyle w:val="Compact"/>
              <w:jc w:val="right"/>
            </w:pPr>
            <w:r>
              <w:t xml:space="preserve">15</w:t>
            </w:r>
          </w:p>
        </w:tc>
        <w:tc>
          <w:tcPr/>
          <w:p>
            <w:pPr>
              <w:pStyle w:val="Compact"/>
              <w:jc w:val="right"/>
            </w:pPr>
            <w:r>
              <w:t xml:space="preserve">4.0</w:t>
            </w:r>
          </w:p>
        </w:tc>
      </w:tr>
      <w:tr>
        <w:tc>
          <w:tcPr>
            <w:gridSpan w:val="5"/>
          </w:tcPr>
          <w:p>
            <w:pPr>
              <w:pStyle w:val="Compact"/>
              <w:jc w:val="left"/>
            </w:pPr>
            <w:r>
              <w:rPr>
                <w:b/>
                <w:bCs/>
              </w:rPr>
              <w:t xml:space="preserve">Source : Enquête auprès des OR 2025</w:t>
            </w:r>
          </w:p>
        </w:tc>
      </w:tr>
    </w:tbl>
    <w:p>
      <w:pPr>
        <w:pStyle w:val="BodyText"/>
      </w:pPr>
    </w:p>
    <w:bookmarkEnd w:id="57"/>
    <w:bookmarkEnd w:id="58"/>
    <w:bookmarkStart w:id="69" w:name="caractéristiques-des-chefs-de-ménages"/>
    <w:p>
      <w:pPr>
        <w:pStyle w:val="Heading2"/>
      </w:pPr>
      <w:r>
        <w:t xml:space="preserve">2.2 Caractéristiques des chefs de ménages</w:t>
      </w:r>
    </w:p>
    <w:p>
      <w:pPr>
        <w:pStyle w:val="FirstParagraph"/>
      </w:pPr>
      <w:r>
        <w:t xml:space="preserve">Le profil des chefs de ménage (CM) est décrit ci-dessous.</w:t>
      </w:r>
    </w:p>
    <w:p>
      <w:pPr>
        <w:pStyle w:val="BodyText"/>
      </w:pPr>
      <w:r>
        <w:t xml:space="preserve">Dans l’Alaotra, 78.3 % des CM sont des hommes, soit 21.7 % de ménages dirigés par des femmes. L’âge moyen des CM est de 45.4 ans. Sur le plan conjugal, 74.2 % des CM vivent en couple (mariés ou en concubinage).</w:t>
      </w:r>
    </w:p>
    <w:bookmarkStart w:id="59" w:name="caractéristiques-socio-démographiques"/>
    <w:p>
      <w:pPr>
        <w:pStyle w:val="Heading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110 (21.7%)</w:t>
            </w:r>
          </w:p>
        </w:tc>
      </w:tr>
      <w:tr>
        <w:tc>
          <w:tcPr/>
          <w:p>
            <w:pPr>
              <w:pStyle w:val="Compact"/>
              <w:jc w:val="left"/>
            </w:pPr>
            <w:r>
              <w:t xml:space="preserve">Homme</w:t>
            </w:r>
          </w:p>
        </w:tc>
        <w:tc>
          <w:tcPr/>
          <w:p>
            <w:pPr>
              <w:pStyle w:val="Compact"/>
              <w:jc w:val="right"/>
            </w:pPr>
            <w:r>
              <w:t xml:space="preserve">397 (78.3%)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59"/>
    <w:bookmarkStart w:id="62" w:name="niveau-déducation"/>
    <w:p>
      <w:pPr>
        <w:pStyle w:val="Heading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BodyText"/>
      </w:pPr>
      <w:r>
        <w:t xml:space="preserve">Dans l’Alaotra, le niveau le plus fréquemment atteint est « Primaire » (67.3 % des CM).</w:t>
      </w:r>
    </w:p>
    <w:bookmarkStart w:id="60" w:name="niveau-déducation-du-chef-de-ménage"/>
    <w:p>
      <w:pPr>
        <w:pStyle w:val="Heading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51 (10.1%)</w:t>
            </w:r>
          </w:p>
        </w:tc>
      </w:tr>
      <w:tr>
        <w:tc>
          <w:tcPr/>
          <w:p>
            <w:pPr>
              <w:pStyle w:val="Compact"/>
              <w:jc w:val="left"/>
            </w:pPr>
            <w:r>
              <w:t xml:space="preserve">Primaire</w:t>
            </w:r>
          </w:p>
        </w:tc>
        <w:tc>
          <w:tcPr/>
          <w:p>
            <w:pPr>
              <w:pStyle w:val="Compact"/>
              <w:jc w:val="right"/>
            </w:pPr>
            <w:r>
              <w:t xml:space="preserve">307 (60.6%)</w:t>
            </w:r>
          </w:p>
        </w:tc>
      </w:tr>
      <w:tr>
        <w:tc>
          <w:tcPr/>
          <w:p>
            <w:pPr>
              <w:pStyle w:val="Compact"/>
              <w:jc w:val="left"/>
            </w:pPr>
            <w:r>
              <w:t xml:space="preserve">Secondaire 1er cycle</w:t>
            </w:r>
          </w:p>
        </w:tc>
        <w:tc>
          <w:tcPr/>
          <w:p>
            <w:pPr>
              <w:pStyle w:val="Compact"/>
              <w:jc w:val="right"/>
            </w:pPr>
            <w:r>
              <w:t xml:space="preserve">109 (21.5%)</w:t>
            </w:r>
          </w:p>
        </w:tc>
      </w:tr>
      <w:tr>
        <w:tc>
          <w:tcPr/>
          <w:p>
            <w:pPr>
              <w:pStyle w:val="Compact"/>
              <w:jc w:val="left"/>
            </w:pPr>
            <w:r>
              <w:t xml:space="preserve">Secondaire 2ème cycle &amp; sup.</w:t>
            </w:r>
          </w:p>
        </w:tc>
        <w:tc>
          <w:tcPr/>
          <w:p>
            <w:pPr>
              <w:pStyle w:val="Compact"/>
              <w:jc w:val="right"/>
            </w:pPr>
            <w:r>
              <w:t xml:space="preserve">40 (7.9%)</w:t>
            </w:r>
          </w:p>
        </w:tc>
      </w:tr>
      <w:tr>
        <w:tc>
          <w:tcPr>
            <w:gridSpan w:val="2"/>
          </w:tcPr>
          <w:p>
            <w:pPr>
              <w:pStyle w:val="Compact"/>
              <w:jc w:val="left"/>
            </w:pPr>
            <w:r>
              <w:rPr>
                <w:b/>
                <w:bCs/>
              </w:rPr>
              <w:t xml:space="preserve">Source : Enquête auprès des OR 2025</w:t>
            </w:r>
          </w:p>
        </w:tc>
      </w:tr>
    </w:tbl>
    <w:bookmarkEnd w:id="60"/>
    <w:bookmarkStart w:id="61" w:name="X4a3ba4957ab1c055d132d85a923cd063717f406"/>
    <w:p>
      <w:pPr>
        <w:pStyle w:val="Heading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33 (8.3%)</w:t>
            </w:r>
          </w:p>
        </w:tc>
        <w:tc>
          <w:tcPr/>
          <w:p>
            <w:pPr>
              <w:pStyle w:val="Compact"/>
              <w:jc w:val="right"/>
            </w:pPr>
            <w:r>
              <w:t xml:space="preserve">18 (16.4%)</w:t>
            </w:r>
          </w:p>
        </w:tc>
      </w:tr>
      <w:tr>
        <w:tc>
          <w:tcPr/>
          <w:p>
            <w:pPr>
              <w:pStyle w:val="Compact"/>
              <w:jc w:val="left"/>
            </w:pPr>
            <w:r>
              <w:t xml:space="preserve">Primaire</w:t>
            </w:r>
          </w:p>
        </w:tc>
        <w:tc>
          <w:tcPr/>
          <w:p>
            <w:pPr>
              <w:pStyle w:val="Compact"/>
              <w:jc w:val="right"/>
            </w:pPr>
            <w:r>
              <w:t xml:space="preserve">237 (59.7%)</w:t>
            </w:r>
          </w:p>
        </w:tc>
        <w:tc>
          <w:tcPr/>
          <w:p>
            <w:pPr>
              <w:pStyle w:val="Compact"/>
              <w:jc w:val="right"/>
            </w:pPr>
            <w:r>
              <w:t xml:space="preserve">70 (63.6%)</w:t>
            </w:r>
          </w:p>
        </w:tc>
      </w:tr>
      <w:tr>
        <w:tc>
          <w:tcPr/>
          <w:p>
            <w:pPr>
              <w:pStyle w:val="Compact"/>
              <w:jc w:val="left"/>
            </w:pPr>
            <w:r>
              <w:t xml:space="preserve">Secondaire 1er cycle</w:t>
            </w:r>
          </w:p>
        </w:tc>
        <w:tc>
          <w:tcPr/>
          <w:p>
            <w:pPr>
              <w:pStyle w:val="Compact"/>
              <w:jc w:val="right"/>
            </w:pPr>
            <w:r>
              <w:t xml:space="preserve">92 (23.2%)</w:t>
            </w:r>
          </w:p>
        </w:tc>
        <w:tc>
          <w:tcPr/>
          <w:p>
            <w:pPr>
              <w:pStyle w:val="Compact"/>
              <w:jc w:val="right"/>
            </w:pPr>
            <w:r>
              <w:t xml:space="preserve">17 (15.5%)</w:t>
            </w:r>
          </w:p>
        </w:tc>
      </w:tr>
      <w:tr>
        <w:tc>
          <w:tcPr/>
          <w:p>
            <w:pPr>
              <w:pStyle w:val="Compact"/>
              <w:jc w:val="left"/>
            </w:pPr>
            <w:r>
              <w:t xml:space="preserve">Secondaire 2ème cycle &amp; sup.</w:t>
            </w:r>
          </w:p>
        </w:tc>
        <w:tc>
          <w:tcPr/>
          <w:p>
            <w:pPr>
              <w:pStyle w:val="Compact"/>
              <w:jc w:val="right"/>
            </w:pPr>
            <w:r>
              <w:t xml:space="preserve">35 (8.8%)</w:t>
            </w:r>
          </w:p>
        </w:tc>
        <w:tc>
          <w:tcPr/>
          <w:p>
            <w:pPr>
              <w:pStyle w:val="Compact"/>
              <w:jc w:val="right"/>
            </w:pPr>
            <w:r>
              <w:t xml:space="preserve">5 (4.5%)</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61"/>
    <w:bookmarkEnd w:id="62"/>
    <w:bookmarkStart w:id="66" w:name="alphabétisation-des-chefs-de-ménage"/>
    <w:p>
      <w:pPr>
        <w:pStyle w:val="Heading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avec une ventilation par sexe.</w:t>
      </w:r>
    </w:p>
    <w:p>
      <w:pPr>
        <w:pStyle w:val="BodyText"/>
      </w:pPr>
      <w:r>
        <w:t xml:space="preserve">Dans l’Alaotra, 84.2 % des CM savent lire et écrire.</w:t>
      </w:r>
    </w:p>
    <w:bookmarkStart w:id="63" w:name="savoir-lire-et-écrire"/>
    <w:p>
      <w:pPr>
        <w:pStyle w:val="Heading4"/>
      </w:pPr>
      <w:r>
        <w:t xml:space="preserve">2.2.3.1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427</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20.4</w:t>
            </w:r>
          </w:p>
        </w:tc>
      </w:tr>
      <w:tr>
        <w:tc>
          <w:tcPr/>
          <w:p>
            <w:pPr>
              <w:pStyle w:val="Compact"/>
              <w:jc w:val="left"/>
            </w:pPr>
            <w:r>
              <w:t xml:space="preserve">Homme</w:t>
            </w:r>
          </w:p>
        </w:tc>
        <w:tc>
          <w:tcPr/>
          <w:p>
            <w:pPr>
              <w:pStyle w:val="Compact"/>
              <w:jc w:val="right"/>
            </w:pPr>
            <w:r>
              <w:t xml:space="preserve">340</w:t>
            </w:r>
          </w:p>
        </w:tc>
        <w:tc>
          <w:tcPr/>
          <w:p>
            <w:pPr>
              <w:pStyle w:val="Compact"/>
              <w:jc w:val="right"/>
            </w:pPr>
            <w:r>
              <w:t xml:space="preserve">79.6</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lire et écrire selon le sexe</w:t>
            </w:r>
          </w:p>
        </w:tc>
      </w:tr>
    </w:tbl>
    <w:p>
      <w:pPr>
        <w:pStyle w:val="ImageCaption"/>
      </w:pPr>
      <w:r>
        <w:t xml:space="preserve">Effectifs — CM sachant lire et écrire selon le sexe</w:t>
      </w:r>
    </w:p>
    <w:bookmarkEnd w:id="63"/>
    <w:bookmarkStart w:id="64" w:name="savoir-lire"/>
    <w:p>
      <w:pPr>
        <w:pStyle w:val="Heading4"/>
      </w:pPr>
      <w:r>
        <w:t xml:space="preserve">2.2.3.2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428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20.3</w:t>
            </w:r>
          </w:p>
        </w:tc>
      </w:tr>
      <w:tr>
        <w:tc>
          <w:tcPr/>
          <w:p>
            <w:pPr>
              <w:pStyle w:val="Compact"/>
              <w:jc w:val="left"/>
            </w:pPr>
            <w:r>
              <w:t xml:space="preserve">Homme</w:t>
            </w:r>
          </w:p>
        </w:tc>
        <w:tc>
          <w:tcPr/>
          <w:p>
            <w:pPr>
              <w:pStyle w:val="Compact"/>
              <w:jc w:val="right"/>
            </w:pPr>
            <w:r>
              <w:t xml:space="preserve">341</w:t>
            </w:r>
          </w:p>
        </w:tc>
        <w:tc>
          <w:tcPr/>
          <w:p>
            <w:pPr>
              <w:pStyle w:val="Compact"/>
              <w:jc w:val="right"/>
            </w:pPr>
            <w:r>
              <w:t xml:space="preserve">79.7</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lire selon le sexe</w:t>
            </w:r>
          </w:p>
        </w:tc>
      </w:tr>
    </w:tbl>
    <w:p>
      <w:pPr>
        <w:pStyle w:val="ImageCaption"/>
      </w:pPr>
      <w:r>
        <w:t xml:space="preserve">Effectifs — CM sachant lire selon le sexe</w:t>
      </w:r>
    </w:p>
    <w:bookmarkEnd w:id="64"/>
    <w:bookmarkStart w:id="65" w:name="savoir-écrire"/>
    <w:p>
      <w:pPr>
        <w:pStyle w:val="Heading4"/>
      </w:pPr>
      <w:r>
        <w:t xml:space="preserve">2.2.3.3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428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20.3</w:t>
            </w:r>
          </w:p>
        </w:tc>
      </w:tr>
      <w:tr>
        <w:tc>
          <w:tcPr/>
          <w:p>
            <w:pPr>
              <w:pStyle w:val="Compact"/>
              <w:jc w:val="left"/>
            </w:pPr>
            <w:r>
              <w:t xml:space="preserve">Homme</w:t>
            </w:r>
          </w:p>
        </w:tc>
        <w:tc>
          <w:tcPr/>
          <w:p>
            <w:pPr>
              <w:pStyle w:val="Compact"/>
              <w:jc w:val="right"/>
            </w:pPr>
            <w:r>
              <w:t xml:space="preserve">341</w:t>
            </w:r>
          </w:p>
        </w:tc>
        <w:tc>
          <w:tcPr/>
          <w:p>
            <w:pPr>
              <w:pStyle w:val="Compact"/>
              <w:jc w:val="right"/>
            </w:pPr>
            <w:r>
              <w:t xml:space="preserve">79.7</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écrire selon le sexe</w:t>
            </w:r>
          </w:p>
        </w:tc>
      </w:tr>
    </w:tbl>
    <w:p>
      <w:pPr>
        <w:pStyle w:val="ImageCaption"/>
      </w:pPr>
      <w:r>
        <w:t xml:space="preserve">Effectifs — CM sachant écrire selon le sexe</w:t>
      </w:r>
    </w:p>
    <w:bookmarkEnd w:id="65"/>
    <w:bookmarkEnd w:id="66"/>
    <w:bookmarkStart w:id="68" w:name="Xd28e2db47e64cd6bed940357b8301db0b46a084"/>
    <w:p>
      <w:pPr>
        <w:pStyle w:val="Heading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BodyText"/>
      </w:pPr>
      <w:r>
        <w:t xml:space="preserve">Dans l’Alaotra, l’activité dominante est « Cultivateur exploitant » (60.4 % des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du chef de ménage — Alaotra</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Cultivateur exploitant</w:t>
            </w:r>
          </w:p>
        </w:tc>
        <w:tc>
          <w:tcPr/>
          <w:p>
            <w:pPr>
              <w:pStyle w:val="Compact"/>
              <w:jc w:val="right"/>
            </w:pPr>
            <w:r>
              <w:t xml:space="preserve">305</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45</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33</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31</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28</w:t>
            </w:r>
          </w:p>
        </w:tc>
        <w:tc>
          <w:tcPr/>
          <w:p>
            <w:pPr>
              <w:pStyle w:val="Compact"/>
              <w:jc w:val="right"/>
            </w:pPr>
            <w:r>
              <w:t xml:space="preserve">5.5</w:t>
            </w:r>
          </w:p>
        </w:tc>
      </w:tr>
      <w:tr>
        <w:tc>
          <w:tcPr>
            <w:gridSpan w:val="3"/>
          </w:tcPr>
          <w:p>
            <w:pPr>
              <w:pStyle w:val="Compact"/>
              <w:jc w:val="left"/>
            </w:pPr>
            <w:r>
              <w:rPr>
                <w:b/>
                <w:bCs/>
              </w:rPr>
              <w:t xml:space="preserve">Source : Enquête auprès des OR 2025</w:t>
            </w:r>
          </w:p>
        </w:tc>
      </w:tr>
    </w:tbl>
    <w:p>
      <w:pPr>
        <w:pStyle w:val="BodyText"/>
      </w:pPr>
    </w:p>
    <w:bookmarkStart w:id="67" w:name="activités-principales-des-cm-par-sexe"/>
    <w:p>
      <w:pPr>
        <w:pStyle w:val="Heading4"/>
      </w:pPr>
      <w:r>
        <w:t xml:space="preserve">2.2.4.1 Activités principales des CM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CM par sexe — Alaotra</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Cultivateur exploitant</w:t>
            </w:r>
          </w:p>
        </w:tc>
        <w:tc>
          <w:tcPr/>
          <w:p>
            <w:pPr>
              <w:pStyle w:val="Compact"/>
              <w:jc w:val="right"/>
            </w:pPr>
            <w:r>
              <w:t xml:space="preserve">46</w:t>
            </w:r>
          </w:p>
        </w:tc>
        <w:tc>
          <w:tcPr/>
          <w:p>
            <w:pPr>
              <w:pStyle w:val="Compact"/>
              <w:jc w:val="right"/>
            </w:pPr>
            <w:r>
              <w:t xml:space="preserve">42.2</w:t>
            </w:r>
          </w:p>
        </w:tc>
        <w:tc>
          <w:tcPr/>
          <w:p>
            <w:pPr>
              <w:pStyle w:val="Compact"/>
              <w:jc w:val="right"/>
            </w:pPr>
            <w:r>
              <w:t xml:space="preserve">259</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18</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18</w:t>
            </w:r>
          </w:p>
        </w:tc>
        <w:tc>
          <w:tcPr/>
          <w:p>
            <w:pPr>
              <w:pStyle w:val="Compact"/>
              <w:jc w:val="right"/>
            </w:pPr>
            <w:r>
              <w:t xml:space="preserve">16.5</w:t>
            </w:r>
          </w:p>
        </w:tc>
        <w:tc>
          <w:tcPr/>
          <w:p>
            <w:pPr>
              <w:pStyle w:val="Compact"/>
              <w:jc w:val="right"/>
            </w:pPr>
            <w:r>
              <w:t xml:space="preserve">15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13</w:t>
            </w:r>
          </w:p>
        </w:tc>
        <w:tc>
          <w:tcPr/>
          <w:p>
            <w:pPr>
              <w:pStyle w:val="Compact"/>
              <w:jc w:val="right"/>
            </w:pPr>
            <w:r>
              <w:t xml:space="preserve">11.9</w:t>
            </w:r>
          </w:p>
        </w:tc>
        <w:tc>
          <w:tcPr/>
          <w:p>
            <w:pPr>
              <w:pStyle w:val="Compact"/>
              <w:jc w:val="right"/>
            </w:pPr>
            <w:r>
              <w:t xml:space="preserve">50</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6</w:t>
            </w:r>
          </w:p>
        </w:tc>
        <w:tc>
          <w:tcPr/>
          <w:p>
            <w:pPr>
              <w:pStyle w:val="Compact"/>
              <w:jc w:val="right"/>
            </w:pPr>
            <w:r>
              <w:t xml:space="preserve">5.5</w:t>
            </w:r>
          </w:p>
        </w:tc>
        <w:tc>
          <w:tcPr/>
          <w:p>
            <w:pPr>
              <w:pStyle w:val="Compact"/>
              <w:jc w:val="right"/>
            </w:pPr>
            <w:r>
              <w:t xml:space="preserve">25</w:t>
            </w:r>
          </w:p>
        </w:tc>
        <w:tc>
          <w:tcPr/>
          <w:p>
            <w:pPr>
              <w:pStyle w:val="Compact"/>
              <w:jc w:val="right"/>
            </w:pPr>
            <w:r>
              <w:t xml:space="preserve">6.3</w:t>
            </w:r>
          </w:p>
        </w:tc>
      </w:tr>
      <w:tr>
        <w:tc>
          <w:tcPr>
            <w:gridSpan w:val="5"/>
          </w:tcPr>
          <w:p>
            <w:pPr>
              <w:pStyle w:val="Compact"/>
              <w:jc w:val="left"/>
            </w:pPr>
            <w:r>
              <w:rPr>
                <w:b/>
                <w:bCs/>
              </w:rPr>
              <w:t xml:space="preserve">Source : Enquête auprès des OR 2025</w:t>
            </w:r>
          </w:p>
        </w:tc>
      </w:tr>
    </w:tbl>
    <w:p>
      <w:pPr>
        <w:pStyle w:val="BodyText"/>
      </w:pPr>
    </w:p>
    <w:bookmarkEnd w:id="67"/>
    <w:bookmarkEnd w:id="68"/>
    <w:bookmarkEnd w:id="69"/>
    <w:bookmarkStart w:id="86" w:name="X57f2daed0b4a0ac8c44ae97171a5ac716837489"/>
    <w:p>
      <w:pPr>
        <w:pStyle w:val="Heading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70" w:name="caractéristiques-socio-démographiques-1"/>
    <w:p>
      <w:pPr>
        <w:pStyle w:val="Heading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877 (59.8%)</w:t>
            </w:r>
          </w:p>
        </w:tc>
      </w:tr>
      <w:tr>
        <w:tc>
          <w:tcPr/>
          <w:p>
            <w:pPr>
              <w:pStyle w:val="Compact"/>
              <w:jc w:val="left"/>
            </w:pPr>
            <w:r>
              <w:t xml:space="preserve">Homme</w:t>
            </w:r>
          </w:p>
        </w:tc>
        <w:tc>
          <w:tcPr/>
          <w:p>
            <w:pPr>
              <w:pStyle w:val="Compact"/>
              <w:jc w:val="right"/>
            </w:pPr>
            <w:r>
              <w:t xml:space="preserve">585 (39.9%)</w:t>
            </w:r>
          </w:p>
        </w:tc>
      </w:tr>
      <w:tr>
        <w:tc>
          <w:tcPr/>
          <w:p>
            <w:pPr>
              <w:pStyle w:val="Compact"/>
              <w:jc w:val="left"/>
            </w:pPr>
            <w:r>
              <w:t xml:space="preserve">NA</w:t>
            </w:r>
          </w:p>
        </w:tc>
        <w:tc>
          <w:tcPr/>
          <w:p>
            <w:pPr>
              <w:pStyle w:val="Compact"/>
              <w:jc w:val="right"/>
            </w:pPr>
            <w:r>
              <w:t xml:space="preserve">5 (0.3%)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r>
      <w:tr>
        <w:tc>
          <w:tcPr/>
          <w:p>
            <w:pPr>
              <w:pStyle w:val="Compact"/>
              <w:jc w:val="left"/>
            </w:pPr>
            <w:r>
              <w:t xml:space="preserve">Médiane</w:t>
            </w:r>
          </w:p>
        </w:tc>
        <w:tc>
          <w:tcPr/>
          <w:p>
            <w:pPr>
              <w:pStyle w:val="Compact"/>
              <w:jc w:val="right"/>
            </w:pPr>
            <w:r>
              <w:t xml:space="preserve">15</w:t>
            </w:r>
          </w:p>
        </w:tc>
      </w:tr>
      <w:tr>
        <w:tc>
          <w:tcPr/>
          <w:p>
            <w:pPr>
              <w:pStyle w:val="Compact"/>
              <w:jc w:val="left"/>
            </w:pPr>
            <w:r>
              <w:t xml:space="preserve">Moyenne</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93</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r>
      <w:tr>
        <w:tc>
          <w:tcPr/>
          <w:p>
            <w:pPr>
              <w:pStyle w:val="Compact"/>
              <w:jc w:val="left"/>
            </w:pPr>
            <w:r>
              <w:t xml:space="preserve">Divorcé(e)</w:t>
            </w:r>
          </w:p>
        </w:tc>
        <w:tc>
          <w:tcPr/>
          <w:p>
            <w:pPr>
              <w:pStyle w:val="Compact"/>
              <w:jc w:val="right"/>
            </w:pPr>
            <w:r>
              <w:t xml:space="preserve">5%</w:t>
            </w:r>
          </w:p>
        </w:tc>
      </w:tr>
      <w:tr>
        <w:tc>
          <w:tcPr/>
          <w:p>
            <w:pPr>
              <w:pStyle w:val="Compact"/>
              <w:jc w:val="left"/>
            </w:pPr>
            <w:r>
              <w:t xml:space="preserve">En concubinage</w:t>
            </w:r>
          </w:p>
        </w:tc>
        <w:tc>
          <w:tcPr/>
          <w:p>
            <w:pPr>
              <w:pStyle w:val="Compact"/>
              <w:jc w:val="right"/>
            </w:pPr>
            <w:r>
              <w:t xml:space="preserve">3.4%</w:t>
            </w:r>
          </w:p>
        </w:tc>
      </w:tr>
      <w:tr>
        <w:tc>
          <w:tcPr/>
          <w:p>
            <w:pPr>
              <w:pStyle w:val="Compact"/>
              <w:jc w:val="left"/>
            </w:pPr>
            <w:r>
              <w:t xml:space="preserve">Marié(e) civil / religieux / polygame</w:t>
            </w:r>
          </w:p>
        </w:tc>
        <w:tc>
          <w:tcPr/>
          <w:p>
            <w:pPr>
              <w:pStyle w:val="Compact"/>
              <w:jc w:val="right"/>
            </w:pPr>
            <w:r>
              <w:t xml:space="preserve">14.9%</w:t>
            </w:r>
          </w:p>
        </w:tc>
      </w:tr>
      <w:tr>
        <w:tc>
          <w:tcPr/>
          <w:p>
            <w:pPr>
              <w:pStyle w:val="Compact"/>
              <w:jc w:val="left"/>
            </w:pPr>
            <w:r>
              <w:t xml:space="preserve">Marié(e) selon la tradition</w:t>
            </w:r>
          </w:p>
        </w:tc>
        <w:tc>
          <w:tcPr/>
          <w:p>
            <w:pPr>
              <w:pStyle w:val="Compact"/>
              <w:jc w:val="right"/>
            </w:pPr>
            <w:r>
              <w:t xml:space="preserve">36.6%</w:t>
            </w:r>
          </w:p>
        </w:tc>
      </w:tr>
      <w:tr>
        <w:tc>
          <w:tcPr/>
          <w:p>
            <w:pPr>
              <w:pStyle w:val="Compact"/>
              <w:jc w:val="left"/>
            </w:pPr>
            <w:r>
              <w:t xml:space="preserve">Veuf(ve)</w:t>
            </w:r>
          </w:p>
        </w:tc>
        <w:tc>
          <w:tcPr/>
          <w:p>
            <w:pPr>
              <w:pStyle w:val="Compact"/>
              <w:jc w:val="right"/>
            </w:pPr>
            <w:r>
              <w:t xml:space="preserve">2%</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0"/>
    <w:bookmarkStart w:id="77" w:name="éducation-et-scolarisation"/>
    <w:p>
      <w:pPr>
        <w:pStyle w:val="Heading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71" w:name="niveau-déducation-des-autres-membres"/>
    <w:p>
      <w:pPr>
        <w:pStyle w:val="Heading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356 (24.3%)</w:t>
            </w:r>
          </w:p>
        </w:tc>
      </w:tr>
      <w:tr>
        <w:tc>
          <w:tcPr/>
          <w:p>
            <w:pPr>
              <w:pStyle w:val="Compact"/>
              <w:jc w:val="left"/>
            </w:pPr>
            <w:r>
              <w:t xml:space="preserve">Primaire</w:t>
            </w:r>
          </w:p>
        </w:tc>
        <w:tc>
          <w:tcPr/>
          <w:p>
            <w:pPr>
              <w:pStyle w:val="Compact"/>
              <w:jc w:val="right"/>
            </w:pPr>
            <w:r>
              <w:t xml:space="preserve">677 (46.1%)</w:t>
            </w:r>
          </w:p>
        </w:tc>
      </w:tr>
      <w:tr>
        <w:tc>
          <w:tcPr/>
          <w:p>
            <w:pPr>
              <w:pStyle w:val="Compact"/>
              <w:jc w:val="left"/>
            </w:pPr>
            <w:r>
              <w:t xml:space="preserve">Secondaire 1er cycle</w:t>
            </w:r>
          </w:p>
        </w:tc>
        <w:tc>
          <w:tcPr/>
          <w:p>
            <w:pPr>
              <w:pStyle w:val="Compact"/>
              <w:jc w:val="right"/>
            </w:pPr>
            <w:r>
              <w:t xml:space="preserve">285 (19.4%)</w:t>
            </w:r>
          </w:p>
        </w:tc>
      </w:tr>
      <w:tr>
        <w:tc>
          <w:tcPr/>
          <w:p>
            <w:pPr>
              <w:pStyle w:val="Compact"/>
              <w:jc w:val="left"/>
            </w:pPr>
            <w:r>
              <w:t xml:space="preserve">Secondaire 2ème cycle &amp; sup.</w:t>
            </w:r>
          </w:p>
        </w:tc>
        <w:tc>
          <w:tcPr/>
          <w:p>
            <w:pPr>
              <w:pStyle w:val="Compact"/>
              <w:jc w:val="right"/>
            </w:pPr>
            <w:r>
              <w:t xml:space="preserve">149 (10.2%)</w:t>
            </w:r>
          </w:p>
        </w:tc>
      </w:tr>
      <w:tr>
        <w:tc>
          <w:tcPr>
            <w:gridSpan w:val="2"/>
          </w:tcPr>
          <w:p>
            <w:pPr>
              <w:pStyle w:val="Compact"/>
              <w:jc w:val="left"/>
            </w:pPr>
            <w:r>
              <w:rPr>
                <w:b/>
                <w:bCs/>
              </w:rPr>
              <w:t xml:space="preserve">Source : Enquête auprès des OR 2025</w:t>
            </w:r>
          </w:p>
        </w:tc>
      </w:tr>
    </w:tbl>
    <w:bookmarkEnd w:id="71"/>
    <w:bookmarkStart w:id="72" w:name="X5230d9ccd8aefad0269f3712b7f434c0dfba0a8"/>
    <w:p>
      <w:pPr>
        <w:pStyle w:val="Heading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174 (29.7%)</w:t>
            </w:r>
          </w:p>
        </w:tc>
        <w:tc>
          <w:tcPr/>
          <w:p>
            <w:pPr>
              <w:pStyle w:val="Compact"/>
              <w:jc w:val="right"/>
            </w:pPr>
            <w:r>
              <w:t xml:space="preserve">180 (20.5%)</w:t>
            </w:r>
          </w:p>
        </w:tc>
      </w:tr>
      <w:tr>
        <w:tc>
          <w:tcPr/>
          <w:p>
            <w:pPr>
              <w:pStyle w:val="Compact"/>
              <w:jc w:val="left"/>
            </w:pPr>
            <w:r>
              <w:t xml:space="preserve">Primaire</w:t>
            </w:r>
          </w:p>
        </w:tc>
        <w:tc>
          <w:tcPr/>
          <w:p>
            <w:pPr>
              <w:pStyle w:val="Compact"/>
              <w:jc w:val="right"/>
            </w:pPr>
            <w:r>
              <w:t xml:space="preserve">267 (45.6%)</w:t>
            </w:r>
          </w:p>
        </w:tc>
        <w:tc>
          <w:tcPr/>
          <w:p>
            <w:pPr>
              <w:pStyle w:val="Compact"/>
              <w:jc w:val="right"/>
            </w:pPr>
            <w:r>
              <w:t xml:space="preserve">407 (46.4%)</w:t>
            </w:r>
          </w:p>
        </w:tc>
      </w:tr>
      <w:tr>
        <w:tc>
          <w:tcPr/>
          <w:p>
            <w:pPr>
              <w:pStyle w:val="Compact"/>
              <w:jc w:val="left"/>
            </w:pPr>
            <w:r>
              <w:t xml:space="preserve">Secondaire 1er cycle</w:t>
            </w:r>
          </w:p>
        </w:tc>
        <w:tc>
          <w:tcPr/>
          <w:p>
            <w:pPr>
              <w:pStyle w:val="Compact"/>
              <w:jc w:val="right"/>
            </w:pPr>
            <w:r>
              <w:t xml:space="preserve">90 (15.4%)</w:t>
            </w:r>
          </w:p>
        </w:tc>
        <w:tc>
          <w:tcPr/>
          <w:p>
            <w:pPr>
              <w:pStyle w:val="Compact"/>
              <w:jc w:val="right"/>
            </w:pPr>
            <w:r>
              <w:t xml:space="preserve">195 (22.2%)</w:t>
            </w:r>
          </w:p>
        </w:tc>
      </w:tr>
      <w:tr>
        <w:tc>
          <w:tcPr/>
          <w:p>
            <w:pPr>
              <w:pStyle w:val="Compact"/>
              <w:jc w:val="left"/>
            </w:pPr>
            <w:r>
              <w:t xml:space="preserve">Secondaire 2ème cycle &amp; sup.</w:t>
            </w:r>
          </w:p>
        </w:tc>
        <w:tc>
          <w:tcPr/>
          <w:p>
            <w:pPr>
              <w:pStyle w:val="Compact"/>
              <w:jc w:val="right"/>
            </w:pPr>
            <w:r>
              <w:t xml:space="preserve">54 (9.2%)</w:t>
            </w:r>
          </w:p>
        </w:tc>
        <w:tc>
          <w:tcPr/>
          <w:p>
            <w:pPr>
              <w:pStyle w:val="Compact"/>
              <w:jc w:val="right"/>
            </w:pPr>
            <w:r>
              <w:t xml:space="preserve">95 (10.8%)</w:t>
            </w:r>
          </w:p>
        </w:tc>
      </w:tr>
      <w:tr>
        <w:tc>
          <w:tcPr>
            <w:gridSpan w:val="3"/>
          </w:tcPr>
          <w:p>
            <w:pPr>
              <w:pStyle w:val="Compact"/>
              <w:jc w:val="left"/>
            </w:pPr>
            <w:r>
              <w:rPr>
                <w:b/>
                <w:bCs/>
              </w:rPr>
              <w:t xml:space="preserve">Source : Enquête auprès des OR 2025</w:t>
            </w:r>
          </w:p>
        </w:tc>
      </w:tr>
    </w:tbl>
    <w:bookmarkEnd w:id="72"/>
    <w:bookmarkStart w:id="76" w:name="alphabétisation-des-autres-membres"/>
    <w:p>
      <w:pPr>
        <w:pStyle w:val="Heading4"/>
      </w:pPr>
      <w:r>
        <w:t xml:space="preserve">2.3.2.3 Alphabétisation des autres membres</w:t>
      </w:r>
    </w:p>
    <w:bookmarkStart w:id="73" w:name="savoir-lire-et-écrire-1"/>
    <w:p>
      <w:pPr>
        <w:pStyle w:val="Heading5"/>
      </w:pPr>
      <w:r>
        <w:t xml:space="preserve">2.3.2.3.1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965</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617</w:t>
            </w:r>
          </w:p>
        </w:tc>
        <w:tc>
          <w:tcPr/>
          <w:p>
            <w:pPr>
              <w:pStyle w:val="Compact"/>
              <w:jc w:val="right"/>
            </w:pPr>
            <w:r>
              <w:t xml:space="preserve">64.1</w:t>
            </w:r>
          </w:p>
        </w:tc>
      </w:tr>
      <w:tr>
        <w:tc>
          <w:tcPr/>
          <w:p>
            <w:pPr>
              <w:pStyle w:val="Compact"/>
              <w:jc w:val="left"/>
            </w:pPr>
            <w:r>
              <w:t xml:space="preserve">Homme</w:t>
            </w:r>
          </w:p>
        </w:tc>
        <w:tc>
          <w:tcPr/>
          <w:p>
            <w:pPr>
              <w:pStyle w:val="Compact"/>
              <w:jc w:val="right"/>
            </w:pPr>
            <w:r>
              <w:t xml:space="preserve">345</w:t>
            </w:r>
          </w:p>
        </w:tc>
        <w:tc>
          <w:tcPr/>
          <w:p>
            <w:pPr>
              <w:pStyle w:val="Compact"/>
              <w:jc w:val="right"/>
            </w:pPr>
            <w:r>
              <w:t xml:space="preserve">35.9</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lire et écrire selon le sexe</w:t>
            </w:r>
          </w:p>
        </w:tc>
      </w:tr>
    </w:tbl>
    <w:p>
      <w:pPr>
        <w:pStyle w:val="ImageCaption"/>
      </w:pPr>
      <w:r>
        <w:t xml:space="preserve">Effectifs — Autres membres sachant lire et écrire selon le sexe</w:t>
      </w:r>
    </w:p>
    <w:bookmarkEnd w:id="73"/>
    <w:bookmarkStart w:id="74" w:name="savoir-lire-1"/>
    <w:p>
      <w:pPr>
        <w:pStyle w:val="Heading5"/>
      </w:pPr>
      <w:r>
        <w:t xml:space="preserve">2.3.2.3.2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971</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620</w:t>
            </w:r>
          </w:p>
        </w:tc>
        <w:tc>
          <w:tcPr/>
          <w:p>
            <w:pPr>
              <w:pStyle w:val="Compact"/>
              <w:jc w:val="right"/>
            </w:pPr>
            <w:r>
              <w:t xml:space="preserve">64.0</w:t>
            </w:r>
          </w:p>
        </w:tc>
      </w:tr>
      <w:tr>
        <w:tc>
          <w:tcPr/>
          <w:p>
            <w:pPr>
              <w:pStyle w:val="Compact"/>
              <w:jc w:val="left"/>
            </w:pPr>
            <w:r>
              <w:t xml:space="preserve">Homme</w:t>
            </w:r>
          </w:p>
        </w:tc>
        <w:tc>
          <w:tcPr/>
          <w:p>
            <w:pPr>
              <w:pStyle w:val="Compact"/>
              <w:jc w:val="right"/>
            </w:pPr>
            <w:r>
              <w:t xml:space="preserve">348</w:t>
            </w:r>
          </w:p>
        </w:tc>
        <w:tc>
          <w:tcPr/>
          <w:p>
            <w:pPr>
              <w:pStyle w:val="Compact"/>
              <w:jc w:val="right"/>
            </w:pPr>
            <w:r>
              <w:t xml:space="preserve">36.0</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lire selon le sexe</w:t>
            </w:r>
          </w:p>
        </w:tc>
      </w:tr>
    </w:tbl>
    <w:p>
      <w:pPr>
        <w:pStyle w:val="ImageCaption"/>
      </w:pPr>
      <w:r>
        <w:t xml:space="preserve">Effectifs — Autres membres sachant lire selon le sexe</w:t>
      </w:r>
    </w:p>
    <w:bookmarkEnd w:id="74"/>
    <w:bookmarkStart w:id="75" w:name="savoir-écrire-1"/>
    <w:p>
      <w:pPr>
        <w:pStyle w:val="Heading5"/>
      </w:pPr>
      <w:r>
        <w:t xml:space="preserve">2.3.2.3.3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969</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Femme</w:t>
            </w:r>
          </w:p>
        </w:tc>
        <w:tc>
          <w:tcPr/>
          <w:p>
            <w:pPr>
              <w:pStyle w:val="Compact"/>
              <w:jc w:val="right"/>
            </w:pPr>
            <w:r>
              <w:t xml:space="preserve">619</w:t>
            </w:r>
          </w:p>
        </w:tc>
        <w:tc>
          <w:tcPr/>
          <w:p>
            <w:pPr>
              <w:pStyle w:val="Compact"/>
              <w:jc w:val="right"/>
            </w:pPr>
            <w:r>
              <w:t xml:space="preserve">64.1</w:t>
            </w:r>
          </w:p>
        </w:tc>
      </w:tr>
      <w:tr>
        <w:tc>
          <w:tcPr/>
          <w:p>
            <w:pPr>
              <w:pStyle w:val="Compact"/>
              <w:jc w:val="left"/>
            </w:pPr>
            <w:r>
              <w:t xml:space="preserve">Homme</w:t>
            </w:r>
          </w:p>
        </w:tc>
        <w:tc>
          <w:tcPr/>
          <w:p>
            <w:pPr>
              <w:pStyle w:val="Compact"/>
              <w:jc w:val="right"/>
            </w:pPr>
            <w:r>
              <w:t xml:space="preserve">347</w:t>
            </w:r>
          </w:p>
        </w:tc>
        <w:tc>
          <w:tcPr/>
          <w:p>
            <w:pPr>
              <w:pStyle w:val="Compact"/>
              <w:jc w:val="right"/>
            </w:pPr>
            <w:r>
              <w:t xml:space="preserve">35.9</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écrire selon le sexe</w:t>
            </w:r>
          </w:p>
        </w:tc>
      </w:tr>
    </w:tbl>
    <w:p>
      <w:pPr>
        <w:pStyle w:val="ImageCaption"/>
      </w:pPr>
      <w:r>
        <w:t xml:space="preserve">Effectifs — Autres membres sachant écrire selon le sexe</w:t>
      </w:r>
    </w:p>
    <w:bookmarkEnd w:id="75"/>
    <w:bookmarkEnd w:id="76"/>
    <w:bookmarkEnd w:id="77"/>
    <w:bookmarkStart w:id="83" w:name="scolarisation"/>
    <w:p>
      <w:pPr>
        <w:pStyle w:val="Heading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BodyText"/>
      </w:pPr>
      <w:r>
        <w:t xml:space="preserve">Dans l’Alaotra, le taux de scolarisation s’élève à 93.7 %.</w:t>
      </w:r>
    </w:p>
    <w:bookmarkStart w:id="78" w:name="X6d9aa1dd44c1ac9e432add0b434b8dafb589d26"/>
    <w:p>
      <w:pPr>
        <w:pStyle w:val="Heading4"/>
      </w:pPr>
      <w:r>
        <w:t xml:space="preserve">2.3.3.1 Taux de scolarisation des enfants de 6 à 14 ans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Taux de scolarisation des enfants de 6 à 14 ans</w:t>
            </w:r>
          </w:p>
        </w:tc>
      </w:tr>
      <w:tr>
        <w:trPr>
          <w:tblHeader w:val="on"/>
        </w:trPr>
        <w:tc>
          <w:tcPr/>
          <w:p>
            <w:pPr>
              <w:pStyle w:val="Compact"/>
              <w:jc w:val="left"/>
            </w:pPr>
            <w:r>
              <w:t xml:space="preserve">Observatoire</w:t>
            </w:r>
          </w:p>
        </w:tc>
        <w:tc>
          <w:tcPr/>
          <w:p>
            <w:pPr>
              <w:pStyle w:val="Compact"/>
              <w:jc w:val="right"/>
            </w:pPr>
            <w:r>
              <w:t xml:space="preserve">Non scolarisés (N)</w:t>
            </w:r>
          </w:p>
        </w:tc>
        <w:tc>
          <w:tcPr/>
          <w:p>
            <w:pPr>
              <w:pStyle w:val="Compact"/>
              <w:jc w:val="right"/>
            </w:pPr>
            <w:r>
              <w:t xml:space="preserve">Scolarisés (N)</w:t>
            </w:r>
          </w:p>
        </w:tc>
        <w:tc>
          <w:tcPr/>
          <w:p>
            <w:pPr>
              <w:pStyle w:val="Compact"/>
              <w:jc w:val="right"/>
            </w:pPr>
            <w:r>
              <w:t xml:space="preserve">Non scolarisés (%)</w:t>
            </w:r>
          </w:p>
        </w:tc>
        <w:tc>
          <w:tcPr/>
          <w:p>
            <w:pPr>
              <w:pStyle w:val="Compact"/>
              <w:jc w:val="right"/>
            </w:pPr>
            <w:r>
              <w:t xml:space="preserve">Scolarisés (%)</w:t>
            </w:r>
          </w:p>
        </w:tc>
      </w:tr>
      <w:tr>
        <w:tc>
          <w:tcPr/>
          <w:p>
            <w:pPr>
              <w:pStyle w:val="Compact"/>
              <w:jc w:val="left"/>
            </w:pPr>
            <w:r>
              <w:t xml:space="preserve">Alaotra</w:t>
            </w:r>
          </w:p>
        </w:tc>
        <w:tc>
          <w:tcPr/>
          <w:p>
            <w:pPr>
              <w:pStyle w:val="Compact"/>
              <w:jc w:val="right"/>
            </w:pPr>
            <w:r>
              <w:t xml:space="preserve">26</w:t>
            </w:r>
          </w:p>
        </w:tc>
        <w:tc>
          <w:tcPr/>
          <w:p>
            <w:pPr>
              <w:pStyle w:val="Compact"/>
              <w:jc w:val="right"/>
            </w:pPr>
            <w:r>
              <w:t xml:space="preserve">387</w:t>
            </w:r>
          </w:p>
        </w:tc>
        <w:tc>
          <w:tcPr/>
          <w:p>
            <w:pPr>
              <w:pStyle w:val="Compact"/>
              <w:jc w:val="right"/>
            </w:pPr>
            <w:r>
              <w:t xml:space="preserve">6.3</w:t>
            </w:r>
          </w:p>
        </w:tc>
        <w:tc>
          <w:tcPr/>
          <w:p>
            <w:pPr>
              <w:pStyle w:val="Compact"/>
              <w:jc w:val="right"/>
            </w:pPr>
            <w:r>
              <w:t xml:space="preserve">93.7</w:t>
            </w:r>
          </w:p>
        </w:tc>
      </w:tr>
      <w:tr>
        <w:tc>
          <w:tcPr>
            <w:gridSpan w:val="5"/>
          </w:tcPr>
          <w:p>
            <w:pPr>
              <w:pStyle w:val="Compact"/>
              <w:jc w:val="left"/>
            </w:pPr>
            <w:r>
              <w:rPr>
                <w:b/>
                <w:bCs/>
              </w:rPr>
              <w:t xml:space="preserve">Source : Enquête auprès des OR 2025</w:t>
            </w:r>
          </w:p>
        </w:tc>
      </w:tr>
    </w:tbl>
    <w:bookmarkEnd w:id="78"/>
    <w:bookmarkStart w:id="79" w:name="classe-suivie-2024-2025"/>
    <w:p>
      <w:pPr>
        <w:pStyle w:val="Heading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rPr>
                <w:b/>
                <w:bCs/>
              </w:rPr>
              <w:t xml:space="preserve">Source : Enquête auprès des OR 2025</w:t>
            </w:r>
          </w:p>
        </w:tc>
      </w:tr>
    </w:tbl>
    <w:bookmarkEnd w:id="79"/>
    <w:bookmarkStart w:id="82" w:name="Xe1cead9d2afb94967e0a6d7bde7feca3037673d"/>
    <w:p>
      <w:pPr>
        <w:pStyle w:val="Heading4"/>
      </w:pPr>
      <w:r>
        <w:t xml:space="preserve">2.3.3.3 Raisons de non fréquentation de l’école pour les 6 à 15 ans</w:t>
      </w:r>
    </w:p>
    <w:p>
      <w:pPr>
        <w:pStyle w:val="FirstParagraph"/>
      </w:pPr>
      <w:r>
        <w:t xml:space="preserve">La</w:t>
      </w:r>
      <w:r>
        <w:t xml:space="preserve"> </w:t>
      </w:r>
      <w:hyperlink w:anchor="fig-raisons-non-scol">
        <w:r>
          <w:rPr>
            <w:rStyle w:val="Hyperlink"/>
          </w:rPr>
          <w:t xml:space="preserve">Figure 2.1</w:t>
        </w:r>
      </w:hyperlink>
      <w:r>
        <w:t xml:space="preserve"> </w:t>
      </w:r>
      <w:r>
        <w:t xml:space="preserve">et le</w:t>
      </w:r>
      <w:r>
        <w:t xml:space="preserve"> </w:t>
      </w:r>
      <w:hyperlink w:anchor="tbl-raisons-non-scol">
        <w:r>
          <w:rPr>
            <w:rStyle w:val="Hyperlink"/>
          </w:rPr>
          <w:t xml:space="preserve">Table 2.2</w:t>
        </w:r>
      </w:hyperlink>
      <w:r>
        <w:t xml:space="preserve"> </w:t>
      </w:r>
      <w:r>
        <w:t xml:space="preserve">détaillent l’ensemble des motifs de non-scolarisation cités.</w:t>
      </w:r>
    </w:p>
    <w:p>
      <w:pPr>
        <w:pStyle w:val="BodyText"/>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80" w:name="fig-raisons-non-scol"/>
          <w:p>
            <w:pPr>
              <w:pStyle w:val="Compact"/>
              <w:jc w:val="center"/>
            </w:pPr>
          </w:p>
          <w:p>
            <w:pPr>
              <w:jc w:val="center"/>
            </w:pPr>
            <w:pPr>
              <w:jc w:val="left"/>
              <w:spacing w:before="200"/>
              <w:pStyle w:val="ImageCaption"/>
            </w:pPr>
            <w:r>
              <w:t xml:space="preserve">Figure 2.1: Principales raisons de non-scolarisation ou d’arrêt des études (6-15 ans)</w:t>
            </w:r>
          </w:p>
          <w:bookmarkEnd w:id="80"/>
        </w:tc>
      </w:tr>
    </w:tbl>
    <w:tbl>
      <w:tblPr>
        <w:tblStyle w:val="Table"/>
        <w:tblW w:type="pct" w:w="5000"/>
        <w:tblLayout w:type="fixed"/>
        <w:tblLook w:firstRow="0" w:lastRow="0" w:firstColumn="0" w:lastColumn="0" w:noHBand="0" w:noVBand="0" w:val="0000"/>
      </w:tblPr>
      <w:tblGrid>
        <w:gridCol w:w="7920"/>
      </w:tblGrid>
      <w:tr>
        <w:tc>
          <w:tcPr/>
          <w:bookmarkStart w:id="81"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r>
            <w:tr>
              <w:tc>
                <w:tcPr/>
                <w:p>
                  <w:pPr>
                    <w:pStyle w:val="Compact"/>
                    <w:jc w:val="left"/>
                    <w:jc w:val="center"/>
                  </w:pPr>
                  <w:r>
                    <w:t xml:space="preserve">Autre raison</w:t>
                  </w:r>
                </w:p>
              </w:tc>
              <w:tc>
                <w:tcPr/>
                <w:p>
                  <w:pPr>
                    <w:pStyle w:val="Compact"/>
                    <w:jc w:val="right"/>
                    <w:jc w:val="center"/>
                  </w:pPr>
                  <w:r>
                    <w:t xml:space="preserve">33.3</w:t>
                  </w:r>
                </w:p>
              </w:tc>
            </w:tr>
            <w:tr>
              <w:tc>
                <w:tcPr/>
                <w:p>
                  <w:pPr>
                    <w:pStyle w:val="Compact"/>
                    <w:jc w:val="left"/>
                    <w:jc w:val="center"/>
                  </w:pPr>
                  <w:r>
                    <w:t xml:space="preserve">Trop jeune</w:t>
                  </w:r>
                </w:p>
              </w:tc>
              <w:tc>
                <w:tcPr/>
                <w:p>
                  <w:pPr>
                    <w:pStyle w:val="Compact"/>
                    <w:jc w:val="right"/>
                    <w:jc w:val="center"/>
                  </w:pPr>
                  <w:r>
                    <w:t xml:space="preserve">33.3</w:t>
                  </w:r>
                </w:p>
              </w:tc>
            </w:tr>
            <w:tr>
              <w:tc>
                <w:tcPr/>
                <w:p>
                  <w:pPr>
                    <w:pStyle w:val="Compact"/>
                    <w:jc w:val="left"/>
                    <w:jc w:val="center"/>
                  </w:pPr>
                  <w:r>
                    <w:t xml:space="preserve">Famine</w:t>
                  </w:r>
                </w:p>
              </w:tc>
              <w:tc>
                <w:tcPr/>
                <w:p>
                  <w:pPr>
                    <w:pStyle w:val="Compact"/>
                    <w:jc w:val="right"/>
                    <w:jc w:val="center"/>
                  </w:pPr>
                  <w:r>
                    <w:t xml:space="preserve">8.3</w:t>
                  </w:r>
                </w:p>
              </w:tc>
            </w:tr>
            <w:tr>
              <w:tc>
                <w:tcPr/>
                <w:p>
                  <w:pPr>
                    <w:pStyle w:val="Compact"/>
                    <w:jc w:val="left"/>
                    <w:jc w:val="center"/>
                  </w:pPr>
                  <w:r>
                    <w:t xml:space="preserve">Handicap / maladie</w:t>
                  </w:r>
                </w:p>
              </w:tc>
              <w:tc>
                <w:tcPr/>
                <w:p>
                  <w:pPr>
                    <w:pStyle w:val="Compact"/>
                    <w:jc w:val="right"/>
                    <w:jc w:val="center"/>
                  </w:pPr>
                  <w:r>
                    <w:t xml:space="preserve">8.3</w:t>
                  </w:r>
                </w:p>
              </w:tc>
            </w:tr>
            <w:tr>
              <w:tc>
                <w:tcPr/>
                <w:p>
                  <w:pPr>
                    <w:pStyle w:val="Compact"/>
                    <w:jc w:val="left"/>
                    <w:jc w:val="center"/>
                  </w:pPr>
                  <w:r>
                    <w:t xml:space="preserve">Besoin revenu</w:t>
                  </w:r>
                </w:p>
              </w:tc>
              <w:tc>
                <w:tcPr/>
                <w:p>
                  <w:pPr>
                    <w:pStyle w:val="Compact"/>
                    <w:jc w:val="right"/>
                    <w:jc w:val="center"/>
                  </w:pPr>
                  <w:r>
                    <w:t xml:space="preserve">4.2</w:t>
                  </w:r>
                </w:p>
              </w:tc>
            </w:tr>
            <w:tr>
              <w:tc>
                <w:tcPr/>
                <w:p>
                  <w:pPr>
                    <w:pStyle w:val="Compact"/>
                    <w:jc w:val="left"/>
                    <w:jc w:val="center"/>
                  </w:pPr>
                  <w:r>
                    <w:t xml:space="preserve">Main-d'oeuvre exploitation</w:t>
                  </w:r>
                </w:p>
              </w:tc>
              <w:tc>
                <w:tcPr/>
                <w:p>
                  <w:pPr>
                    <w:pStyle w:val="Compact"/>
                    <w:jc w:val="right"/>
                    <w:jc w:val="center"/>
                  </w:pPr>
                  <w:r>
                    <w:t xml:space="preserve">4.2</w:t>
                  </w:r>
                </w:p>
              </w:tc>
            </w:tr>
            <w:tr>
              <w:tc>
                <w:tcPr/>
                <w:p>
                  <w:pPr>
                    <w:pStyle w:val="Compact"/>
                    <w:jc w:val="left"/>
                    <w:jc w:val="center"/>
                  </w:pPr>
                  <w:r>
                    <w:t xml:space="preserve">Sans intérêt (famille)</w:t>
                  </w:r>
                </w:p>
              </w:tc>
              <w:tc>
                <w:tcPr/>
                <w:p>
                  <w:pPr>
                    <w:pStyle w:val="Compact"/>
                    <w:jc w:val="right"/>
                    <w:jc w:val="center"/>
                  </w:pPr>
                  <w:r>
                    <w:t xml:space="preserve">4.2</w:t>
                  </w:r>
                </w:p>
              </w:tc>
            </w:tr>
            <w:tr>
              <w:tc>
                <w:tcPr/>
                <w:p>
                  <w:pPr>
                    <w:pStyle w:val="Compact"/>
                    <w:jc w:val="left"/>
                    <w:jc w:val="center"/>
                  </w:pPr>
                  <w:r>
                    <w:t xml:space="preserve">École trop éloignée</w:t>
                  </w:r>
                </w:p>
              </w:tc>
              <w:tc>
                <w:tcPr/>
                <w:p>
                  <w:pPr>
                    <w:pStyle w:val="Compact"/>
                    <w:jc w:val="right"/>
                    <w:jc w:val="center"/>
                  </w:pPr>
                  <w:r>
                    <w:t xml:space="preserve">4.2</w:t>
                  </w:r>
                </w:p>
              </w:tc>
            </w:tr>
          </w:tbl>
          <w:bookmarkEnd w:id="81"/>
          <w:p/>
        </w:tc>
      </w:tr>
    </w:tbl>
    <w:bookmarkEnd w:id="82"/>
    <w:bookmarkEnd w:id="83"/>
    <w:bookmarkStart w:id="85" w:name="Xe10b0f911d4aea72fedebcae4fa3fbee9ebe092"/>
    <w:p>
      <w:pPr>
        <w:pStyle w:val="Heading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 Alaotra</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p>
            <w:pPr>
              <w:pStyle w:val="Compact"/>
              <w:jc w:val="left"/>
            </w:pPr>
            <w:r>
              <w:t xml:space="preserve">Cultivateur exploitant</w:t>
            </w:r>
          </w:p>
        </w:tc>
        <w:tc>
          <w:tcPr/>
          <w:p>
            <w:pPr>
              <w:pStyle w:val="Compact"/>
              <w:jc w:val="right"/>
            </w:pPr>
            <w:r>
              <w:t xml:space="preserve">391</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84</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76</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51</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35</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29</w:t>
            </w:r>
          </w:p>
        </w:tc>
        <w:tc>
          <w:tcPr/>
          <w:p>
            <w:pPr>
              <w:pStyle w:val="Compact"/>
              <w:jc w:val="right"/>
            </w:pPr>
            <w:r>
              <w:t xml:space="preserve">3.9</w:t>
            </w:r>
          </w:p>
        </w:tc>
      </w:tr>
      <w:tr>
        <w:tc>
          <w:tcPr>
            <w:gridSpan w:val="3"/>
          </w:tcPr>
          <w:p>
            <w:pPr>
              <w:pStyle w:val="Compact"/>
              <w:jc w:val="left"/>
            </w:pPr>
            <w:r>
              <w:rPr>
                <w:b/>
                <w:bCs/>
              </w:rPr>
              <w:t xml:space="preserve">Source : Enquête auprès des OR 2025</w:t>
            </w:r>
          </w:p>
        </w:tc>
      </w:tr>
    </w:tbl>
    <w:p>
      <w:pPr>
        <w:pStyle w:val="BodyText"/>
      </w:pPr>
    </w:p>
    <w:bookmarkStart w:id="84" w:name="X46ff1d61f791f42f47b783b920cfc68895dbbf2"/>
    <w:p>
      <w:pPr>
        <w:pStyle w:val="Heading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autres membres par sexe — Alaotra</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Cultivateur exploitant</w:t>
            </w:r>
          </w:p>
        </w:tc>
        <w:tc>
          <w:tcPr/>
          <w:p>
            <w:pPr>
              <w:pStyle w:val="Compact"/>
              <w:jc w:val="right"/>
            </w:pPr>
            <w:r>
              <w:t xml:space="preserve">289</w:t>
            </w:r>
          </w:p>
        </w:tc>
        <w:tc>
          <w:tcPr/>
          <w:p>
            <w:pPr>
              <w:pStyle w:val="Compact"/>
              <w:jc w:val="right"/>
            </w:pPr>
            <w:r>
              <w:t xml:space="preserve">54.9</w:t>
            </w:r>
          </w:p>
        </w:tc>
        <w:tc>
          <w:tcPr/>
          <w:p>
            <w:pPr>
              <w:pStyle w:val="Compact"/>
              <w:jc w:val="right"/>
            </w:pPr>
            <w:r>
              <w:t xml:space="preserve">101</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71</w:t>
            </w:r>
          </w:p>
        </w:tc>
        <w:tc>
          <w:tcPr/>
          <w:p>
            <w:pPr>
              <w:pStyle w:val="Compact"/>
              <w:jc w:val="right"/>
            </w:pPr>
            <w:r>
              <w:t xml:space="preserve">13.5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57</w:t>
            </w:r>
          </w:p>
        </w:tc>
        <w:tc>
          <w:tcPr/>
          <w:p>
            <w:pPr>
              <w:pStyle w:val="Compact"/>
              <w:jc w:val="right"/>
            </w:pPr>
            <w:r>
              <w:t xml:space="preserve">10.8</w:t>
            </w:r>
          </w:p>
        </w:tc>
        <w:tc>
          <w:tcPr/>
          <w:p>
            <w:pPr>
              <w:pStyle w:val="Compact"/>
              <w:jc w:val="right"/>
            </w:pPr>
            <w:r>
              <w:t xml:space="preserve">19</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46</w:t>
            </w:r>
          </w:p>
        </w:tc>
        <w:tc>
          <w:tcPr/>
          <w:p>
            <w:pPr>
              <w:pStyle w:val="Compact"/>
              <w:jc w:val="right"/>
            </w:pPr>
            <w:r>
              <w:t xml:space="preserve">8.7</w:t>
            </w:r>
          </w:p>
        </w:tc>
        <w:tc>
          <w:tcPr/>
          <w:p>
            <w:pPr>
              <w:pStyle w:val="Compact"/>
              <w:jc w:val="right"/>
            </w:pPr>
            <w:r>
              <w:t xml:space="preserve">38</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25</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19</w:t>
            </w:r>
          </w:p>
        </w:tc>
        <w:tc>
          <w:tcPr/>
          <w:p>
            <w:pPr>
              <w:pStyle w:val="Compact"/>
              <w:jc w:val="right"/>
            </w:pPr>
            <w:r>
              <w:t xml:space="preserve">3.6</w:t>
            </w:r>
          </w:p>
        </w:tc>
        <w:tc>
          <w:tcPr/>
          <w:p>
            <w:pPr>
              <w:pStyle w:val="Compact"/>
              <w:jc w:val="right"/>
            </w:pPr>
            <w:r>
              <w:t xml:space="preserve">16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18</w:t>
            </w:r>
          </w:p>
        </w:tc>
        <w:tc>
          <w:tcPr/>
          <w:p>
            <w:pPr>
              <w:pStyle w:val="Compact"/>
              <w:jc w:val="right"/>
            </w:pPr>
            <w:r>
              <w:t xml:space="preserve">3.4</w:t>
            </w:r>
          </w:p>
        </w:tc>
        <w:tc>
          <w:tcPr/>
          <w:p>
            <w:pPr>
              <w:pStyle w:val="Compact"/>
              <w:jc w:val="right"/>
            </w:pPr>
            <w:r>
              <w:t xml:space="preserve">11</w:t>
            </w:r>
          </w:p>
        </w:tc>
        <w:tc>
          <w:tcPr/>
          <w:p>
            <w:pPr>
              <w:pStyle w:val="Compact"/>
              <w:jc w:val="right"/>
            </w:pPr>
            <w:r>
              <w:t xml:space="preserve">5.2</w:t>
            </w:r>
          </w:p>
        </w:tc>
      </w:tr>
      <w:tr>
        <w:tc>
          <w:tcPr>
            <w:gridSpan w:val="5"/>
          </w:tcPr>
          <w:p>
            <w:pPr>
              <w:pStyle w:val="Compact"/>
              <w:jc w:val="left"/>
            </w:pPr>
            <w:r>
              <w:rPr>
                <w:b/>
                <w:bCs/>
              </w:rPr>
              <w:t xml:space="preserve">Source : Enquête auprès des OR 2025</w:t>
            </w:r>
          </w:p>
        </w:tc>
      </w:tr>
    </w:tbl>
    <w:p>
      <w:pPr>
        <w:pStyle w:val="BodyText"/>
      </w:pPr>
    </w:p>
    <w:bookmarkEnd w:id="84"/>
    <w:bookmarkEnd w:id="85"/>
    <w:bookmarkEnd w:id="86"/>
    <w:bookmarkStart w:id="90" w:name="sec-demog-multiyear"/>
    <w:p>
      <w:pPr>
        <w:pStyle w:val="Heading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fbede\AppData\Local\Programs\Quarto\share\formats\docx\caution.png" id="89"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BodyText"/>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tbl>
      <w:tblPr>
        <w:tblStyle w:val="FigureTable"/>
        <w:tblW w:type="auto" w:w="0"/>
        <w:jc w:val="center"/>
        <w:tblLook w:firstRow="0" w:lastRow="0" w:firstColumn="0" w:lastColumn="0"/>
      </w:tblPr>
      <w:tblGrid>
        <w:gridCol w:w="7920"/>
      </w:tblGrid>
      <w:tr>
        <w:tc>
          <w:tcPr/>
          <w:p>
            <w:pPr>
              <w:pStyle w:val="Compact"/>
              <w:jc w:val="center"/>
            </w:pPr>
            <w:r>
              <w:t xml:space="preserve">Évolution de la taille moyenne des ménages (1996-2025)</w:t>
            </w:r>
          </w:p>
        </w:tc>
      </w:tr>
    </w:tbl>
    <w:p>
      <w:pPr>
        <w:pStyle w:val="ImageCaption"/>
      </w:pPr>
      <w:r>
        <w:t xml:space="preserve">Évolution de la taille moyenne des ménages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du pourcentage de chefs de ménage femmes (1996-2025)</w:t>
            </w:r>
          </w:p>
        </w:tc>
      </w:tr>
    </w:tbl>
    <w:p>
      <w:pPr>
        <w:pStyle w:val="ImageCaption"/>
      </w:pPr>
      <w:r>
        <w:t xml:space="preserve">Évolution du pourcentage de chefs de ménage femmes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scolarisation des 6-14 ans (1996-2025)</w:t>
            </w:r>
          </w:p>
        </w:tc>
      </w:tr>
    </w:tbl>
    <w:p>
      <w:pPr>
        <w:pStyle w:val="ImageCaption"/>
      </w:pPr>
      <w:r>
        <w:t xml:space="preserve">Évolution du taux de scolarisation des 6-14 ans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de l’âge moyen du chef de ménage (1996-2025)</w:t>
            </w:r>
          </w:p>
        </w:tc>
      </w:tr>
    </w:tbl>
    <w:p>
      <w:pPr>
        <w:pStyle w:val="ImageCaption"/>
      </w:pPr>
      <w:r>
        <w:t xml:space="preserve">Évolution de l’âge moyen du chef de ménage (1996-2025)</w:t>
      </w:r>
    </w:p>
    <w:bookmarkEnd w:id="90"/>
    <w:bookmarkEnd w:id="91"/>
    <w:bookmarkStart w:id="108" w:name="habitat-et-niveau-de-vie"/>
    <w:p>
      <w:pPr>
        <w:pStyle w:val="Heading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fbede\AppData\Local\Programs\Quarto\share\formats\docx\warning.png" id="9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99" w:name="habitat"/>
    <w:p>
      <w:pPr>
        <w:pStyle w:val="Heading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94" w:name="statut-doccupation-du-logement"/>
    <w:p>
      <w:pPr>
        <w:pStyle w:val="Heading3"/>
      </w:pPr>
      <w:r>
        <w:t xml:space="preserve">3.1.1 Statut d’occupation du logement</w:t>
      </w:r>
    </w:p>
    <w:p>
      <w:pPr>
        <w:pStyle w:val="FirstParagraph"/>
      </w:pPr>
      <w:r>
        <w:t xml:space="preserve">Le statut d’occupation du logement traduit la sécurité résidentielle des ménages.</w:t>
      </w:r>
    </w:p>
    <w:p>
      <w:pPr>
        <w:pStyle w:val="BodyText"/>
      </w:pPr>
      <w:r>
        <w:t xml:space="preserve">Dans l’Alaotra, 74.2 % des ménages occupent un logement en « En propriété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Statut d'occupation du logement — Alaotra</w:t>
            </w:r>
          </w:p>
        </w:tc>
      </w:tr>
      <w:tr>
        <w:trPr>
          <w:tblHeader w:val="on"/>
        </w:trPr>
        <w:tc>
          <w:tcPr/>
          <w:p>
            <w:pPr>
              <w:pStyle w:val="Compact"/>
              <w:jc w:val="left"/>
            </w:pPr>
            <w:r>
              <w:t xml:space="preserve">Statut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En location</w:t>
            </w:r>
          </w:p>
        </w:tc>
        <w:tc>
          <w:tcPr/>
          <w:p>
            <w:pPr>
              <w:pStyle w:val="Compact"/>
              <w:jc w:val="right"/>
            </w:pPr>
            <w:r>
              <w:t xml:space="preserve">51</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376</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80</w:t>
            </w:r>
          </w:p>
        </w:tc>
        <w:tc>
          <w:tcPr/>
          <w:p>
            <w:pPr>
              <w:pStyle w:val="Compact"/>
              <w:jc w:val="right"/>
            </w:pPr>
            <w:r>
              <w:t xml:space="preserve">15.8</w:t>
            </w:r>
          </w:p>
        </w:tc>
      </w:tr>
      <w:tr>
        <w:tc>
          <w:tcPr>
            <w:gridSpan w:val="3"/>
          </w:tcPr>
          <w:p>
            <w:pPr>
              <w:pStyle w:val="Compact"/>
              <w:jc w:val="left"/>
            </w:pPr>
            <w:r>
              <w:t xml:space="preserve">NA</w:t>
            </w:r>
          </w:p>
        </w:tc>
      </w:tr>
      <w:tr>
        <w:tc>
          <w:tcPr/>
          <w:p>
            <w:pPr>
              <w:pStyle w:val="Compact"/>
              <w:jc w:val="left"/>
            </w:pPr>
            <w:r>
              <w:t xml:space="preserve">En location</w:t>
            </w:r>
          </w:p>
        </w:tc>
        <w:tc>
          <w:tcPr/>
          <w:p>
            <w:pPr>
              <w:pStyle w:val="Compact"/>
              <w:jc w:val="right"/>
            </w:pPr>
            <w:r>
              <w:t xml:space="preserve">32</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457</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30</w:t>
            </w:r>
          </w:p>
        </w:tc>
        <w:tc>
          <w:tcPr/>
          <w:p>
            <w:pPr>
              <w:pStyle w:val="Compact"/>
              <w:jc w:val="right"/>
            </w:pPr>
            <w:r>
              <w:t xml:space="preserve">5.8</w:t>
            </w:r>
          </w:p>
        </w:tc>
      </w:tr>
      <w:tr>
        <w:tc>
          <w:tcPr>
            <w:gridSpan w:val="3"/>
          </w:tcPr>
          <w:p>
            <w:pPr>
              <w:pStyle w:val="Compact"/>
              <w:jc w:val="left"/>
            </w:pPr>
            <w:r>
              <w:rPr>
                <w:b/>
                <w:bCs/>
              </w:rPr>
              <w:t xml:space="preserve">Source : Enquête auprès des OR 2025</w:t>
            </w:r>
          </w:p>
        </w:tc>
      </w:tr>
    </w:tbl>
    <w:p>
      <w:pPr>
        <w:pStyle w:val="BodyText"/>
      </w:pPr>
    </w:p>
    <w:bookmarkEnd w:id="94"/>
    <w:bookmarkStart w:id="95" w:name="type-de-latrine"/>
    <w:p>
      <w:pPr>
        <w:pStyle w:val="Heading3"/>
      </w:pPr>
      <w:r>
        <w:t xml:space="preserve">3.1.2 Type de latrine</w:t>
      </w:r>
    </w:p>
    <w:p>
      <w:pPr>
        <w:pStyle w:val="FirstParagraph"/>
      </w:pPr>
      <w:r>
        <w:t xml:space="preserve">Le type de latrine constitue un indicateur sanitaire fondamental.</w:t>
      </w:r>
    </w:p>
    <w:p>
      <w:pPr>
        <w:pStyle w:val="BodyText"/>
      </w:pPr>
      <w:r>
        <w:t xml:space="preserve">Dans l’Alaotra, Le type dominant est « Fosse perdue en commun » (67.1 % des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Types de latrine — Alaotra</w:t>
            </w:r>
          </w:p>
        </w:tc>
      </w:tr>
      <w:tr>
        <w:trPr>
          <w:tblHeader w:val="on"/>
        </w:trPr>
        <w:tc>
          <w:tcPr/>
          <w:p>
            <w:pPr>
              <w:pStyle w:val="Compact"/>
              <w:jc w:val="left"/>
            </w:pPr>
            <w:r>
              <w:t xml:space="preserve">Type de latrine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Dans la nature</w:t>
            </w:r>
          </w:p>
        </w:tc>
        <w:tc>
          <w:tcPr/>
          <w:p>
            <w:pPr>
              <w:pStyle w:val="Compact"/>
              <w:jc w:val="right"/>
            </w:pPr>
            <w:r>
              <w:t xml:space="preserve">35</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340</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126</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3</w:t>
            </w:r>
          </w:p>
        </w:tc>
        <w:tc>
          <w:tcPr/>
          <w:p>
            <w:pPr>
              <w:pStyle w:val="Compact"/>
              <w:jc w:val="right"/>
            </w:pPr>
            <w:r>
              <w:t xml:space="preserve">0.6</w:t>
            </w:r>
          </w:p>
        </w:tc>
      </w:tr>
      <w:tr>
        <w:tc>
          <w:tcPr>
            <w:gridSpan w:val="3"/>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250</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4</w:t>
            </w:r>
          </w:p>
        </w:tc>
        <w:tc>
          <w:tcPr/>
          <w:p>
            <w:pPr>
              <w:pStyle w:val="Compact"/>
              <w:jc w:val="right"/>
            </w:pPr>
            <w:r>
              <w:t xml:space="preserve">0.8</w:t>
            </w:r>
          </w:p>
        </w:tc>
      </w:tr>
      <w:tr>
        <w:tc>
          <w:tcPr>
            <w:gridSpan w:val="3"/>
          </w:tcPr>
          <w:p>
            <w:pPr>
              <w:pStyle w:val="Compact"/>
              <w:jc w:val="left"/>
            </w:pPr>
            <w:r>
              <w:rPr>
                <w:b/>
                <w:bCs/>
              </w:rPr>
              <w:t xml:space="preserve">Source : Enquête auprès des OR 2025</w:t>
            </w:r>
          </w:p>
        </w:tc>
      </w:tr>
    </w:tbl>
    <w:p>
      <w:pPr>
        <w:pStyle w:val="BodyText"/>
      </w:pPr>
    </w:p>
    <w:bookmarkEnd w:id="95"/>
    <w:bookmarkStart w:id="96" w:name="acces-a-leau"/>
    <w:p>
      <w:pPr>
        <w:pStyle w:val="Heading3"/>
      </w:pPr>
      <w:r>
        <w:t xml:space="preserve">3.1.3 Acces a l’eau</w:t>
      </w:r>
    </w:p>
    <w:p>
      <w:pPr>
        <w:pStyle w:val="FirstParagraph"/>
      </w:pPr>
      <w:r>
        <w:t xml:space="preserve">L’approvisionnement en eau détermine en grande partie les conditions sanitaires des ménages ruraux.</w:t>
      </w:r>
    </w:p>
    <w:p>
      <w:pPr>
        <w:pStyle w:val="BodyText"/>
      </w:pPr>
      <w:r>
        <w:t xml:space="preserve">Dans l’Alaotra, La source principale est « Borne fontaine publique » (54.8 %).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 d'approvisionnement en eau — Alaotra</w:t>
            </w:r>
          </w:p>
        </w:tc>
      </w:tr>
      <w:tr>
        <w:trPr>
          <w:tblHeader w:val="on"/>
        </w:trPr>
        <w:tc>
          <w:tcPr/>
          <w:p>
            <w:pPr>
              <w:pStyle w:val="Compact"/>
              <w:jc w:val="left"/>
            </w:pPr>
            <w:r>
              <w:t xml:space="preserve">Source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____________________________</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278</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8</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15</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159</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32</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1</w:t>
            </w:r>
          </w:p>
        </w:tc>
        <w:tc>
          <w:tcPr/>
          <w:p>
            <w:pPr>
              <w:pStyle w:val="Compact"/>
              <w:jc w:val="right"/>
            </w:pPr>
            <w:r>
              <w:t xml:space="preserve">0.2</w:t>
            </w:r>
          </w:p>
        </w:tc>
      </w:tr>
      <w:tr>
        <w:tc>
          <w:tcPr>
            <w:gridSpan w:val="3"/>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95</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194</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4</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58</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143</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24</w:t>
            </w:r>
          </w:p>
        </w:tc>
        <w:tc>
          <w:tcPr/>
          <w:p>
            <w:pPr>
              <w:pStyle w:val="Compact"/>
              <w:jc w:val="right"/>
            </w:pPr>
            <w:r>
              <w:t xml:space="preserve">4.6</w:t>
            </w:r>
          </w:p>
        </w:tc>
      </w:tr>
      <w:tr>
        <w:tc>
          <w:tcPr>
            <w:gridSpan w:val="3"/>
          </w:tcPr>
          <w:p>
            <w:pPr>
              <w:pStyle w:val="Compact"/>
              <w:jc w:val="left"/>
            </w:pPr>
            <w:r>
              <w:rPr>
                <w:b/>
                <w:bCs/>
              </w:rPr>
              <w:t xml:space="preserve">Source : Enquête auprès des OR 2025</w:t>
            </w:r>
          </w:p>
        </w:tc>
      </w:tr>
    </w:tbl>
    <w:p>
      <w:pPr>
        <w:pStyle w:val="BodyText"/>
      </w:pPr>
    </w:p>
    <w:bookmarkEnd w:id="96"/>
    <w:bookmarkStart w:id="97" w:name="mode-declairage"/>
    <w:p>
      <w:pPr>
        <w:pStyle w:val="Heading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d'éclairage des ménages — Alaotra</w:t>
            </w:r>
          </w:p>
        </w:tc>
      </w:tr>
      <w:tr>
        <w:trPr>
          <w:tblHeader w:val="on"/>
        </w:trPr>
        <w:tc>
          <w:tcPr/>
          <w:p>
            <w:pPr>
              <w:pStyle w:val="Compact"/>
              <w:jc w:val="left"/>
            </w:pPr>
            <w:r>
              <w:t xml:space="preserve">Type d'eclairage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Batteries</w:t>
            </w:r>
          </w:p>
        </w:tc>
        <w:tc>
          <w:tcPr/>
          <w:p>
            <w:pPr>
              <w:pStyle w:val="Compact"/>
              <w:jc w:val="right"/>
            </w:pPr>
            <w:r>
              <w:t xml:space="preserve">59</w:t>
            </w:r>
          </w:p>
        </w:tc>
        <w:tc>
          <w:tcPr/>
          <w:p>
            <w:pPr>
              <w:pStyle w:val="Compact"/>
              <w:jc w:val="right"/>
            </w:pPr>
            <w:r>
              <w:t xml:space="preserve">6.5</w:t>
            </w:r>
          </w:p>
        </w:tc>
      </w:tr>
      <w:tr>
        <w:tc>
          <w:tcPr/>
          <w:p>
            <w:pPr>
              <w:pStyle w:val="Compact"/>
              <w:jc w:val="left"/>
            </w:pPr>
            <w:r>
              <w:t xml:space="preserve">Bois De Chauffe</w:t>
            </w:r>
          </w:p>
        </w:tc>
        <w:tc>
          <w:tcPr/>
          <w:p>
            <w:pPr>
              <w:pStyle w:val="Compact"/>
              <w:jc w:val="right"/>
            </w:pPr>
            <w:r>
              <w:t xml:space="preserve">2</w:t>
            </w:r>
          </w:p>
        </w:tc>
        <w:tc>
          <w:tcPr/>
          <w:p>
            <w:pPr>
              <w:pStyle w:val="Compact"/>
              <w:jc w:val="right"/>
            </w:pPr>
            <w:r>
              <w:t xml:space="preserve">0.2</w:t>
            </w:r>
          </w:p>
        </w:tc>
      </w:tr>
      <w:tr>
        <w:tc>
          <w:tcPr/>
          <w:p>
            <w:pPr>
              <w:pStyle w:val="Compact"/>
              <w:jc w:val="left"/>
            </w:pPr>
            <w:r>
              <w:t xml:space="preserve">Bougies</w:t>
            </w:r>
          </w:p>
        </w:tc>
        <w:tc>
          <w:tcPr/>
          <w:p>
            <w:pPr>
              <w:pStyle w:val="Compact"/>
              <w:jc w:val="right"/>
            </w:pPr>
            <w:r>
              <w:t xml:space="preserve">22</w:t>
            </w:r>
          </w:p>
        </w:tc>
        <w:tc>
          <w:tcPr/>
          <w:p>
            <w:pPr>
              <w:pStyle w:val="Compact"/>
              <w:jc w:val="right"/>
            </w:pPr>
            <w:r>
              <w:t xml:space="preserve">2.4</w:t>
            </w:r>
          </w:p>
        </w:tc>
      </w:tr>
      <w:tr>
        <w:tc>
          <w:tcPr/>
          <w:p>
            <w:pPr>
              <w:pStyle w:val="Compact"/>
              <w:jc w:val="left"/>
            </w:pPr>
            <w:r>
              <w:t xml:space="preserve">Electricité Réseau</w:t>
            </w:r>
          </w:p>
        </w:tc>
        <w:tc>
          <w:tcPr/>
          <w:p>
            <w:pPr>
              <w:pStyle w:val="Compact"/>
              <w:jc w:val="right"/>
            </w:pPr>
            <w:r>
              <w:t xml:space="preserve">1</w:t>
            </w:r>
          </w:p>
        </w:tc>
        <w:tc>
          <w:tcPr/>
          <w:p>
            <w:pPr>
              <w:pStyle w:val="Compact"/>
              <w:jc w:val="right"/>
            </w:pPr>
            <w:r>
              <w:t xml:space="preserve">0.1</w:t>
            </w:r>
          </w:p>
        </w:tc>
      </w:tr>
      <w:tr>
        <w:tc>
          <w:tcPr/>
          <w:p>
            <w:pPr>
              <w:pStyle w:val="Compact"/>
              <w:jc w:val="left"/>
            </w:pPr>
            <w:r>
              <w:t xml:space="preserve">Groupe Électrogène</w:t>
            </w:r>
          </w:p>
        </w:tc>
        <w:tc>
          <w:tcPr/>
          <w:p>
            <w:pPr>
              <w:pStyle w:val="Compact"/>
              <w:jc w:val="right"/>
            </w:pPr>
            <w:r>
              <w:t xml:space="preserve">3</w:t>
            </w:r>
          </w:p>
        </w:tc>
        <w:tc>
          <w:tcPr/>
          <w:p>
            <w:pPr>
              <w:pStyle w:val="Compact"/>
              <w:jc w:val="right"/>
            </w:pPr>
            <w:r>
              <w:t xml:space="preserve">0.3</w:t>
            </w:r>
          </w:p>
        </w:tc>
      </w:tr>
      <w:tr>
        <w:tc>
          <w:tcPr/>
          <w:p>
            <w:pPr>
              <w:pStyle w:val="Compact"/>
              <w:jc w:val="left"/>
            </w:pPr>
            <w:r>
              <w:t xml:space="preserve">Panneau Solaire En Marche ?</w:t>
            </w:r>
          </w:p>
        </w:tc>
        <w:tc>
          <w:tcPr/>
          <w:p>
            <w:pPr>
              <w:pStyle w:val="Compact"/>
              <w:jc w:val="right"/>
            </w:pPr>
            <w:r>
              <w:t xml:space="preserve">232</w:t>
            </w:r>
          </w:p>
        </w:tc>
        <w:tc>
          <w:tcPr/>
          <w:p>
            <w:pPr>
              <w:pStyle w:val="Compact"/>
              <w:jc w:val="right"/>
            </w:pPr>
            <w:r>
              <w:t xml:space="preserve">25.4</w:t>
            </w:r>
          </w:p>
        </w:tc>
      </w:tr>
      <w:tr>
        <w:tc>
          <w:tcPr/>
          <w:p>
            <w:pPr>
              <w:pStyle w:val="Compact"/>
              <w:jc w:val="left"/>
            </w:pPr>
            <w:r>
              <w:t xml:space="preserve">Piles</w:t>
            </w:r>
          </w:p>
        </w:tc>
        <w:tc>
          <w:tcPr/>
          <w:p>
            <w:pPr>
              <w:pStyle w:val="Compact"/>
              <w:jc w:val="right"/>
            </w:pPr>
            <w:r>
              <w:t xml:space="preserve">63</w:t>
            </w:r>
          </w:p>
        </w:tc>
        <w:tc>
          <w:tcPr/>
          <w:p>
            <w:pPr>
              <w:pStyle w:val="Compact"/>
              <w:jc w:val="right"/>
            </w:pPr>
            <w:r>
              <w:t xml:space="preserve">6.9</w:t>
            </w:r>
          </w:p>
        </w:tc>
      </w:tr>
      <w:tr>
        <w:tc>
          <w:tcPr/>
          <w:p>
            <w:pPr>
              <w:pStyle w:val="Compact"/>
              <w:jc w:val="left"/>
            </w:pPr>
            <w:r>
              <w:t xml:space="preserve">Pétrole Lampant</w:t>
            </w:r>
          </w:p>
        </w:tc>
        <w:tc>
          <w:tcPr/>
          <w:p>
            <w:pPr>
              <w:pStyle w:val="Compact"/>
              <w:jc w:val="right"/>
            </w:pPr>
            <w:r>
              <w:t xml:space="preserve">290</w:t>
            </w:r>
          </w:p>
        </w:tc>
        <w:tc>
          <w:tcPr/>
          <w:p>
            <w:pPr>
              <w:pStyle w:val="Compact"/>
              <w:jc w:val="right"/>
            </w:pPr>
            <w:r>
              <w:t xml:space="preserve">31.8</w:t>
            </w:r>
          </w:p>
        </w:tc>
      </w:tr>
      <w:tr>
        <w:tc>
          <w:tcPr/>
          <w:p>
            <w:pPr>
              <w:pStyle w:val="Compact"/>
              <w:jc w:val="left"/>
            </w:pPr>
            <w:r>
              <w:t xml:space="preserve">Solaire</w:t>
            </w:r>
          </w:p>
        </w:tc>
        <w:tc>
          <w:tcPr/>
          <w:p>
            <w:pPr>
              <w:pStyle w:val="Compact"/>
              <w:jc w:val="right"/>
            </w:pPr>
            <w:r>
              <w:t xml:space="preserve">241</w:t>
            </w:r>
          </w:p>
        </w:tc>
        <w:tc>
          <w:tcPr/>
          <w:p>
            <w:pPr>
              <w:pStyle w:val="Compact"/>
              <w:jc w:val="right"/>
            </w:pPr>
            <w:r>
              <w:t xml:space="preserve">26.4</w:t>
            </w:r>
          </w:p>
        </w:tc>
      </w:tr>
      <w:tr>
        <w:tc>
          <w:tcPr>
            <w:gridSpan w:val="3"/>
          </w:tcPr>
          <w:p>
            <w:pPr>
              <w:pStyle w:val="Compact"/>
              <w:jc w:val="left"/>
            </w:pPr>
            <w:r>
              <w:t xml:space="preserve">NA</w:t>
            </w:r>
          </w:p>
        </w:tc>
      </w:tr>
      <w:tr>
        <w:tc>
          <w:tcPr/>
          <w:p>
            <w:pPr>
              <w:pStyle w:val="Compact"/>
              <w:jc w:val="left"/>
            </w:pPr>
            <w:r>
              <w:t xml:space="preserve">Autres</w:t>
            </w:r>
          </w:p>
        </w:tc>
        <w:tc>
          <w:tcPr/>
          <w:p>
            <w:pPr>
              <w:pStyle w:val="Compact"/>
              <w:jc w:val="right"/>
            </w:pPr>
            <w:r>
              <w:t xml:space="preserve">31</w:t>
            </w:r>
          </w:p>
        </w:tc>
        <w:tc>
          <w:tcPr/>
          <w:p>
            <w:pPr>
              <w:pStyle w:val="Compact"/>
              <w:jc w:val="right"/>
            </w:pPr>
            <w:r>
              <w:t xml:space="preserve">3.6</w:t>
            </w:r>
          </w:p>
        </w:tc>
      </w:tr>
      <w:tr>
        <w:tc>
          <w:tcPr/>
          <w:p>
            <w:pPr>
              <w:pStyle w:val="Compact"/>
              <w:jc w:val="left"/>
            </w:pPr>
            <w:r>
              <w:t xml:space="preserve">Batteries</w:t>
            </w:r>
          </w:p>
        </w:tc>
        <w:tc>
          <w:tcPr/>
          <w:p>
            <w:pPr>
              <w:pStyle w:val="Compact"/>
              <w:jc w:val="right"/>
            </w:pPr>
            <w:r>
              <w:t xml:space="preserve">65</w:t>
            </w:r>
          </w:p>
        </w:tc>
        <w:tc>
          <w:tcPr/>
          <w:p>
            <w:pPr>
              <w:pStyle w:val="Compact"/>
              <w:jc w:val="right"/>
            </w:pPr>
            <w:r>
              <w:t xml:space="preserve">7.5</w:t>
            </w:r>
          </w:p>
        </w:tc>
      </w:tr>
      <w:tr>
        <w:tc>
          <w:tcPr/>
          <w:p>
            <w:pPr>
              <w:pStyle w:val="Compact"/>
              <w:jc w:val="left"/>
            </w:pPr>
            <w:r>
              <w:t xml:space="preserve">Bois De Chauffe</w:t>
            </w:r>
          </w:p>
        </w:tc>
        <w:tc>
          <w:tcPr/>
          <w:p>
            <w:pPr>
              <w:pStyle w:val="Compact"/>
              <w:jc w:val="right"/>
            </w:pPr>
            <w:r>
              <w:t xml:space="preserve">6</w:t>
            </w:r>
          </w:p>
        </w:tc>
        <w:tc>
          <w:tcPr/>
          <w:p>
            <w:pPr>
              <w:pStyle w:val="Compact"/>
              <w:jc w:val="right"/>
            </w:pPr>
            <w:r>
              <w:t xml:space="preserve">0.7</w:t>
            </w:r>
          </w:p>
        </w:tc>
      </w:tr>
      <w:tr>
        <w:tc>
          <w:tcPr/>
          <w:p>
            <w:pPr>
              <w:pStyle w:val="Compact"/>
              <w:jc w:val="left"/>
            </w:pPr>
            <w:r>
              <w:t xml:space="preserve">Bougies</w:t>
            </w:r>
          </w:p>
        </w:tc>
        <w:tc>
          <w:tcPr/>
          <w:p>
            <w:pPr>
              <w:pStyle w:val="Compact"/>
              <w:jc w:val="right"/>
            </w:pPr>
            <w:r>
              <w:t xml:space="preserve">4</w:t>
            </w:r>
          </w:p>
        </w:tc>
        <w:tc>
          <w:tcPr/>
          <w:p>
            <w:pPr>
              <w:pStyle w:val="Compact"/>
              <w:jc w:val="right"/>
            </w:pPr>
            <w:r>
              <w:t xml:space="preserve">0.5</w:t>
            </w:r>
          </w:p>
        </w:tc>
      </w:tr>
      <w:tr>
        <w:tc>
          <w:tcPr/>
          <w:p>
            <w:pPr>
              <w:pStyle w:val="Compact"/>
              <w:jc w:val="left"/>
            </w:pPr>
            <w:r>
              <w:t xml:space="preserve">Panneau Solaire En Marche ?</w:t>
            </w:r>
          </w:p>
        </w:tc>
        <w:tc>
          <w:tcPr/>
          <w:p>
            <w:pPr>
              <w:pStyle w:val="Compact"/>
              <w:jc w:val="right"/>
            </w:pPr>
            <w:r>
              <w:t xml:space="preserve">163</w:t>
            </w:r>
          </w:p>
        </w:tc>
        <w:tc>
          <w:tcPr/>
          <w:p>
            <w:pPr>
              <w:pStyle w:val="Compact"/>
              <w:jc w:val="right"/>
            </w:pPr>
            <w:r>
              <w:t xml:space="preserve">18.8</w:t>
            </w:r>
          </w:p>
        </w:tc>
      </w:tr>
      <w:tr>
        <w:tc>
          <w:tcPr/>
          <w:p>
            <w:pPr>
              <w:pStyle w:val="Compact"/>
              <w:jc w:val="left"/>
            </w:pPr>
            <w:r>
              <w:t xml:space="preserve">Piles</w:t>
            </w:r>
          </w:p>
        </w:tc>
        <w:tc>
          <w:tcPr/>
          <w:p>
            <w:pPr>
              <w:pStyle w:val="Compact"/>
              <w:jc w:val="right"/>
            </w:pPr>
            <w:r>
              <w:t xml:space="preserve">151</w:t>
            </w:r>
          </w:p>
        </w:tc>
        <w:tc>
          <w:tcPr/>
          <w:p>
            <w:pPr>
              <w:pStyle w:val="Compact"/>
              <w:jc w:val="right"/>
            </w:pPr>
            <w:r>
              <w:t xml:space="preserve">17.5</w:t>
            </w:r>
          </w:p>
        </w:tc>
      </w:tr>
      <w:tr>
        <w:tc>
          <w:tcPr/>
          <w:p>
            <w:pPr>
              <w:pStyle w:val="Compact"/>
              <w:jc w:val="left"/>
            </w:pPr>
            <w:r>
              <w:t xml:space="preserve">Pétrole Lampant</w:t>
            </w:r>
          </w:p>
        </w:tc>
        <w:tc>
          <w:tcPr/>
          <w:p>
            <w:pPr>
              <w:pStyle w:val="Compact"/>
              <w:jc w:val="right"/>
            </w:pPr>
            <w:r>
              <w:t xml:space="preserve">283</w:t>
            </w:r>
          </w:p>
        </w:tc>
        <w:tc>
          <w:tcPr/>
          <w:p>
            <w:pPr>
              <w:pStyle w:val="Compact"/>
              <w:jc w:val="right"/>
            </w:pPr>
            <w:r>
              <w:t xml:space="preserve">32.7</w:t>
            </w:r>
          </w:p>
        </w:tc>
      </w:tr>
      <w:tr>
        <w:tc>
          <w:tcPr/>
          <w:p>
            <w:pPr>
              <w:pStyle w:val="Compact"/>
              <w:jc w:val="left"/>
            </w:pPr>
            <w:r>
              <w:t xml:space="preserve">Solaire</w:t>
            </w:r>
          </w:p>
        </w:tc>
        <w:tc>
          <w:tcPr/>
          <w:p>
            <w:pPr>
              <w:pStyle w:val="Compact"/>
              <w:jc w:val="right"/>
            </w:pPr>
            <w:r>
              <w:t xml:space="preserve">162</w:t>
            </w:r>
          </w:p>
        </w:tc>
        <w:tc>
          <w:tcPr/>
          <w:p>
            <w:pPr>
              <w:pStyle w:val="Compact"/>
              <w:jc w:val="right"/>
            </w:pPr>
            <w:r>
              <w:t xml:space="preserve">18.7</w:t>
            </w:r>
          </w:p>
        </w:tc>
      </w:tr>
      <w:tr>
        <w:tc>
          <w:tcPr>
            <w:gridSpan w:val="3"/>
          </w:tcPr>
          <w:p>
            <w:pPr>
              <w:pStyle w:val="Compact"/>
              <w:jc w:val="left"/>
            </w:pPr>
            <w:r>
              <w:rPr>
                <w:b/>
                <w:bCs/>
              </w:rPr>
              <w:t xml:space="preserve">Source : Enquête auprès des OR 2025</w:t>
            </w:r>
          </w:p>
        </w:tc>
      </w:tr>
    </w:tbl>
    <w:p>
      <w:pPr>
        <w:pStyle w:val="BodyText"/>
      </w:pPr>
    </w:p>
    <w:bookmarkEnd w:id="97"/>
    <w:bookmarkStart w:id="98" w:name="source-denergie-pour-la-cuisson"/>
    <w:p>
      <w:pPr>
        <w:pStyle w:val="Heading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de cuisson des ménages — Alaotra</w:t>
            </w:r>
          </w:p>
        </w:tc>
      </w:tr>
      <w:tr>
        <w:trPr>
          <w:tblHeader w:val="on"/>
        </w:trPr>
        <w:tc>
          <w:tcPr/>
          <w:p>
            <w:pPr>
              <w:pStyle w:val="Compact"/>
              <w:jc w:val="left"/>
            </w:pPr>
            <w:r>
              <w:t xml:space="preserve">Source d'energie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w:t>
            </w:r>
          </w:p>
        </w:tc>
        <w:tc>
          <w:tcPr/>
          <w:p>
            <w:pPr>
              <w:pStyle w:val="Compact"/>
              <w:jc w:val="right"/>
            </w:pPr>
            <w:r>
              <w:t xml:space="preserve">2</w:t>
            </w:r>
          </w:p>
        </w:tc>
        <w:tc>
          <w:tcPr/>
          <w:p>
            <w:pPr>
              <w:pStyle w:val="Compact"/>
              <w:jc w:val="right"/>
            </w:pPr>
            <w:r>
              <w:t xml:space="preserve">0.3</w:t>
            </w:r>
          </w:p>
        </w:tc>
      </w:tr>
      <w:tr>
        <w:tc>
          <w:tcPr/>
          <w:p>
            <w:pPr>
              <w:pStyle w:val="Compact"/>
              <w:jc w:val="left"/>
            </w:pPr>
            <w:r>
              <w:t xml:space="preserve">Charbon</w:t>
            </w:r>
          </w:p>
        </w:tc>
        <w:tc>
          <w:tcPr/>
          <w:p>
            <w:pPr>
              <w:pStyle w:val="Compact"/>
              <w:jc w:val="right"/>
            </w:pPr>
            <w:r>
              <w:t xml:space="preserve">218</w:t>
            </w:r>
          </w:p>
        </w:tc>
        <w:tc>
          <w:tcPr/>
          <w:p>
            <w:pPr>
              <w:pStyle w:val="Compact"/>
              <w:jc w:val="right"/>
            </w:pPr>
            <w:r>
              <w:t xml:space="preserve">34.0</w:t>
            </w:r>
          </w:p>
        </w:tc>
      </w:tr>
      <w:tr>
        <w:tc>
          <w:tcPr/>
          <w:p>
            <w:pPr>
              <w:pStyle w:val="Compact"/>
              <w:jc w:val="left"/>
            </w:pPr>
            <w:r>
              <w:t xml:space="preserve">Gaz</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Morceaux De Bois Résinés</w:t>
            </w:r>
          </w:p>
        </w:tc>
        <w:tc>
          <w:tcPr/>
          <w:p>
            <w:pPr>
              <w:pStyle w:val="Compact"/>
              <w:jc w:val="right"/>
            </w:pPr>
            <w:r>
              <w:t xml:space="preserve">420</w:t>
            </w:r>
          </w:p>
        </w:tc>
        <w:tc>
          <w:tcPr/>
          <w:p>
            <w:pPr>
              <w:pStyle w:val="Compact"/>
              <w:jc w:val="right"/>
            </w:pPr>
            <w:r>
              <w:t xml:space="preserve">65.5</w:t>
            </w:r>
          </w:p>
        </w:tc>
      </w:tr>
      <w:tr>
        <w:tc>
          <w:tcPr>
            <w:gridSpan w:val="3"/>
          </w:tcPr>
          <w:p>
            <w:pPr>
              <w:pStyle w:val="Compact"/>
              <w:jc w:val="left"/>
            </w:pPr>
            <w:r>
              <w:t xml:space="preserve">NA</w:t>
            </w:r>
          </w:p>
        </w:tc>
      </w:tr>
      <w:tr>
        <w:tc>
          <w:tcPr/>
          <w:p>
            <w:pPr>
              <w:pStyle w:val="Compact"/>
              <w:jc w:val="left"/>
            </w:pPr>
            <w:r>
              <w:t xml:space="preserve">Charbon</w:t>
            </w:r>
          </w:p>
        </w:tc>
        <w:tc>
          <w:tcPr/>
          <w:p>
            <w:pPr>
              <w:pStyle w:val="Compact"/>
              <w:jc w:val="right"/>
            </w:pPr>
            <w:r>
              <w:t xml:space="preserve">241</w:t>
            </w:r>
          </w:p>
        </w:tc>
        <w:tc>
          <w:tcPr/>
          <w:p>
            <w:pPr>
              <w:pStyle w:val="Compact"/>
              <w:jc w:val="right"/>
            </w:pPr>
            <w:r>
              <w:t xml:space="preserve">39.0</w:t>
            </w:r>
          </w:p>
        </w:tc>
      </w:tr>
      <w:tr>
        <w:tc>
          <w:tcPr/>
          <w:p>
            <w:pPr>
              <w:pStyle w:val="Compact"/>
              <w:jc w:val="left"/>
            </w:pPr>
            <w:r>
              <w:t xml:space="preserve">Morceaux De Bois Résinés</w:t>
            </w:r>
          </w:p>
        </w:tc>
        <w:tc>
          <w:tcPr/>
          <w:p>
            <w:pPr>
              <w:pStyle w:val="Compact"/>
              <w:jc w:val="right"/>
            </w:pPr>
            <w:r>
              <w:t xml:space="preserve">377</w:t>
            </w:r>
          </w:p>
        </w:tc>
        <w:tc>
          <w:tcPr/>
          <w:p>
            <w:pPr>
              <w:pStyle w:val="Compact"/>
              <w:jc w:val="right"/>
            </w:pPr>
            <w:r>
              <w:t xml:space="preserve">61.0</w:t>
            </w:r>
          </w:p>
        </w:tc>
      </w:tr>
      <w:tr>
        <w:tc>
          <w:tcPr>
            <w:gridSpan w:val="3"/>
          </w:tcPr>
          <w:p>
            <w:pPr>
              <w:pStyle w:val="Compact"/>
              <w:jc w:val="left"/>
            </w:pPr>
            <w:r>
              <w:rPr>
                <w:b/>
                <w:bCs/>
              </w:rPr>
              <w:t xml:space="preserve">Source : Enquête auprès des OR 2025</w:t>
            </w:r>
          </w:p>
        </w:tc>
      </w:tr>
    </w:tbl>
    <w:p>
      <w:pPr>
        <w:pStyle w:val="BodyText"/>
      </w:pPr>
    </w:p>
    <w:bookmarkEnd w:id="98"/>
    <w:bookmarkEnd w:id="99"/>
    <w:bookmarkStart w:id="103" w:name="niveau-de-vie"/>
    <w:p>
      <w:pPr>
        <w:pStyle w:val="Heading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00" w:name="biens-de-confort-courant"/>
    <w:p>
      <w:pPr>
        <w:pStyle w:val="Heading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de biens de confort courants — Alaotra</w:t>
            </w:r>
          </w:p>
        </w:tc>
      </w:tr>
      <w:tr>
        <w:trPr>
          <w:tblHeader w:val="on"/>
        </w:trPr>
        <w:tc>
          <w:tcPr/>
          <w:p>
            <w:pPr>
              <w:pStyle w:val="Compact"/>
              <w:jc w:val="left"/>
            </w:pPr>
            <w:r>
              <w:t xml:space="preserve">Bien</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Bicyclette</w:t>
            </w:r>
          </w:p>
        </w:tc>
        <w:tc>
          <w:tcPr/>
          <w:p>
            <w:pPr>
              <w:pStyle w:val="Compact"/>
              <w:jc w:val="right"/>
            </w:pPr>
            <w:r>
              <w:t xml:space="preserve">184</w:t>
            </w:r>
          </w:p>
        </w:tc>
        <w:tc>
          <w:tcPr/>
          <w:p>
            <w:pPr>
              <w:pStyle w:val="Compact"/>
              <w:jc w:val="right"/>
            </w:pPr>
            <w:r>
              <w:t xml:space="preserve">12.9</w:t>
            </w:r>
          </w:p>
        </w:tc>
      </w:tr>
      <w:tr>
        <w:tc>
          <w:tcPr/>
          <w:p>
            <w:pPr>
              <w:pStyle w:val="Compact"/>
              <w:jc w:val="left"/>
            </w:pPr>
            <w:r>
              <w:t xml:space="preserve">Chaises</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229</w:t>
            </w:r>
          </w:p>
        </w:tc>
        <w:tc>
          <w:tcPr/>
          <w:p>
            <w:pPr>
              <w:pStyle w:val="Compact"/>
              <w:jc w:val="right"/>
            </w:pPr>
            <w:r>
              <w:t xml:space="preserve">16.0</w:t>
            </w:r>
          </w:p>
        </w:tc>
      </w:tr>
      <w:tr>
        <w:tc>
          <w:tcPr/>
          <w:p>
            <w:pPr>
              <w:pStyle w:val="Compact"/>
              <w:jc w:val="left"/>
            </w:pPr>
            <w:r>
              <w:t xml:space="preserve">Marmites</w:t>
            </w:r>
          </w:p>
        </w:tc>
        <w:tc>
          <w:tcPr/>
          <w:p>
            <w:pPr>
              <w:pStyle w:val="Compact"/>
              <w:jc w:val="right"/>
            </w:pPr>
            <w:r>
              <w:t xml:space="preserve">8</w:t>
            </w:r>
          </w:p>
        </w:tc>
        <w:tc>
          <w:tcPr/>
          <w:p>
            <w:pPr>
              <w:pStyle w:val="Compact"/>
              <w:jc w:val="right"/>
            </w:pPr>
            <w:r>
              <w:t xml:space="preserve">0.6</w:t>
            </w:r>
          </w:p>
        </w:tc>
      </w:tr>
      <w:tr>
        <w:tc>
          <w:tcPr/>
          <w:p>
            <w:pPr>
              <w:pStyle w:val="Compact"/>
              <w:jc w:val="left"/>
            </w:pPr>
            <w:r>
              <w:t xml:space="preserve">Moto</w:t>
            </w:r>
          </w:p>
        </w:tc>
        <w:tc>
          <w:tcPr/>
          <w:p>
            <w:pPr>
              <w:pStyle w:val="Compact"/>
              <w:jc w:val="right"/>
            </w:pPr>
            <w:r>
              <w:t xml:space="preserve">27</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102</w:t>
            </w:r>
          </w:p>
        </w:tc>
        <w:tc>
          <w:tcPr/>
          <w:p>
            <w:pPr>
              <w:pStyle w:val="Compact"/>
              <w:jc w:val="right"/>
            </w:pPr>
            <w:r>
              <w:t xml:space="preserve">7.1</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18.5</w:t>
            </w:r>
          </w:p>
        </w:tc>
      </w:tr>
      <w:tr>
        <w:tc>
          <w:tcPr/>
          <w:p>
            <w:pPr>
              <w:pStyle w:val="Compact"/>
              <w:jc w:val="left"/>
            </w:pPr>
            <w:r>
              <w:t xml:space="preserve">Tables</w:t>
            </w:r>
          </w:p>
        </w:tc>
        <w:tc>
          <w:tcPr/>
          <w:p>
            <w:pPr>
              <w:pStyle w:val="Compact"/>
              <w:jc w:val="right"/>
            </w:pPr>
            <w:r>
              <w:t xml:space="preserve">235</w:t>
            </w:r>
          </w:p>
        </w:tc>
        <w:tc>
          <w:tcPr/>
          <w:p>
            <w:pPr>
              <w:pStyle w:val="Compact"/>
              <w:jc w:val="right"/>
            </w:pPr>
            <w:r>
              <w:t xml:space="preserve">16.5</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13.3</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5.4</w:t>
            </w:r>
          </w:p>
        </w:tc>
      </w:tr>
      <w:tr>
        <w:tc>
          <w:tcPr/>
          <w:p>
            <w:pPr>
              <w:pStyle w:val="Compact"/>
              <w:jc w:val="left"/>
            </w:pPr>
            <w:r>
              <w:t xml:space="preserve">Voiture/Camionnette</w:t>
            </w:r>
          </w:p>
        </w:tc>
        <w:tc>
          <w:tcPr/>
          <w:p>
            <w:pPr>
              <w:pStyle w:val="Compact"/>
              <w:jc w:val="right"/>
            </w:pPr>
            <w:r>
              <w:t xml:space="preserve">2</w:t>
            </w:r>
          </w:p>
        </w:tc>
        <w:tc>
          <w:tcPr/>
          <w:p>
            <w:pPr>
              <w:pStyle w:val="Compact"/>
              <w:jc w:val="right"/>
            </w:pPr>
            <w:r>
              <w:t xml:space="preserve">0.1</w:t>
            </w:r>
          </w:p>
        </w:tc>
      </w:tr>
      <w:tr>
        <w:tc>
          <w:tcPr>
            <w:gridSpan w:val="3"/>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1.2</w:t>
            </w:r>
          </w:p>
        </w:tc>
      </w:tr>
      <w:tr>
        <w:tc>
          <w:tcPr/>
          <w:p>
            <w:pPr>
              <w:pStyle w:val="Compact"/>
              <w:jc w:val="left"/>
            </w:pPr>
            <w:r>
              <w:t xml:space="preserve">Bicyclette</w:t>
            </w:r>
          </w:p>
        </w:tc>
        <w:tc>
          <w:tcPr/>
          <w:p>
            <w:pPr>
              <w:pStyle w:val="Compact"/>
              <w:jc w:val="right"/>
            </w:pPr>
            <w:r>
              <w:t xml:space="preserve">40</w:t>
            </w:r>
          </w:p>
        </w:tc>
        <w:tc>
          <w:tcPr/>
          <w:p>
            <w:pPr>
              <w:pStyle w:val="Compact"/>
              <w:jc w:val="right"/>
            </w:pPr>
            <w:r>
              <w:t xml:space="preserve">3.1</w:t>
            </w:r>
          </w:p>
        </w:tc>
      </w:tr>
      <w:tr>
        <w:tc>
          <w:tcPr/>
          <w:p>
            <w:pPr>
              <w:pStyle w:val="Compact"/>
              <w:jc w:val="left"/>
            </w:pPr>
            <w:r>
              <w:t xml:space="preserve">Chaises</w:t>
            </w:r>
          </w:p>
        </w:tc>
        <w:tc>
          <w:tcPr/>
          <w:p>
            <w:pPr>
              <w:pStyle w:val="Compact"/>
              <w:jc w:val="right"/>
            </w:pPr>
            <w:r>
              <w:t xml:space="preserve">34</w:t>
            </w:r>
          </w:p>
        </w:tc>
        <w:tc>
          <w:tcPr/>
          <w:p>
            <w:pPr>
              <w:pStyle w:val="Compact"/>
              <w:jc w:val="right"/>
            </w:pPr>
            <w:r>
              <w:t xml:space="preserve">2.7</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0.4</w:t>
            </w:r>
          </w:p>
        </w:tc>
      </w:tr>
      <w:tr>
        <w:tc>
          <w:tcPr/>
          <w:p>
            <w:pPr>
              <w:pStyle w:val="Compact"/>
              <w:jc w:val="left"/>
            </w:pPr>
            <w:r>
              <w:t xml:space="preserve">Lits</w:t>
            </w:r>
          </w:p>
        </w:tc>
        <w:tc>
          <w:tcPr/>
          <w:p>
            <w:pPr>
              <w:pStyle w:val="Compact"/>
              <w:jc w:val="right"/>
            </w:pPr>
            <w:r>
              <w:t xml:space="preserve">263</w:t>
            </w:r>
          </w:p>
        </w:tc>
        <w:tc>
          <w:tcPr/>
          <w:p>
            <w:pPr>
              <w:pStyle w:val="Compact"/>
              <w:jc w:val="right"/>
            </w:pPr>
            <w:r>
              <w:t xml:space="preserve">20.5</w:t>
            </w:r>
          </w:p>
        </w:tc>
      </w:tr>
      <w:tr>
        <w:tc>
          <w:tcPr/>
          <w:p>
            <w:pPr>
              <w:pStyle w:val="Compact"/>
              <w:jc w:val="left"/>
            </w:pPr>
            <w:r>
              <w:t xml:space="preserve">Marmites</w:t>
            </w:r>
          </w:p>
        </w:tc>
        <w:tc>
          <w:tcPr/>
          <w:p>
            <w:pPr>
              <w:pStyle w:val="Compact"/>
              <w:jc w:val="right"/>
            </w:pPr>
            <w:r>
              <w:t xml:space="preserve">3</w:t>
            </w:r>
          </w:p>
        </w:tc>
        <w:tc>
          <w:tcPr/>
          <w:p>
            <w:pPr>
              <w:pStyle w:val="Compact"/>
              <w:jc w:val="right"/>
            </w:pPr>
            <w:r>
              <w:t xml:space="preserve">0.2</w:t>
            </w:r>
          </w:p>
        </w:tc>
      </w:tr>
      <w:tr>
        <w:tc>
          <w:tcPr/>
          <w:p>
            <w:pPr>
              <w:pStyle w:val="Compact"/>
              <w:jc w:val="left"/>
            </w:pPr>
            <w:r>
              <w:t xml:space="preserve">Moto</w:t>
            </w:r>
          </w:p>
        </w:tc>
        <w:tc>
          <w:tcPr/>
          <w:p>
            <w:pPr>
              <w:pStyle w:val="Compact"/>
              <w:jc w:val="right"/>
            </w:pPr>
            <w:r>
              <w:t xml:space="preserve">7</w:t>
            </w:r>
          </w:p>
        </w:tc>
        <w:tc>
          <w:tcPr/>
          <w:p>
            <w:pPr>
              <w:pStyle w:val="Compact"/>
              <w:jc w:val="right"/>
            </w:pPr>
            <w:r>
              <w:t xml:space="preserve">0.5</w:t>
            </w:r>
          </w:p>
        </w:tc>
      </w:tr>
      <w:tr>
        <w:tc>
          <w:tcPr/>
          <w:p>
            <w:pPr>
              <w:pStyle w:val="Compact"/>
              <w:jc w:val="left"/>
            </w:pPr>
            <w:r>
              <w:t xml:space="preserve">Nattes Pour Dormir</w:t>
            </w:r>
          </w:p>
        </w:tc>
        <w:tc>
          <w:tcPr/>
          <w:p>
            <w:pPr>
              <w:pStyle w:val="Compact"/>
              <w:jc w:val="right"/>
            </w:pPr>
            <w:r>
              <w:t xml:space="preserve">199</w:t>
            </w:r>
          </w:p>
        </w:tc>
        <w:tc>
          <w:tcPr/>
          <w:p>
            <w:pPr>
              <w:pStyle w:val="Compact"/>
              <w:jc w:val="right"/>
            </w:pPr>
            <w:r>
              <w:t xml:space="preserve">15.5</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Tables</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18.5</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2.1</w:t>
            </w:r>
          </w:p>
        </w:tc>
      </w:tr>
      <w:tr>
        <w:tc>
          <w:tcPr/>
          <w:p>
            <w:pPr>
              <w:pStyle w:val="Compact"/>
              <w:jc w:val="left"/>
            </w:pPr>
            <w:r>
              <w:t xml:space="preserve">Voiture/Camionnette</w:t>
            </w:r>
          </w:p>
        </w:tc>
        <w:tc>
          <w:tcPr/>
          <w:p>
            <w:pPr>
              <w:pStyle w:val="Compact"/>
              <w:jc w:val="right"/>
            </w:pPr>
            <w:r>
              <w:t xml:space="preserve">3</w:t>
            </w:r>
          </w:p>
        </w:tc>
        <w:tc>
          <w:tcPr/>
          <w:p>
            <w:pPr>
              <w:pStyle w:val="Compact"/>
              <w:jc w:val="right"/>
            </w:pPr>
            <w:r>
              <w:t xml:space="preserve">0.2</w:t>
            </w:r>
          </w:p>
        </w:tc>
      </w:tr>
      <w:tr>
        <w:tc>
          <w:tcPr>
            <w:gridSpan w:val="3"/>
          </w:tcPr>
          <w:p>
            <w:pPr>
              <w:pStyle w:val="Compact"/>
              <w:jc w:val="left"/>
            </w:pPr>
            <w:r>
              <w:rPr>
                <w:b/>
                <w:bCs/>
              </w:rPr>
              <w:t xml:space="preserve">Source : Enquête auprès des OR 2025</w:t>
            </w:r>
          </w:p>
        </w:tc>
      </w:tr>
    </w:tbl>
    <w:p>
      <w:pPr>
        <w:pStyle w:val="BodyText"/>
      </w:pPr>
    </w:p>
    <w:bookmarkEnd w:id="100"/>
    <w:bookmarkStart w:id="101" w:name="equipement-agricole"/>
    <w:p>
      <w:pPr>
        <w:pStyle w:val="Heading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Taux de possession d'équipements agricoles — Alaotra</w:t>
            </w:r>
          </w:p>
        </w:tc>
      </w:tr>
      <w:tr>
        <w:trPr>
          <w:tblHeader w:val="on"/>
        </w:trPr>
        <w:tc>
          <w:tcPr/>
          <w:p>
            <w:pPr>
              <w:pStyle w:val="Compact"/>
              <w:jc w:val="left"/>
            </w:pPr>
            <w:r>
              <w:t xml:space="preserve">Equipement</w:t>
            </w:r>
          </w:p>
        </w:tc>
        <w:tc>
          <w:tcPr/>
          <w:p>
            <w:pPr>
              <w:pStyle w:val="Compact"/>
              <w:jc w:val="right"/>
            </w:pPr>
            <w:r>
              <w:t xml:space="preserve">Menages (N)</w:t>
            </w:r>
          </w:p>
        </w:tc>
        <w:tc>
          <w:tcPr/>
          <w:p>
            <w:pPr>
              <w:pStyle w:val="Compact"/>
              <w:jc w:val="right"/>
            </w:pPr>
            <w:r>
              <w:t xml:space="preserve">Menages (%)</w:t>
            </w:r>
          </w:p>
        </w:tc>
        <w:tc>
          <w:tcPr/>
          <w:p>
            <w:pPr>
              <w:pStyle w:val="Compact"/>
              <w:jc w:val="right"/>
            </w:pPr>
            <w:r>
              <w:t xml:space="preserve">Nb outils</w:t>
            </w:r>
          </w:p>
        </w:tc>
      </w:tr>
      <w:tr>
        <w:tc>
          <w:tcPr>
            <w:gridSpan w:val="4"/>
          </w:tcPr>
          <w:p>
            <w:pPr>
              <w:pStyle w:val="Compact"/>
              <w:jc w:val="left"/>
            </w:pPr>
            <w:r>
              <w:t xml:space="preserve">Alaotra</w:t>
            </w:r>
          </w:p>
        </w:tc>
      </w:tr>
      <w:tr>
        <w:tc>
          <w:tcPr/>
          <w:p>
            <w:pPr>
              <w:pStyle w:val="Compact"/>
            </w:pPr>
          </w:p>
        </w:tc>
        <w:tc>
          <w:tcPr/>
          <w:p>
            <w:pPr>
              <w:pStyle w:val="Compact"/>
              <w:jc w:val="right"/>
            </w:pPr>
            <w:r>
              <w:t xml:space="preserve">460</w:t>
            </w:r>
          </w:p>
        </w:tc>
        <w:tc>
          <w:tcPr/>
          <w:p>
            <w:pPr>
              <w:pStyle w:val="Compact"/>
              <w:jc w:val="right"/>
            </w:pPr>
            <w:r>
              <w:t xml:space="preserve">90.7</w:t>
            </w:r>
          </w:p>
        </w:tc>
        <w:tc>
          <w:tcPr/>
          <w:p>
            <w:pPr>
              <w:pStyle w:val="Compact"/>
              <w:jc w:val="right"/>
            </w:pPr>
            <w:r>
              <w:t xml:space="preserve">5,088</w:t>
            </w:r>
          </w:p>
        </w:tc>
      </w:tr>
      <w:tr>
        <w:tc>
          <w:tcPr/>
          <w:p>
            <w:pPr>
              <w:pStyle w:val="Compact"/>
              <w:jc w:val="left"/>
            </w:pPr>
            <w:r>
              <w:t xml:space="preserve">Angady</w:t>
            </w:r>
          </w:p>
        </w:tc>
        <w:tc>
          <w:tcPr/>
          <w:p>
            <w:pPr>
              <w:pStyle w:val="Compact"/>
              <w:jc w:val="right"/>
            </w:pPr>
            <w:r>
              <w:t xml:space="preserve">442</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270</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165</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91</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77</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41</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27</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24</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24</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Bœuf (ex : piétinage)</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17</w:t>
            </w:r>
          </w:p>
        </w:tc>
      </w:tr>
      <w:tr>
        <w:tc>
          <w:tcPr/>
          <w:p>
            <w:pPr>
              <w:pStyle w:val="Compact"/>
              <w:jc w:val="left"/>
            </w:pPr>
            <w:r>
              <w:t xml:space="preserve">Natte et semblables (goel</w:t>
            </w:r>
          </w:p>
        </w:tc>
        <w:tc>
          <w:tcPr/>
          <w:p>
            <w:pPr>
              <w:pStyle w:val="Compact"/>
              <w:jc w:val="right"/>
            </w:pPr>
            <w:r>
              <w:t xml:space="preserve">11</w:t>
            </w:r>
          </w:p>
        </w:tc>
        <w:tc>
          <w:tcPr/>
          <w:p>
            <w:pPr>
              <w:pStyle w:val="Compact"/>
              <w:jc w:val="right"/>
            </w:pPr>
            <w:r>
              <w:t xml:space="preserve">2.2</w:t>
            </w:r>
          </w:p>
        </w:tc>
        <w:tc>
          <w:tcPr/>
          <w:p>
            <w:pPr>
              <w:pStyle w:val="Compact"/>
              <w:jc w:val="right"/>
            </w:pPr>
            <w:r>
              <w:t xml:space="preserve">11</w:t>
            </w:r>
          </w:p>
        </w:tc>
      </w:tr>
      <w:tr>
        <w:tc>
          <w:tcPr/>
          <w:p>
            <w:pPr>
              <w:pStyle w:val="Compact"/>
              <w:jc w:val="left"/>
            </w:pPr>
            <w:r>
              <w:t xml:space="preserve">Bidon (genre bidon à pétr</w:t>
            </w:r>
          </w:p>
        </w:tc>
        <w:tc>
          <w:tcPr/>
          <w:p>
            <w:pPr>
              <w:pStyle w:val="Compact"/>
              <w:jc w:val="right"/>
            </w:pPr>
            <w:r>
              <w:t xml:space="preserve">8</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Pioche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Nasse</w:t>
            </w:r>
          </w:p>
        </w:tc>
        <w:tc>
          <w:tcPr/>
          <w:p>
            <w:pPr>
              <w:pStyle w:val="Compact"/>
              <w:jc w:val="right"/>
            </w:pPr>
            <w:r>
              <w:t xml:space="preserve">7</w:t>
            </w:r>
          </w:p>
        </w:tc>
        <w:tc>
          <w:tcPr/>
          <w:p>
            <w:pPr>
              <w:pStyle w:val="Compact"/>
              <w:jc w:val="right"/>
            </w:pPr>
            <w:r>
              <w:t xml:space="preserve">1.4</w:t>
            </w:r>
          </w:p>
        </w:tc>
        <w:tc>
          <w:tcPr/>
          <w:p>
            <w:pPr>
              <w:pStyle w:val="Compact"/>
              <w:jc w:val="right"/>
            </w:pPr>
            <w:r>
              <w:t xml:space="preserve">7</w:t>
            </w:r>
          </w:p>
        </w:tc>
      </w:tr>
      <w:tr>
        <w:tc>
          <w:tcPr/>
          <w:p>
            <w:pPr>
              <w:pStyle w:val="Compact"/>
              <w:jc w:val="left"/>
            </w:pPr>
            <w:r>
              <w:t xml:space="preserve">Hafa</w:t>
            </w:r>
          </w:p>
        </w:tc>
        <w:tc>
          <w:tcPr/>
          <w:p>
            <w:pPr>
              <w:pStyle w:val="Compact"/>
              <w:jc w:val="right"/>
            </w:pPr>
            <w:r>
              <w:t xml:space="preserve">6</w:t>
            </w:r>
          </w:p>
        </w:tc>
        <w:tc>
          <w:tcPr/>
          <w:p>
            <w:pPr>
              <w:pStyle w:val="Compact"/>
              <w:jc w:val="right"/>
            </w:pPr>
            <w:r>
              <w:t xml:space="preserve">1.2</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6</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Bicyclette</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Scie</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Autres</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Egreneuse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Semoir attelé</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Brouette</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Soubique, produits de tis</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Charrette non attelée (à</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Rouleau</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gridSpan w:val="4"/>
          </w:tcPr>
          <w:p>
            <w:pPr>
              <w:pStyle w:val="Compact"/>
              <w:jc w:val="left"/>
            </w:pPr>
            <w:r>
              <w:t xml:space="preserve">NA</w:t>
            </w:r>
          </w:p>
        </w:tc>
      </w:tr>
      <w:tr>
        <w:tc>
          <w:tcPr/>
          <w:p>
            <w:pPr>
              <w:pStyle w:val="Compact"/>
            </w:pPr>
          </w:p>
        </w:tc>
        <w:tc>
          <w:tcPr/>
          <w:p>
            <w:pPr>
              <w:pStyle w:val="Compact"/>
              <w:jc w:val="right"/>
            </w:pPr>
            <w:r>
              <w:t xml:space="preserve">435</w:t>
            </w:r>
          </w:p>
        </w:tc>
        <w:tc>
          <w:tcPr/>
          <w:p>
            <w:pPr>
              <w:pStyle w:val="Compact"/>
              <w:jc w:val="right"/>
            </w:pPr>
            <w:r>
              <w:t xml:space="preserve">NA</w:t>
            </w:r>
          </w:p>
        </w:tc>
        <w:tc>
          <w:tcPr/>
          <w:p>
            <w:pPr>
              <w:pStyle w:val="Compact"/>
              <w:jc w:val="right"/>
            </w:pPr>
            <w:r>
              <w:t xml:space="preserve">4,776</w:t>
            </w:r>
          </w:p>
        </w:tc>
      </w:tr>
      <w:tr>
        <w:tc>
          <w:tcPr/>
          <w:p>
            <w:pPr>
              <w:pStyle w:val="Compact"/>
              <w:jc w:val="left"/>
            </w:pPr>
            <w:r>
              <w:t xml:space="preserve">Angady</w:t>
            </w:r>
          </w:p>
        </w:tc>
        <w:tc>
          <w:tcPr/>
          <w:p>
            <w:pPr>
              <w:pStyle w:val="Compact"/>
              <w:jc w:val="right"/>
            </w:pPr>
            <w:r>
              <w:t xml:space="preserve">425</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10</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Balance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Bidon (genre bidon à pétr</w:t>
            </w:r>
          </w:p>
        </w:tc>
        <w:tc>
          <w:tcPr/>
          <w:p>
            <w:pPr>
              <w:pStyle w:val="Compact"/>
              <w:jc w:val="right"/>
            </w:pPr>
            <w:r>
              <w:t xml:space="preserve">14</w:t>
            </w:r>
          </w:p>
        </w:tc>
        <w:tc>
          <w:tcPr/>
          <w:p>
            <w:pPr>
              <w:pStyle w:val="Compact"/>
              <w:jc w:val="right"/>
            </w:pPr>
            <w:r>
              <w:t xml:space="preserve">NA</w:t>
            </w:r>
          </w:p>
        </w:tc>
        <w:tc>
          <w:tcPr/>
          <w:p>
            <w:pPr>
              <w:pStyle w:val="Compact"/>
              <w:jc w:val="right"/>
            </w:pPr>
            <w:r>
              <w:t xml:space="preserve">14</w:t>
            </w:r>
          </w:p>
        </w:tc>
      </w:tr>
      <w:tr>
        <w:tc>
          <w:tcPr/>
          <w:p>
            <w:pPr>
              <w:pStyle w:val="Compact"/>
              <w:jc w:val="left"/>
            </w:pPr>
            <w:r>
              <w:t xml:space="preserve">Brouette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Bœuf (ex : piétinage)</w:t>
            </w:r>
          </w:p>
        </w:tc>
        <w:tc>
          <w:tcPr/>
          <w:p>
            <w:pPr>
              <w:pStyle w:val="Compact"/>
              <w:jc w:val="right"/>
            </w:pPr>
            <w:r>
              <w:t xml:space="preserve">64</w:t>
            </w:r>
          </w:p>
        </w:tc>
        <w:tc>
          <w:tcPr/>
          <w:p>
            <w:pPr>
              <w:pStyle w:val="Compact"/>
              <w:jc w:val="right"/>
            </w:pPr>
            <w:r>
              <w:t xml:space="preserve">NA</w:t>
            </w:r>
          </w:p>
        </w:tc>
        <w:tc>
          <w:tcPr/>
          <w:p>
            <w:pPr>
              <w:pStyle w:val="Compact"/>
              <w:jc w:val="right"/>
            </w:pPr>
            <w:r>
              <w:t xml:space="preserve">64</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Canne planteuse</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39</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Corde (ex : servant pour</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p>
            <w:pPr>
              <w:pStyle w:val="Compact"/>
              <w:jc w:val="left"/>
            </w:pPr>
            <w:r>
              <w:t xml:space="preserve">Couteau</w:t>
            </w:r>
          </w:p>
        </w:tc>
        <w:tc>
          <w:tcPr/>
          <w:p>
            <w:pPr>
              <w:pStyle w:val="Compact"/>
              <w:jc w:val="right"/>
            </w:pPr>
            <w:r>
              <w:t xml:space="preserve">114</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Décortiqueur / dépailleur</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Faucille/Coupe-coupe</w:t>
            </w:r>
          </w:p>
        </w:tc>
        <w:tc>
          <w:tcPr/>
          <w:p>
            <w:pPr>
              <w:pStyle w:val="Compact"/>
              <w:jc w:val="right"/>
            </w:pPr>
            <w:r>
              <w:t xml:space="preserve">314</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Filet</w:t>
            </w:r>
          </w:p>
        </w:tc>
        <w:tc>
          <w:tcPr/>
          <w:p>
            <w:pPr>
              <w:pStyle w:val="Compact"/>
              <w:jc w:val="right"/>
            </w:pPr>
            <w:r>
              <w:t xml:space="preserve">5</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Hache</w:t>
            </w:r>
          </w:p>
        </w:tc>
        <w:tc>
          <w:tcPr/>
          <w:p>
            <w:pPr>
              <w:pStyle w:val="Compact"/>
              <w:jc w:val="right"/>
            </w:pPr>
            <w:r>
              <w:t xml:space="preserve">133</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Hafa</w:t>
            </w:r>
          </w:p>
        </w:tc>
        <w:tc>
          <w:tcPr/>
          <w:p>
            <w:pPr>
              <w:pStyle w:val="Compact"/>
              <w:jc w:val="right"/>
            </w:pPr>
            <w:r>
              <w:t xml:space="preserve">3</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Herse/Pulvériseur/Rotovat</w:t>
            </w:r>
          </w:p>
        </w:tc>
        <w:tc>
          <w:tcPr/>
          <w:p>
            <w:pPr>
              <w:pStyle w:val="Compact"/>
              <w:jc w:val="right"/>
            </w:pPr>
            <w:r>
              <w:t xml:space="preserve">105</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12</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Natte et semblables (goel</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33</w:t>
            </w:r>
          </w:p>
        </w:tc>
      </w:tr>
      <w:tr>
        <w:tc>
          <w:tcPr/>
          <w:p>
            <w:pPr>
              <w:pStyle w:val="Compact"/>
              <w:jc w:val="left"/>
            </w:pPr>
            <w:r>
              <w:t xml:space="preserve">Pompe hydraulique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Rouleau</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Râteau, fourche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Scie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Soubique, produits de tis</w:t>
            </w:r>
          </w:p>
        </w:tc>
        <w:tc>
          <w:tcPr/>
          <w:p>
            <w:pPr>
              <w:pStyle w:val="Compact"/>
              <w:jc w:val="right"/>
            </w:pPr>
            <w:r>
              <w:t xml:space="preserve">24</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Tracteur</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gridSpan w:val="4"/>
          </w:tcPr>
          <w:p>
            <w:pPr>
              <w:pStyle w:val="Compact"/>
              <w:jc w:val="left"/>
            </w:pPr>
            <w:r>
              <w:rPr>
                <w:b/>
                <w:bCs/>
              </w:rPr>
              <w:t xml:space="preserve">Source : Enquête auprès des OR 2025</w:t>
            </w:r>
          </w:p>
        </w:tc>
      </w:tr>
    </w:tbl>
    <w:p>
      <w:pPr>
        <w:pStyle w:val="BodyText"/>
      </w:pPr>
    </w:p>
    <w:bookmarkEnd w:id="101"/>
    <w:bookmarkStart w:id="102" w:name="X24c737da7e24b14633fee24ad0f9be046aa4214"/>
    <w:p>
      <w:pPr>
        <w:pStyle w:val="Heading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Matériels de communication audiovisuelle et télécommunication — Alaotra</w:t>
            </w:r>
          </w:p>
        </w:tc>
      </w:tr>
      <w:tr>
        <w:trPr>
          <w:tblHeader w:val="on"/>
        </w:trPr>
        <w:tc>
          <w:tcPr/>
          <w:p>
            <w:pPr>
              <w:pStyle w:val="Compact"/>
              <w:jc w:val="left"/>
            </w:pPr>
            <w:r>
              <w:t xml:space="preserve">Equipement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13.2</w:t>
            </w:r>
          </w:p>
        </w:tc>
      </w:tr>
      <w:tr>
        <w:tc>
          <w:tcPr>
            <w:gridSpan w:val="3"/>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5.3</w:t>
            </w:r>
          </w:p>
        </w:tc>
      </w:tr>
      <w:tr>
        <w:tc>
          <w:tcPr>
            <w:gridSpan w:val="3"/>
          </w:tcPr>
          <w:p>
            <w:pPr>
              <w:pStyle w:val="Compact"/>
              <w:jc w:val="left"/>
            </w:pPr>
            <w:r>
              <w:rPr>
                <w:b/>
                <w:bCs/>
              </w:rPr>
              <w:t xml:space="preserve">Source : Enquête auprès des OR 2025</w:t>
            </w:r>
          </w:p>
        </w:tc>
      </w:tr>
    </w:tbl>
    <w:p>
      <w:pPr>
        <w:pStyle w:val="BodyText"/>
      </w:pPr>
    </w:p>
    <w:bookmarkEnd w:id="102"/>
    <w:bookmarkEnd w:id="103"/>
    <w:bookmarkStart w:id="107" w:name="transferts-sortants"/>
    <w:p>
      <w:pPr>
        <w:pStyle w:val="Heading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04" w:name="fig-transferts-sortants"/>
          <w:p>
            <w:pPr>
              <w:pStyle w:val="Compact"/>
              <w:jc w:val="center"/>
            </w:pPr>
          </w:p>
          <w:p>
            <w:pPr>
              <w:jc w:val="center"/>
            </w:pPr>
            <w:pPr>
              <w:jc w:val="left"/>
              <w:spacing w:before="200"/>
              <w:pStyle w:val="ImageCaption"/>
            </w:pPr>
            <w:r>
              <w:t xml:space="preserve">Figure 3.1: Valeur moyenne des transferts sortants par observatoire et type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5"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05"/>
          <w:p/>
        </w:tc>
      </w:tr>
    </w:tbl>
    <w:tbl>
      <w:tblPr>
        <w:tblStyle w:val="Table"/>
        <w:tblW w:type="pct" w:w="5000"/>
        <w:tblLayout w:type="fixed"/>
        <w:tblLook w:firstRow="0" w:lastRow="0" w:firstColumn="0" w:lastColumn="0" w:noHBand="0" w:noVBand="0" w:val="0000"/>
      </w:tblPr>
      <w:tblGrid>
        <w:gridCol w:w="7920"/>
      </w:tblGrid>
      <w:tr>
        <w:tc>
          <w:tcPr/>
          <w:bookmarkStart w:id="106" w:name="fig-destination-transferts"/>
          <w:p>
            <w:pPr>
              <w:pStyle w:val="Compact"/>
              <w:jc w:val="center"/>
            </w:pPr>
          </w:p>
          <w:p>
            <w:pPr>
              <w:jc w:val="center"/>
            </w:pPr>
            <w:pPr>
              <w:jc w:val="left"/>
              <w:spacing w:before="200"/>
              <w:pStyle w:val="ImageCaption"/>
            </w:pPr>
            <w:r>
              <w:t xml:space="preserve">Figure 3.2: Lieu de residence des destinataires de transferts</w:t>
            </w:r>
          </w:p>
          <w:bookmarkEnd w:id="106"/>
        </w:tc>
      </w:tr>
    </w:tbl>
    <w:bookmarkEnd w:id="107"/>
    <w:bookmarkEnd w:id="108"/>
    <w:bookmarkStart w:id="144" w:name="foncier"/>
    <w:p>
      <w:pPr>
        <w:pStyle w:val="Heading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fbede\AppData\Local\Programs\Quarto\share\formats\docx\warning.png" id="11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124" w:name="sec-patrimoine"/>
    <w:p>
      <w:pPr>
        <w:pStyle w:val="Heading2"/>
      </w:pPr>
      <w:r>
        <w:t xml:space="preserve">4.1 Patrimoine foncier</w:t>
      </w:r>
    </w:p>
    <w:bookmarkStart w:id="113" w:name="nombre-de-parcelles-possédées"/>
    <w:p>
      <w:pPr>
        <w:pStyle w:val="Heading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Hyperlink"/>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11" w:name="fig-nb-parcelles"/>
          <w:p>
            <w:pPr>
              <w:pStyle w:val="Compact"/>
              <w:jc w:val="center"/>
            </w:pPr>
          </w:p>
          <w:p>
            <w:pPr>
              <w:jc w:val="center"/>
            </w:pPr>
            <w:pPr>
              <w:jc w:val="left"/>
              <w:spacing w:before="200"/>
              <w:pStyle w:val="ImageCaption"/>
            </w:pPr>
            <w:r>
              <w:t xml:space="preserve">Figure 4.1: Distribution du nombre de parcelles possédées par ménage</w:t>
            </w:r>
          </w:p>
          <w:bookmarkEnd w:id="111"/>
        </w:tc>
      </w:tr>
    </w:tbl>
    <w:tbl>
      <w:tblPr>
        <w:tblStyle w:val="Table"/>
        <w:tblW w:type="pct" w:w="5000"/>
        <w:tblLayout w:type="fixed"/>
        <w:tblLook w:firstRow="0" w:lastRow="0" w:firstColumn="0" w:lastColumn="0" w:noHBand="0" w:noVBand="0" w:val="0000"/>
      </w:tblPr>
      <w:tblGrid>
        <w:gridCol w:w="7920"/>
      </w:tblGrid>
      <w:tr>
        <w:tc>
          <w:tcPr/>
          <w:bookmarkStart w:id="112"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12"/>
          <w:p/>
        </w:tc>
      </w:tr>
    </w:tbl>
    <w:p>
      <w:pPr>
        <w:pStyle w:val="BodyText"/>
      </w:pPr>
      <w:r>
        <w:t xml:space="preserve">Le</w:t>
      </w:r>
      <w:r>
        <w:t xml:space="preserve"> </w:t>
      </w:r>
      <w:hyperlink w:anchor="tbl-parcelles-stats">
        <w:r>
          <w:rPr>
            <w:rStyle w:val="Hyperlink"/>
          </w:rPr>
          <w:t xml:space="preserve">Table 4.1</w:t>
        </w:r>
      </w:hyperlink>
      <w:r>
        <w:t xml:space="preserve"> </w:t>
      </w:r>
      <w:r>
        <w:t xml:space="preserve">résume les principales caractéristiques du patrimoine foncier possédé.</w:t>
      </w:r>
    </w:p>
    <w:p>
      <w:pPr>
        <w:pStyle w:val="BodyText"/>
      </w:pPr>
      <w:r>
        <w:rPr>
          <w:b/>
          <w:bCs/>
        </w:rPr>
        <w:t xml:space="preserve">Alaotra.</w:t>
      </w:r>
      <w:r>
        <w:t xml:space="preserve"> </w:t>
      </w:r>
      <w:r>
        <w:t xml:space="preserve">La superficie moyenne par parcelle est de 51.6 ares, et la surface totale possédée par ménage atteint en moyenne 117.4 ares.</w:t>
      </w:r>
    </w:p>
    <w:bookmarkEnd w:id="113"/>
    <w:bookmarkStart w:id="116" w:name="Xb3a5d9a9af71174c0c59d5650fdd434d6154eab"/>
    <w:p>
      <w:pPr>
        <w:pStyle w:val="Heading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Hyperlink"/>
          </w:rPr>
          <w:t xml:space="preserve">Figure 4.2</w:t>
        </w:r>
      </w:hyperlink>
      <w:r>
        <w:t xml:space="preserve">).</w:t>
      </w:r>
    </w:p>
    <w:p>
      <w:pPr>
        <w:pStyle w:val="BodyText"/>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114" w:name="fig-type-parcelle"/>
          <w:p>
            <w:pPr>
              <w:pStyle w:val="Compact"/>
              <w:jc w:val="center"/>
            </w:pPr>
          </w:p>
          <w:p>
            <w:pPr>
              <w:jc w:val="center"/>
            </w:pPr>
            <w:pPr>
              <w:jc w:val="left"/>
              <w:spacing w:before="200"/>
              <w:pStyle w:val="ImageCaption"/>
            </w:pPr>
            <w:r>
              <w:t xml:space="preserve">Figure 4.2: Type des parcelles possédées</w:t>
            </w:r>
          </w:p>
          <w:bookmarkEnd w:id="114"/>
        </w:tc>
      </w:tr>
    </w:tbl>
    <w:p>
      <w:pPr>
        <w:pStyle w:val="BodyText"/>
      </w:pPr>
      <w:r>
        <w:t xml:space="preserve">La localisation des parcelles reflète les spécificités agro-écologiques de chaque site (</w:t>
      </w:r>
      <w:hyperlink w:anchor="fig-localisation-parcelle">
        <w:r>
          <w:rPr>
            <w:rStyle w:val="Hyperlink"/>
          </w:rPr>
          <w:t xml:space="preserve">Figure 4.3</w:t>
        </w:r>
      </w:hyperlink>
      <w:r>
        <w:t xml:space="preserve">).</w:t>
      </w:r>
    </w:p>
    <w:p>
      <w:pPr>
        <w:pStyle w:val="BodyText"/>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115" w:name="fig-localisation-parcelle"/>
          <w:p>
            <w:pPr>
              <w:pStyle w:val="Compact"/>
              <w:jc w:val="center"/>
            </w:pPr>
          </w:p>
          <w:p>
            <w:pPr>
              <w:jc w:val="center"/>
            </w:pPr>
            <w:pPr>
              <w:jc w:val="left"/>
              <w:spacing w:before="200"/>
              <w:pStyle w:val="ImageCaption"/>
            </w:pPr>
            <w:r>
              <w:t xml:space="preserve">Figure 4.3: Localisation des parcelles possédées</w:t>
            </w:r>
          </w:p>
          <w:bookmarkEnd w:id="115"/>
        </w:tc>
      </w:tr>
    </w:tbl>
    <w:bookmarkEnd w:id="116"/>
    <w:bookmarkStart w:id="118" w:name="irrigation-des-parcelles-possédées"/>
    <w:p>
      <w:pPr>
        <w:pStyle w:val="Heading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Hyperlink"/>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17" w:name="fig-irrigation-possedee"/>
          <w:p>
            <w:pPr>
              <w:pStyle w:val="Compact"/>
              <w:jc w:val="center"/>
            </w:pPr>
          </w:p>
          <w:p>
            <w:pPr>
              <w:jc w:val="center"/>
            </w:pPr>
            <w:pPr>
              <w:jc w:val="left"/>
              <w:spacing w:before="200"/>
              <w:pStyle w:val="ImageCaption"/>
            </w:pPr>
            <w:r>
              <w:t xml:space="preserve">Figure 4.4: Mode d’irrigation des parcelles possédées</w:t>
            </w:r>
          </w:p>
          <w:bookmarkEnd w:id="117"/>
        </w:tc>
      </w:tr>
    </w:tbl>
    <w:bookmarkEnd w:id="118"/>
    <w:bookmarkStart w:id="121" w:name="mode-dacquisition-et-ancienneté"/>
    <w:p>
      <w:pPr>
        <w:pStyle w:val="Heading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Hyperlink"/>
          </w:rPr>
          <w:t xml:space="preserve">Figure 4.5</w:t>
        </w:r>
      </w:hyperlink>
      <w:r>
        <w:t xml:space="preserve">). L’héritage domine largement dans les deux observatoires.</w:t>
      </w:r>
    </w:p>
    <w:p>
      <w:pPr>
        <w:pStyle w:val="BodyText"/>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119" w:name="fig-acquisition"/>
          <w:p>
            <w:pPr>
              <w:pStyle w:val="Compact"/>
              <w:jc w:val="center"/>
            </w:pPr>
          </w:p>
          <w:p>
            <w:pPr>
              <w:jc w:val="center"/>
            </w:pPr>
            <w:pPr>
              <w:jc w:val="left"/>
              <w:spacing w:before="200"/>
              <w:pStyle w:val="ImageCaption"/>
            </w:pPr>
            <w:r>
              <w:t xml:space="preserve">Figure 4.5: Mode d’acquisition des parcelles possédées</w:t>
            </w:r>
          </w:p>
          <w:bookmarkEnd w:id="119"/>
        </w:tc>
      </w:tr>
    </w:tbl>
    <w:p>
      <w:pPr>
        <w:pStyle w:val="BodyText"/>
      </w:pPr>
      <w:r>
        <w:t xml:space="preserve">L’ancienneté de possession témoigne de l’enracinement des ménages sur leurs terres (</w:t>
      </w:r>
      <w:hyperlink w:anchor="fig-anciennete">
        <w:r>
          <w:rPr>
            <w:rStyle w:val="Hyperlink"/>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120" w:name="fig-anciennete"/>
          <w:p>
            <w:pPr>
              <w:pStyle w:val="Compact"/>
              <w:jc w:val="center"/>
            </w:pPr>
          </w:p>
          <w:p>
            <w:pPr>
              <w:jc w:val="center"/>
            </w:pPr>
            <w:pPr>
              <w:jc w:val="left"/>
              <w:spacing w:before="200"/>
              <w:pStyle w:val="ImageCaption"/>
            </w:pPr>
            <w:r>
              <w:t xml:space="preserve">Figure 4.6: Ancienneté de possession des parcelles</w:t>
            </w:r>
          </w:p>
          <w:bookmarkEnd w:id="120"/>
        </w:tc>
      </w:tr>
    </w:tbl>
    <w:bookmarkEnd w:id="121"/>
    <w:bookmarkStart w:id="123" w:name="propriétaire-dans-le-ménage"/>
    <w:p>
      <w:pPr>
        <w:pStyle w:val="Heading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Hyperlink"/>
          </w:rPr>
          <w:t xml:space="preserve">Figure 4.7</w:t>
        </w:r>
      </w:hyperlink>
      <w:r>
        <w:t xml:space="preserve">). Dans les deux observatoires, c’est le chef de ménage qui est déclaré propriétaire de la majorité des parcelles, ce qui illustre les inégalités d’accès au foncier.</w:t>
      </w:r>
    </w:p>
    <w:p>
      <w:pPr>
        <w:pStyle w:val="BodyText"/>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122" w:name="fig-proprietaire"/>
          <w:p>
            <w:pPr>
              <w:pStyle w:val="Compact"/>
              <w:jc w:val="center"/>
            </w:pPr>
          </w:p>
          <w:p>
            <w:pPr>
              <w:jc w:val="center"/>
            </w:pPr>
            <w:pPr>
              <w:jc w:val="left"/>
              <w:spacing w:before="200"/>
              <w:pStyle w:val="ImageCaption"/>
            </w:pPr>
            <w:r>
              <w:t xml:space="preserve">Figure 4.7: Qui dans le ménage est propriétaire de la parcelle</w:t>
            </w:r>
          </w:p>
          <w:bookmarkEnd w:id="122"/>
        </w:tc>
      </w:tr>
    </w:tbl>
    <w:bookmarkEnd w:id="123"/>
    <w:bookmarkEnd w:id="124"/>
    <w:bookmarkStart w:id="127" w:name="sec-securisation"/>
    <w:p>
      <w:pPr>
        <w:pStyle w:val="Heading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Hyperlink"/>
          </w:rPr>
          <w:t xml:space="preserve">Table 4.2</w:t>
        </w:r>
      </w:hyperlink>
      <w:r>
        <w:t xml:space="preserve">).</w:t>
      </w:r>
    </w:p>
    <w:p>
      <w:pPr>
        <w:pStyle w:val="BodyText"/>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125"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125"/>
          <w:p/>
        </w:tc>
      </w:tr>
    </w:tbl>
    <w:p>
      <w:pPr>
        <w:pStyle w:val="BodyText"/>
      </w:pPr>
      <w:r>
        <w:t xml:space="preserve">En l’absence de titre ou de certificat, les ménages s’appuient sur des documents informels de nature très variable (</w:t>
      </w:r>
      <w:hyperlink w:anchor="fig-papiers">
        <w:r>
          <w:rPr>
            <w:rStyle w:val="Hyperlink"/>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126" w:name="fig-papiers"/>
          <w:p>
            <w:pPr>
              <w:pStyle w:val="Compact"/>
              <w:jc w:val="center"/>
            </w:pPr>
          </w:p>
          <w:p>
            <w:pPr>
              <w:jc w:val="center"/>
            </w:pPr>
            <w:pPr>
              <w:jc w:val="left"/>
              <w:spacing w:before="200"/>
              <w:pStyle w:val="ImageCaption"/>
            </w:pPr>
            <w:r>
              <w:t xml:space="preserve">Figure 4.8: Autres documents prouvant la possession</w:t>
            </w:r>
          </w:p>
          <w:bookmarkEnd w:id="126"/>
        </w:tc>
      </w:tr>
    </w:tbl>
    <w:bookmarkEnd w:id="127"/>
    <w:bookmarkStart w:id="132" w:name="sec-cessions"/>
    <w:p>
      <w:pPr>
        <w:pStyle w:val="Heading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Hyperlink"/>
          </w:rPr>
          <w:t xml:space="preserve">Table 4.3</w:t>
        </w:r>
      </w:hyperlink>
      <w:r>
        <w:t xml:space="preserve">), pour un total de 132 parcelles cédées.</w:t>
      </w:r>
    </w:p>
    <w:p>
      <w:pPr>
        <w:pStyle w:val="BodyText"/>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128"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128"/>
          <w:p/>
        </w:tc>
      </w:tr>
    </w:tbl>
    <w:p>
      <w:pPr>
        <w:pStyle w:val="BodyText"/>
      </w:pPr>
      <w:r>
        <w:t xml:space="preserve">Parmi les parcelles cédées, les modes de faire-valoir varient sensiblement d’un observatoire à l’autre (</w:t>
      </w:r>
      <w:hyperlink w:anchor="fig-mode-cession">
        <w:r>
          <w:rPr>
            <w:rStyle w:val="Hyperlink"/>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129" w:name="fig-mode-cession"/>
          <w:p>
            <w:pPr>
              <w:pStyle w:val="Compact"/>
              <w:jc w:val="center"/>
            </w:pPr>
          </w:p>
          <w:p>
            <w:pPr>
              <w:jc w:val="center"/>
            </w:pPr>
            <w:pPr>
              <w:jc w:val="left"/>
              <w:spacing w:before="200"/>
              <w:pStyle w:val="ImageCaption"/>
            </w:pPr>
            <w:r>
              <w:t xml:space="preserve">Figure 4.9: Mode de faire-valoir des parcelles cédées</w:t>
            </w:r>
          </w:p>
          <w:bookmarkEnd w:id="129"/>
        </w:tc>
      </w:tr>
    </w:tbl>
    <w:p>
      <w:pPr>
        <w:pStyle w:val="BodyText"/>
      </w:pPr>
      <w:r>
        <w:t xml:space="preserve">Les motivations de la cession reflètent des stratégies économiques diversifiées (</w:t>
      </w:r>
      <w:hyperlink w:anchor="fig-motif-cession">
        <w:r>
          <w:rPr>
            <w:rStyle w:val="Hyperlink"/>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130" w:name="fig-motif-cession"/>
          <w:p>
            <w:pPr>
              <w:pStyle w:val="Compact"/>
              <w:jc w:val="center"/>
            </w:pPr>
          </w:p>
          <w:p>
            <w:pPr>
              <w:jc w:val="center"/>
            </w:pPr>
            <w:pPr>
              <w:jc w:val="left"/>
              <w:spacing w:before="200"/>
              <w:pStyle w:val="ImageCaption"/>
            </w:pPr>
            <w:r>
              <w:t xml:space="preserve">Figure 4.10: Motif de la cession de parcelles</w:t>
            </w:r>
          </w:p>
          <w:bookmarkEnd w:id="130"/>
        </w:tc>
      </w:tr>
    </w:tbl>
    <w:p>
      <w:pPr>
        <w:pStyle w:val="BodyText"/>
      </w:pPr>
      <w:r>
        <w:t xml:space="preserve">Les bénéficiaires des cessions sont principalement des membres de la famille ou des voisins (</w:t>
      </w:r>
      <w:hyperlink w:anchor="fig-cedee-a-qui">
        <w:r>
          <w:rPr>
            <w:rStyle w:val="Hyperlink"/>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131" w:name="fig-cedee-a-qui"/>
          <w:p>
            <w:pPr>
              <w:pStyle w:val="Compact"/>
              <w:jc w:val="center"/>
            </w:pPr>
          </w:p>
          <w:p>
            <w:pPr>
              <w:jc w:val="center"/>
            </w:pPr>
            <w:pPr>
              <w:jc w:val="left"/>
              <w:spacing w:before="200"/>
              <w:pStyle w:val="ImageCaption"/>
            </w:pPr>
            <w:r>
              <w:t xml:space="preserve">Figure 4.11: À qui la parcelle est-elle cédée</w:t>
            </w:r>
          </w:p>
          <w:bookmarkEnd w:id="131"/>
        </w:tc>
      </w:tr>
    </w:tbl>
    <w:bookmarkEnd w:id="132"/>
    <w:bookmarkStart w:id="139" w:name="sec-exploitees"/>
    <w:p>
      <w:pPr>
        <w:pStyle w:val="Heading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Hyperlink"/>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BodyText"/>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133"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133"/>
          <w:p/>
        </w:tc>
      </w:tr>
    </w:tbl>
    <w:p>
      <w:pPr>
        <w:pStyle w:val="BodyText"/>
      </w:pPr>
      <w:r>
        <w:t xml:space="preserve">Les parcelles exploitées sans en être propriétaire sont, comme les parcelles possédées, majoritairement des rizières (</w:t>
      </w:r>
      <w:hyperlink w:anchor="fig-type-exploitee">
        <w:r>
          <w:rPr>
            <w:rStyle w:val="Hyperlink"/>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134" w:name="fig-type-exploitee"/>
          <w:p>
            <w:pPr>
              <w:pStyle w:val="Compact"/>
              <w:jc w:val="center"/>
            </w:pPr>
          </w:p>
          <w:p>
            <w:pPr>
              <w:jc w:val="center"/>
            </w:pPr>
            <w:pPr>
              <w:jc w:val="left"/>
              <w:spacing w:before="200"/>
              <w:pStyle w:val="ImageCaption"/>
            </w:pPr>
            <w:r>
              <w:t xml:space="preserve">Figure 4.12: Type des parcelles exploitées (non possédées)</w:t>
            </w:r>
          </w:p>
          <w:bookmarkEnd w:id="134"/>
        </w:tc>
      </w:tr>
    </w:tbl>
    <w:p>
      <w:pPr>
        <w:pStyle w:val="BodyText"/>
      </w:pPr>
      <w:r>
        <w:t xml:space="preserve">Le mode de faire-valoir des parcelles exploitées révèle l’équilibre local entre prêt, location et métayage (</w:t>
      </w:r>
      <w:hyperlink w:anchor="fig-fv-exploitee">
        <w:r>
          <w:rPr>
            <w:rStyle w:val="Hyperlink"/>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135" w:name="fig-fv-exploitee"/>
          <w:p>
            <w:pPr>
              <w:pStyle w:val="Compact"/>
              <w:jc w:val="center"/>
            </w:pPr>
          </w:p>
          <w:p>
            <w:pPr>
              <w:jc w:val="center"/>
            </w:pPr>
            <w:pPr>
              <w:jc w:val="left"/>
              <w:spacing w:before="200"/>
              <w:pStyle w:val="ImageCaption"/>
            </w:pPr>
            <w:r>
              <w:t xml:space="preserve">Figure 4.13: Mode de faire-valoir des parcelles exploitées</w:t>
            </w:r>
          </w:p>
          <w:bookmarkEnd w:id="135"/>
        </w:tc>
      </w:tr>
    </w:tbl>
    <w:p>
      <w:pPr>
        <w:pStyle w:val="BodyText"/>
      </w:pPr>
      <w:r>
        <w:t xml:space="preserve">Les parcelles exploitées appartiennent le plus souvent à des membres de la famille ou à des voisins (</w:t>
      </w:r>
      <w:hyperlink w:anchor="fig-proprietaire-exploitee">
        <w:r>
          <w:rPr>
            <w:rStyle w:val="Hyperlink"/>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136" w:name="fig-proprietaire-exploitee"/>
          <w:p>
            <w:pPr>
              <w:pStyle w:val="Compact"/>
              <w:jc w:val="center"/>
            </w:pPr>
          </w:p>
          <w:p>
            <w:pPr>
              <w:jc w:val="center"/>
            </w:pPr>
            <w:pPr>
              <w:jc w:val="left"/>
              <w:spacing w:before="200"/>
              <w:pStyle w:val="ImageCaption"/>
            </w:pPr>
            <w:r>
              <w:t xml:space="preserve">Figure 4.14: Propriétaire des parcelles exploitées</w:t>
            </w:r>
          </w:p>
          <w:bookmarkEnd w:id="136"/>
        </w:tc>
      </w:tr>
    </w:tbl>
    <w:p>
      <w:pPr>
        <w:pStyle w:val="BodyText"/>
      </w:pPr>
      <w:r>
        <w:t xml:space="preserve">Le mode d’irrigation des parcelles exploitées diffère-t-il de celui des parcelles possédées ? La</w:t>
      </w:r>
      <w:r>
        <w:t xml:space="preserve"> </w:t>
      </w:r>
      <w:hyperlink w:anchor="fig-irrigation-exploitee">
        <w:r>
          <w:rPr>
            <w:rStyle w:val="Hyperlink"/>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137" w:name="fig-irrigation-exploitee"/>
          <w:p>
            <w:pPr>
              <w:pStyle w:val="Compact"/>
              <w:jc w:val="center"/>
            </w:pPr>
          </w:p>
          <w:p>
            <w:pPr>
              <w:jc w:val="center"/>
            </w:pPr>
            <w:pPr>
              <w:jc w:val="left"/>
              <w:spacing w:before="200"/>
              <w:pStyle w:val="ImageCaption"/>
            </w:pPr>
            <w:r>
              <w:t xml:space="preserve">Figure 4.15: Mode d’irrigation des parcelles exploitées</w:t>
            </w:r>
          </w:p>
          <w:bookmarkEnd w:id="137"/>
        </w:tc>
      </w:tr>
    </w:tbl>
    <w:p>
      <w:pPr>
        <w:pStyle w:val="BodyText"/>
      </w:pPr>
      <w:r>
        <w:t xml:space="preserve">Le coût de l’exploitation de terres d’autrui varie selon le mode de faire-valoir (</w:t>
      </w:r>
      <w:hyperlink w:anchor="tbl-rente-exploitee">
        <w:r>
          <w:rPr>
            <w:rStyle w:val="Hyperlink"/>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13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138"/>
          <w:p/>
        </w:tc>
      </w:tr>
    </w:tbl>
    <w:bookmarkEnd w:id="139"/>
    <w:bookmarkStart w:id="141" w:name="sec-abandon"/>
    <w:p>
      <w:pPr>
        <w:pStyle w:val="Heading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Hyperlink"/>
          </w:rPr>
          <w:t xml:space="preserve">Table 4.6</w:t>
        </w:r>
      </w:hyperlink>
      <w:r>
        <w:t xml:space="preserve">).</w:t>
      </w:r>
    </w:p>
    <w:p>
      <w:pPr>
        <w:pStyle w:val="BodyText"/>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14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140"/>
          <w:p/>
        </w:tc>
      </w:tr>
    </w:tbl>
    <w:bookmarkEnd w:id="141"/>
    <w:bookmarkStart w:id="143" w:name="sec-satisfaction"/>
    <w:p>
      <w:pPr>
        <w:pStyle w:val="Heading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Hyperlink"/>
          </w:rPr>
          <w:t xml:space="preserve">Figure 4.16</w:t>
        </w:r>
      </w:hyperlink>
      <w:r>
        <w:t xml:space="preserve">). Ce sentiment d’insuffisance foncière constitue un enjeu majeur pour les politiques de développement rural.</w:t>
      </w:r>
    </w:p>
    <w:p>
      <w:pPr>
        <w:pStyle w:val="BodyText"/>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142" w:name="fig-satisfaction"/>
          <w:p>
            <w:pPr>
              <w:pStyle w:val="Compact"/>
              <w:jc w:val="center"/>
            </w:pPr>
          </w:p>
          <w:p>
            <w:pPr>
              <w:jc w:val="center"/>
            </w:pPr>
            <w:pPr>
              <w:jc w:val="left"/>
              <w:spacing w:before="200"/>
              <w:pStyle w:val="ImageCaption"/>
            </w:pPr>
            <w:r>
              <w:t xml:space="preserve">Figure 4.16: Satisfaction des ménages par rapport à leur surface foncière</w:t>
            </w:r>
          </w:p>
          <w:bookmarkEnd w:id="142"/>
        </w:tc>
      </w:tr>
    </w:tbl>
    <w:bookmarkEnd w:id="143"/>
    <w:bookmarkEnd w:id="144"/>
    <w:bookmarkStart w:id="216" w:name="agriculture-élevage-et-pêche"/>
    <w:p>
      <w:pPr>
        <w:pStyle w:val="Heading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fbede\AppData\Local\Programs\Quarto\share\formats\docx\warning.png" id="14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185" w:name="sec-agriculture"/>
    <w:p>
      <w:pPr>
        <w:pStyle w:val="Heading2"/>
      </w:pPr>
      <w:r>
        <w:t xml:space="preserve">5.1 Agriculture</w:t>
      </w:r>
    </w:p>
    <w:bookmarkStart w:id="169" w:name="sec-riziculture"/>
    <w:p>
      <w:pPr>
        <w:pStyle w:val="Heading3"/>
      </w:pPr>
      <w:r>
        <w:t xml:space="preserve">5.1.1 Riziculture</w:t>
      </w:r>
    </w:p>
    <w:p>
      <w:pPr>
        <w:pStyle w:val="FirstParagraph"/>
      </w:pPr>
      <w:r>
        <w:t xml:space="preserve">La riziculture est l’activité agricole dominante dans les deux observatoires.</w:t>
      </w:r>
    </w:p>
    <w:p>
      <w:pPr>
        <w:pStyle w:val="BodyText"/>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147"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147"/>
          <w:p/>
        </w:tc>
      </w:tr>
    </w:tbl>
    <w:bookmarkStart w:id="150" w:name="mode-de-faire-valoir-et-accès-à-leau"/>
    <w:p>
      <w:pPr>
        <w:pStyle w:val="Heading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BodyText"/>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148" w:name="fig-tenure-riz"/>
          <w:p>
            <w:pPr>
              <w:pStyle w:val="Compact"/>
              <w:jc w:val="center"/>
            </w:pPr>
          </w:p>
          <w:p>
            <w:pPr>
              <w:jc w:val="center"/>
            </w:pPr>
            <w:pPr>
              <w:jc w:val="left"/>
              <w:spacing w:before="200"/>
              <w:pStyle w:val="ImageCaption"/>
            </w:pPr>
            <w:r>
              <w:t xml:space="preserve">Figure 5.1: Mode de faire valoir des parcelles rizicoles par observatoire</w:t>
            </w:r>
          </w:p>
          <w:bookmarkEnd w:id="148"/>
        </w:tc>
      </w:tr>
    </w:tbl>
    <w:p>
      <w:pPr>
        <w:pStyle w:val="BodyText"/>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149" w:name="fig-eau-riz"/>
          <w:p>
            <w:pPr>
              <w:pStyle w:val="Compact"/>
              <w:jc w:val="center"/>
            </w:pPr>
          </w:p>
          <w:p>
            <w:pPr>
              <w:jc w:val="center"/>
            </w:pPr>
            <w:pPr>
              <w:jc w:val="left"/>
              <w:spacing w:before="200"/>
              <w:pStyle w:val="ImageCaption"/>
            </w:pPr>
            <w:r>
              <w:t xml:space="preserve">Figure 5.2: Problèmes de maîtrise de l’eau sur les parcelles rizicoles</w:t>
            </w:r>
          </w:p>
          <w:bookmarkEnd w:id="149"/>
        </w:tc>
      </w:tr>
    </w:tbl>
    <w:bookmarkEnd w:id="150"/>
    <w:bookmarkStart w:id="154" w:name="techniques-culturales-et-intrants"/>
    <w:p>
      <w:pPr>
        <w:pStyle w:val="Heading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BodyText"/>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151" w:name="fig-technique-riz"/>
          <w:p>
            <w:pPr>
              <w:pStyle w:val="Compact"/>
              <w:jc w:val="center"/>
            </w:pPr>
          </w:p>
          <w:p>
            <w:pPr>
              <w:jc w:val="center"/>
            </w:pPr>
            <w:pPr>
              <w:jc w:val="left"/>
              <w:spacing w:before="200"/>
              <w:pStyle w:val="ImageCaption"/>
            </w:pPr>
            <w:r>
              <w:t xml:space="preserve">Figure 5.3: Technique de culture rizicole par observatoire</w:t>
            </w:r>
          </w:p>
          <w:bookmarkEnd w:id="151"/>
        </w:tc>
      </w:tr>
    </w:tbl>
    <w:tbl>
      <w:tblPr>
        <w:tblStyle w:val="Table"/>
        <w:tblW w:type="pct" w:w="5000"/>
        <w:tblLayout w:type="fixed"/>
        <w:tblLook w:firstRow="0" w:lastRow="0" w:firstColumn="0" w:lastColumn="0" w:noHBand="0" w:noVBand="0" w:val="0000"/>
      </w:tblPr>
      <w:tblGrid>
        <w:gridCol w:w="7920"/>
      </w:tblGrid>
      <w:tr>
        <w:tc>
          <w:tcPr/>
          <w:bookmarkStart w:id="152" w:name="fig-engrais-riz"/>
          <w:p>
            <w:pPr>
              <w:pStyle w:val="Compact"/>
              <w:jc w:val="center"/>
            </w:pPr>
          </w:p>
          <w:p>
            <w:pPr>
              <w:jc w:val="center"/>
            </w:pPr>
            <w:pPr>
              <w:jc w:val="left"/>
              <w:spacing w:before="200"/>
              <w:pStyle w:val="ImageCaption"/>
            </w:pPr>
            <w:r>
              <w:t xml:space="preserve">Figure 5.4: Utilisation d’engrais sur les parcelles rizicoles</w:t>
            </w:r>
          </w:p>
          <w:bookmarkEnd w:id="152"/>
        </w:tc>
      </w:tr>
    </w:tbl>
    <w:tbl>
      <w:tblPr>
        <w:tblStyle w:val="Table"/>
        <w:tblW w:type="pct" w:w="5000"/>
        <w:tblLayout w:type="fixed"/>
        <w:tblLook w:firstRow="0" w:lastRow="0" w:firstColumn="0" w:lastColumn="0" w:noHBand="0" w:noVBand="0" w:val="0000"/>
      </w:tblPr>
      <w:tblGrid>
        <w:gridCol w:w="7920"/>
      </w:tblGrid>
      <w:tr>
        <w:tc>
          <w:tcPr/>
          <w:bookmarkStart w:id="153"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153"/>
          <w:p/>
        </w:tc>
      </w:tr>
    </w:tbl>
    <w:bookmarkEnd w:id="154"/>
    <w:bookmarkStart w:id="158" w:name="rendements-et-production"/>
    <w:p>
      <w:pPr>
        <w:pStyle w:val="Heading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BodyText"/>
      </w:pPr>
      <w:r>
        <w:t xml:space="preserve">Dans l’Alaotra, le rendement rizicole médian s’établit à 2.5 t/ha (hors 5 % des valeurs extrêmes).</w:t>
      </w:r>
    </w:p>
    <w:tbl>
      <w:tblPr>
        <w:tblStyle w:val="Table"/>
        <w:tblW w:type="pct" w:w="5000"/>
        <w:tblLayout w:type="fixed"/>
        <w:tblLook w:firstRow="0" w:lastRow="0" w:firstColumn="0" w:lastColumn="0" w:noHBand="0" w:noVBand="0" w:val="0000"/>
      </w:tblPr>
      <w:tblGrid>
        <w:gridCol w:w="7920"/>
      </w:tblGrid>
      <w:tr>
        <w:tc>
          <w:tcPr/>
          <w:bookmarkStart w:id="155"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155"/>
          <w:p/>
        </w:tc>
      </w:tr>
    </w:tbl>
    <w:tbl>
      <w:tblPr>
        <w:tblStyle w:val="Table"/>
        <w:tblW w:type="pct" w:w="5000"/>
        <w:tblLayout w:type="fixed"/>
        <w:tblLook w:firstRow="0" w:lastRow="0" w:firstColumn="0" w:lastColumn="0" w:noHBand="0" w:noVBand="0" w:val="0000"/>
      </w:tblPr>
      <w:tblGrid>
        <w:gridCol w:w="7920"/>
      </w:tblGrid>
      <w:tr>
        <w:tc>
          <w:tcPr/>
          <w:bookmarkStart w:id="156" w:name="fig-rendement-riz-tha"/>
          <w:p>
            <w:pPr>
              <w:pStyle w:val="Compact"/>
              <w:jc w:val="center"/>
            </w:pPr>
          </w:p>
          <w:p>
            <w:pPr>
              <w:jc w:val="center"/>
            </w:pPr>
            <w:pPr>
              <w:jc w:val="left"/>
              <w:spacing w:before="200"/>
              <w:pStyle w:val="ImageCaption"/>
            </w:pPr>
            <w:r>
              <w:t xml:space="preserve">Figure 5.5: Distribution des rendements rizicoles (t/ha) par observatoire</w:t>
            </w:r>
          </w:p>
          <w:bookmarkEnd w:id="156"/>
        </w:tc>
      </w:tr>
    </w:tbl>
    <w:tbl>
      <w:tblPr>
        <w:tblStyle w:val="Table"/>
        <w:tblW w:type="pct" w:w="5000"/>
        <w:tblLayout w:type="fixed"/>
        <w:tblLook w:firstRow="0" w:lastRow="0" w:firstColumn="0" w:lastColumn="0" w:noHBand="0" w:noVBand="0" w:val="0000"/>
      </w:tblPr>
      <w:tblGrid>
        <w:gridCol w:w="7920"/>
      </w:tblGrid>
      <w:tr>
        <w:tc>
          <w:tcPr/>
          <w:bookmarkStart w:id="157" w:name="fig-production-riz"/>
          <w:p>
            <w:pPr>
              <w:pStyle w:val="Compact"/>
              <w:jc w:val="center"/>
            </w:pPr>
          </w:p>
          <w:p>
            <w:pPr>
              <w:jc w:val="center"/>
            </w:pPr>
            <w:pPr>
              <w:jc w:val="left"/>
              <w:spacing w:before="200"/>
              <w:pStyle w:val="ImageCaption"/>
            </w:pPr>
            <w:r>
              <w:t xml:space="preserve">Figure 5.6: Distribution de la production de paddy par parcelle (kg)</w:t>
            </w:r>
          </w:p>
          <w:bookmarkEnd w:id="157"/>
        </w:tc>
      </w:tr>
    </w:tbl>
    <w:bookmarkEnd w:id="158"/>
    <w:bookmarkStart w:id="162" w:name="topographie-et-saison-de-culture"/>
    <w:p>
      <w:pPr>
        <w:pStyle w:val="Heading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159" w:name="fig-topographie-riz"/>
          <w:p>
            <w:pPr>
              <w:pStyle w:val="Compact"/>
              <w:jc w:val="center"/>
            </w:pPr>
          </w:p>
          <w:p>
            <w:pPr>
              <w:jc w:val="center"/>
            </w:pPr>
            <w:pPr>
              <w:jc w:val="left"/>
              <w:spacing w:before="200"/>
              <w:pStyle w:val="ImageCaption"/>
            </w:pPr>
            <w:r>
              <w:t xml:space="preserve">Figure 5.7: Topographie des parcelles rizicoles</w:t>
            </w:r>
          </w:p>
          <w:bookmarkEnd w:id="159"/>
        </w:tc>
      </w:tr>
    </w:tbl>
    <w:tbl>
      <w:tblPr>
        <w:tblStyle w:val="Table"/>
        <w:tblW w:type="pct" w:w="5000"/>
        <w:tblLayout w:type="fixed"/>
        <w:tblLook w:firstRow="0" w:lastRow="0" w:firstColumn="0" w:lastColumn="0" w:noHBand="0" w:noVBand="0" w:val="0000"/>
      </w:tblPr>
      <w:tblGrid>
        <w:gridCol w:w="7920"/>
      </w:tblGrid>
      <w:tr>
        <w:tc>
          <w:tcPr/>
          <w:bookmarkStart w:id="160" w:name="fig-saison-riz"/>
          <w:p>
            <w:pPr>
              <w:pStyle w:val="Compact"/>
              <w:jc w:val="center"/>
            </w:pPr>
          </w:p>
          <w:p>
            <w:pPr>
              <w:jc w:val="center"/>
            </w:pPr>
            <w:pPr>
              <w:jc w:val="left"/>
              <w:spacing w:before="200"/>
              <w:pStyle w:val="ImageCaption"/>
            </w:pPr>
            <w:r>
              <w:t xml:space="preserve">Figure 5.8: Saison de culture rizicole</w:t>
            </w:r>
          </w:p>
          <w:bookmarkEnd w:id="160"/>
        </w:tc>
      </w:tr>
    </w:tbl>
    <w:tbl>
      <w:tblPr>
        <w:tblStyle w:val="Table"/>
        <w:tblW w:type="pct" w:w="5000"/>
        <w:tblLayout w:type="fixed"/>
        <w:tblLook w:firstRow="0" w:lastRow="0" w:firstColumn="0" w:lastColumn="0" w:noHBand="0" w:noVBand="0" w:val="0000"/>
      </w:tblPr>
      <w:tblGrid>
        <w:gridCol w:w="7920"/>
      </w:tblGrid>
      <w:tr>
        <w:tc>
          <w:tcPr/>
          <w:bookmarkStart w:id="161" w:name="fig-origine-semence"/>
          <w:p>
            <w:pPr>
              <w:pStyle w:val="Compact"/>
              <w:jc w:val="center"/>
            </w:pPr>
          </w:p>
          <w:p>
            <w:pPr>
              <w:jc w:val="center"/>
            </w:pPr>
            <w:pPr>
              <w:jc w:val="left"/>
              <w:spacing w:before="200"/>
              <w:pStyle w:val="ImageCaption"/>
            </w:pPr>
            <w:r>
              <w:t xml:space="preserve">Figure 5.9: Origine des semences de riz</w:t>
            </w:r>
          </w:p>
          <w:bookmarkEnd w:id="161"/>
        </w:tc>
      </w:tr>
    </w:tbl>
    <w:bookmarkEnd w:id="162"/>
    <w:bookmarkStart w:id="166" w:name="ventes-de-riz"/>
    <w:p>
      <w:pPr>
        <w:pStyle w:val="Heading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BodyText"/>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16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163"/>
          <w:p/>
        </w:tc>
      </w:tr>
    </w:tbl>
    <w:tbl>
      <w:tblPr>
        <w:tblStyle w:val="Table"/>
        <w:tblW w:type="pct" w:w="5000"/>
        <w:tblLayout w:type="fixed"/>
        <w:tblLook w:firstRow="0" w:lastRow="0" w:firstColumn="0" w:lastColumn="0" w:noHBand="0" w:noVBand="0" w:val="0000"/>
      </w:tblPr>
      <w:tblGrid>
        <w:gridCol w:w="7920"/>
      </w:tblGrid>
      <w:tr>
        <w:tc>
          <w:tcPr/>
          <w:bookmarkStart w:id="164" w:name="fig-ventes-riz-mois"/>
          <w:p>
            <w:pPr>
              <w:pStyle w:val="Compact"/>
              <w:jc w:val="center"/>
            </w:pPr>
          </w:p>
          <w:p>
            <w:pPr>
              <w:jc w:val="center"/>
            </w:pPr>
            <w:pPr>
              <w:jc w:val="left"/>
              <w:spacing w:before="200"/>
              <w:pStyle w:val="ImageCaption"/>
            </w:pPr>
            <w:r>
              <w:t xml:space="preserve">Figure 5.10: Répartition mensuelle des ventes de riz</w:t>
            </w:r>
          </w:p>
          <w:bookmarkEnd w:id="164"/>
        </w:tc>
      </w:tr>
    </w:tbl>
    <w:tbl>
      <w:tblPr>
        <w:tblStyle w:val="Table"/>
        <w:tblW w:type="pct" w:w="5000"/>
        <w:tblLayout w:type="fixed"/>
        <w:tblLook w:firstRow="0" w:lastRow="0" w:firstColumn="0" w:lastColumn="0" w:noHBand="0" w:noVBand="0" w:val="0000"/>
      </w:tblPr>
      <w:tblGrid>
        <w:gridCol w:w="7920"/>
      </w:tblGrid>
      <w:tr>
        <w:tc>
          <w:tcPr/>
          <w:bookmarkStart w:id="165" w:name="fig-prix-paddy"/>
          <w:p>
            <w:pPr>
              <w:pStyle w:val="Compact"/>
              <w:jc w:val="center"/>
            </w:pPr>
          </w:p>
          <w:p>
            <w:pPr>
              <w:jc w:val="center"/>
            </w:pPr>
            <w:pPr>
              <w:jc w:val="left"/>
              <w:spacing w:before="200"/>
              <w:pStyle w:val="ImageCaption"/>
            </w:pPr>
            <w:r>
              <w:t xml:space="preserve">Figure 5.11: Distribution du prix de vente du paddy (Ar/kg)</w:t>
            </w:r>
          </w:p>
          <w:bookmarkEnd w:id="165"/>
        </w:tc>
      </w:tr>
    </w:tbl>
    <w:bookmarkEnd w:id="166"/>
    <w:bookmarkStart w:id="168" w:name="bilan-rizicole-du-ménage"/>
    <w:p>
      <w:pPr>
        <w:pStyle w:val="Heading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167"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167"/>
          <w:p/>
        </w:tc>
      </w:tr>
    </w:tbl>
    <w:bookmarkEnd w:id="168"/>
    <w:bookmarkEnd w:id="169"/>
    <w:bookmarkStart w:id="179" w:name="sec-autres-cultures"/>
    <w:p>
      <w:pPr>
        <w:pStyle w:val="Heading3"/>
      </w:pPr>
      <w:r>
        <w:t xml:space="preserve">5.1.2 Autres cultures</w:t>
      </w:r>
    </w:p>
    <w:p>
      <w:pPr>
        <w:pStyle w:val="FirstParagraph"/>
      </w:pPr>
      <w:r>
        <w:t xml:space="preserve">La diversification culturale est un enjeu central pour la résilience alimentaire et économique des ménages.</w:t>
      </w:r>
    </w:p>
    <w:p>
      <w:pPr>
        <w:pStyle w:val="BodyText"/>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170"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170"/>
          <w:p/>
        </w:tc>
      </w:tr>
    </w:tbl>
    <w:bookmarkStart w:id="173" w:name="diversification-et-principales-cultures"/>
    <w:p>
      <w:pPr>
        <w:pStyle w:val="Heading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BodyText"/>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171" w:name="fig-diversification"/>
          <w:p>
            <w:pPr>
              <w:pStyle w:val="Compact"/>
              <w:jc w:val="center"/>
            </w:pPr>
          </w:p>
          <w:p>
            <w:pPr>
              <w:jc w:val="center"/>
            </w:pPr>
            <w:pPr>
              <w:jc w:val="left"/>
              <w:spacing w:before="200"/>
              <w:pStyle w:val="ImageCaption"/>
            </w:pPr>
            <w:r>
              <w:t xml:space="preserve">Figure 5.12: Nombre de cultures non rizicoles par ménage</w:t>
            </w:r>
          </w:p>
          <w:bookmarkEnd w:id="171"/>
        </w:tc>
      </w:tr>
    </w:tbl>
    <w:tbl>
      <w:tblPr>
        <w:tblStyle w:val="Table"/>
        <w:tblW w:type="pct" w:w="5000"/>
        <w:tblLayout w:type="fixed"/>
        <w:tblLook w:firstRow="0" w:lastRow="0" w:firstColumn="0" w:lastColumn="0" w:noHBand="0" w:noVBand="0" w:val="0000"/>
      </w:tblPr>
      <w:tblGrid>
        <w:gridCol w:w="7920"/>
      </w:tblGrid>
      <w:tr>
        <w:tc>
          <w:tcPr/>
          <w:bookmarkStart w:id="172" w:name="fig-top-cultures"/>
          <w:p>
            <w:pPr>
              <w:pStyle w:val="Compact"/>
              <w:jc w:val="center"/>
            </w:pPr>
          </w:p>
          <w:p>
            <w:pPr>
              <w:jc w:val="center"/>
            </w:pPr>
            <w:pPr>
              <w:jc w:val="left"/>
              <w:spacing w:before="200"/>
              <w:pStyle w:val="ImageCaption"/>
            </w:pPr>
            <w:r>
              <w:t xml:space="preserve">Figure 5.13: Cultures non rizicoles les plus fréquentes (nb de ménages pratiquant)</w:t>
            </w:r>
          </w:p>
          <w:bookmarkEnd w:id="172"/>
        </w:tc>
      </w:tr>
    </w:tbl>
    <w:bookmarkEnd w:id="173"/>
    <w:bookmarkStart w:id="176" w:name="X39d1cfa685ef13e52c1c642965d3432706de56b"/>
    <w:p>
      <w:pPr>
        <w:pStyle w:val="Heading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174" w:name="fig-engrais-autres"/>
          <w:p>
            <w:pPr>
              <w:pStyle w:val="Compact"/>
              <w:jc w:val="center"/>
            </w:pPr>
          </w:p>
          <w:p>
            <w:pPr>
              <w:jc w:val="center"/>
            </w:pPr>
            <w:pPr>
              <w:jc w:val="left"/>
              <w:spacing w:before="200"/>
              <w:pStyle w:val="ImageCaption"/>
            </w:pPr>
            <w:r>
              <w:t xml:space="preserve">Figure 5.14: Utilisation d’engrais sur les parcelles de cultures non rizicoles</w:t>
            </w:r>
          </w:p>
          <w:bookmarkEnd w:id="174"/>
        </w:tc>
      </w:tr>
    </w:tbl>
    <w:tbl>
      <w:tblPr>
        <w:tblStyle w:val="Table"/>
        <w:tblW w:type="pct" w:w="5000"/>
        <w:tblLayout w:type="fixed"/>
        <w:tblLook w:firstRow="0" w:lastRow="0" w:firstColumn="0" w:lastColumn="0" w:noHBand="0" w:noVBand="0" w:val="0000"/>
      </w:tblPr>
      <w:tblGrid>
        <w:gridCol w:w="7920"/>
      </w:tblGrid>
      <w:tr>
        <w:tc>
          <w:tcPr/>
          <w:bookmarkStart w:id="175"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175"/>
          <w:p/>
        </w:tc>
      </w:tr>
    </w:tbl>
    <w:bookmarkEnd w:id="176"/>
    <w:bookmarkStart w:id="178" w:name="perception-des-rendements"/>
    <w:p>
      <w:pPr>
        <w:pStyle w:val="Heading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177"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177"/>
          <w:p/>
        </w:tc>
      </w:tr>
    </w:tbl>
    <w:bookmarkEnd w:id="178"/>
    <w:bookmarkEnd w:id="179"/>
    <w:bookmarkStart w:id="182" w:name="sec-jardins"/>
    <w:p>
      <w:pPr>
        <w:pStyle w:val="Heading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180"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180"/>
          <w:p/>
        </w:tc>
      </w:tr>
    </w:tbl>
    <w:tbl>
      <w:tblPr>
        <w:tblStyle w:val="Table"/>
        <w:tblW w:type="pct" w:w="5000"/>
        <w:tblLayout w:type="fixed"/>
        <w:tblLook w:firstRow="0" w:lastRow="0" w:firstColumn="0" w:lastColumn="0" w:noHBand="0" w:noVBand="0" w:val="0000"/>
      </w:tblPr>
      <w:tblGrid>
        <w:gridCol w:w="7920"/>
      </w:tblGrid>
      <w:tr>
        <w:tc>
          <w:tcPr/>
          <w:bookmarkStart w:id="181" w:name="fig-top-jardin"/>
          <w:p>
            <w:pPr>
              <w:pStyle w:val="Compact"/>
              <w:jc w:val="center"/>
            </w:pPr>
          </w:p>
          <w:p>
            <w:pPr>
              <w:jc w:val="center"/>
            </w:pPr>
            <w:pPr>
              <w:jc w:val="left"/>
              <w:spacing w:before="200"/>
              <w:pStyle w:val="ImageCaption"/>
            </w:pPr>
            <w:r>
              <w:t xml:space="preserve">Figure 5.15: Produits de jardin / cueillette les plus fréquents</w:t>
            </w:r>
          </w:p>
          <w:bookmarkEnd w:id="181"/>
        </w:tc>
      </w:tr>
    </w:tbl>
    <w:bookmarkEnd w:id="182"/>
    <w:bookmarkStart w:id="184" w:name="sec-foret"/>
    <w:p>
      <w:pPr>
        <w:pStyle w:val="Heading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183" w:name="fig-produits-foret"/>
          <w:p>
            <w:pPr>
              <w:pStyle w:val="Compact"/>
              <w:jc w:val="center"/>
            </w:pPr>
          </w:p>
          <w:p>
            <w:pPr>
              <w:jc w:val="center"/>
            </w:pPr>
            <w:pPr>
              <w:jc w:val="left"/>
              <w:spacing w:before="200"/>
              <w:pStyle w:val="ImageCaption"/>
            </w:pPr>
            <w:r>
              <w:t xml:space="preserve">Figure 5.16: Principaux produits de l’exploitation forestière</w:t>
            </w:r>
          </w:p>
          <w:bookmarkEnd w:id="183"/>
        </w:tc>
      </w:tr>
    </w:tbl>
    <w:bookmarkEnd w:id="184"/>
    <w:bookmarkEnd w:id="185"/>
    <w:bookmarkStart w:id="197" w:name="sec-elevage"/>
    <w:p>
      <w:pPr>
        <w:pStyle w:val="Heading2"/>
      </w:pPr>
      <w:r>
        <w:t xml:space="preserve">5.2 Élevage</w:t>
      </w:r>
    </w:p>
    <w:bookmarkStart w:id="187" w:name="pratique-de-lélevage"/>
    <w:p>
      <w:pPr>
        <w:pStyle w:val="Heading3"/>
      </w:pPr>
      <w:r>
        <w:t xml:space="preserve">5.2.1 Pratique de l’élevage</w:t>
      </w:r>
    </w:p>
    <w:p>
      <w:pPr>
        <w:pStyle w:val="FirstParagraph"/>
      </w:pPr>
      <w:r>
        <w:t xml:space="preserve">L’élevage remplit des fonctions multiples : épargne sur pied, force de travail, autoconsommation et source de revenu.</w:t>
      </w:r>
    </w:p>
    <w:p>
      <w:pPr>
        <w:pStyle w:val="BodyText"/>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186"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186"/>
          <w:p/>
        </w:tc>
      </w:tr>
    </w:tbl>
    <w:bookmarkEnd w:id="187"/>
    <w:bookmarkStart w:id="189" w:name="espèces-élevées"/>
    <w:p>
      <w:pPr>
        <w:pStyle w:val="Heading3"/>
      </w:pPr>
      <w:r>
        <w:t xml:space="preserve">5.2.2 Espèces élevées</w:t>
      </w:r>
    </w:p>
    <w:p>
      <w:pPr>
        <w:pStyle w:val="FirstParagraph"/>
      </w:pPr>
      <w:r>
        <w:t xml:space="preserve">Le choix des espèces reflète les conditions agro-écologiques, les traditions locales et les opportunités de marché.</w:t>
      </w:r>
    </w:p>
    <w:p>
      <w:pPr>
        <w:pStyle w:val="BodyText"/>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188" w:name="fig-especes-elevage"/>
          <w:p>
            <w:pPr>
              <w:pStyle w:val="Compact"/>
              <w:jc w:val="center"/>
            </w:pPr>
          </w:p>
          <w:p>
            <w:pPr>
              <w:jc w:val="center"/>
            </w:pPr>
            <w:pPr>
              <w:jc w:val="left"/>
              <w:spacing w:before="200"/>
              <w:pStyle w:val="ImageCaption"/>
            </w:pPr>
            <w:r>
              <w:t xml:space="preserve">Figure 5.17: Espèces élevées (nombre de ménages pratiquant)</w:t>
            </w:r>
          </w:p>
          <w:bookmarkEnd w:id="188"/>
        </w:tc>
      </w:tr>
    </w:tbl>
    <w:bookmarkEnd w:id="189"/>
    <w:bookmarkStart w:id="191" w:name="objectifs-de-lélevage"/>
    <w:p>
      <w:pPr>
        <w:pStyle w:val="Heading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190" w:name="fig-objectifs-elevage"/>
          <w:p>
            <w:pPr>
              <w:pStyle w:val="Compact"/>
              <w:jc w:val="center"/>
            </w:pPr>
          </w:p>
          <w:p>
            <w:pPr>
              <w:jc w:val="center"/>
            </w:pPr>
            <w:pPr>
              <w:jc w:val="left"/>
              <w:spacing w:before="200"/>
              <w:pStyle w:val="ImageCaption"/>
            </w:pPr>
            <w:r>
              <w:t xml:space="preserve">Figure 5.18: Objectifs de l’élevage par espèce (% des ménages éleveurs)</w:t>
            </w:r>
          </w:p>
          <w:bookmarkEnd w:id="190"/>
        </w:tc>
      </w:tr>
    </w:tbl>
    <w:bookmarkEnd w:id="191"/>
    <w:bookmarkStart w:id="194" w:name="ventes-et-pertes-danimaux"/>
    <w:p>
      <w:pPr>
        <w:pStyle w:val="Heading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19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192"/>
          <w:p/>
        </w:tc>
      </w:tr>
    </w:tbl>
    <w:tbl>
      <w:tblPr>
        <w:tblStyle w:val="Table"/>
        <w:tblW w:type="pct" w:w="5000"/>
        <w:tblLayout w:type="fixed"/>
        <w:tblLook w:firstRow="0" w:lastRow="0" w:firstColumn="0" w:lastColumn="0" w:noHBand="0" w:noVBand="0" w:val="0000"/>
      </w:tblPr>
      <w:tblGrid>
        <w:gridCol w:w="7920"/>
      </w:tblGrid>
      <w:tr>
        <w:tc>
          <w:tcPr/>
          <w:bookmarkStart w:id="193" w:name="fig-pertes-elevage"/>
          <w:p>
            <w:pPr>
              <w:pStyle w:val="Compact"/>
              <w:jc w:val="center"/>
            </w:pPr>
          </w:p>
          <w:p>
            <w:pPr>
              <w:jc w:val="center"/>
            </w:pPr>
            <w:pPr>
              <w:jc w:val="left"/>
              <w:spacing w:before="200"/>
              <w:pStyle w:val="ImageCaption"/>
            </w:pPr>
            <w:r>
              <w:t xml:space="preserve">Figure 5.19: Ménages ayant subi des pertes de bétail</w:t>
            </w:r>
          </w:p>
          <w:bookmarkEnd w:id="193"/>
        </w:tc>
      </w:tr>
    </w:tbl>
    <w:bookmarkEnd w:id="194"/>
    <w:bookmarkStart w:id="196" w:name="produits-de-lélevage"/>
    <w:p>
      <w:pPr>
        <w:pStyle w:val="Heading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195" w:name="tbl-produits-elevage"/>
          <w:p>
            <w:pPr>
              <w:jc w:val="center"/>
            </w:pPr>
            <w:pPr>
              <w:jc w:val="left"/>
              <w:spacing w:before="200"/>
              <w:pStyle w:val="ImageCaption"/>
            </w:pPr>
            <w:r>
              <w:t xml:space="preserve">Table 5.12: Produits de l’élevage : nombre de ménages producteurs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Produits de l'élevage déclarés par les ménages</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c>
                <w:tcPr/>
                <w:p>
                  <w:pPr>
                    <w:pStyle w:val="Compact"/>
                    <w:jc w:val="right"/>
                    <w:jc w:val="center"/>
                  </w:pPr>
                  <w:r>
                    <w:t xml:space="preserve">Total</w:t>
                  </w:r>
                </w:p>
              </w:tc>
            </w:tr>
            <w:tr>
              <w:tc>
                <w:tcPr/>
                <w:p>
                  <w:pPr>
                    <w:pStyle w:val="Compact"/>
                    <w:jc w:val="left"/>
                    <w:jc w:val="center"/>
                  </w:pPr>
                  <w:r>
                    <w:t xml:space="preserve">Ronono</w:t>
                  </w:r>
                </w:p>
              </w:tc>
              <w:tc>
                <w:tcPr/>
                <w:p>
                  <w:pPr>
                    <w:pStyle w:val="Compact"/>
                    <w:jc w:val="right"/>
                    <w:jc w:val="center"/>
                  </w:pPr>
                  <w:r>
                    <w:t xml:space="preserve">103</w:t>
                  </w:r>
                </w:p>
              </w:tc>
              <w:tc>
                <w:tcPr/>
                <w:p>
                  <w:pPr>
                    <w:pStyle w:val="Compact"/>
                    <w:jc w:val="right"/>
                    <w:jc w:val="center"/>
                  </w:pPr>
                  <w:r>
                    <w:t xml:space="preserve">98</w:t>
                  </w:r>
                </w:p>
              </w:tc>
              <w:tc>
                <w:tcPr/>
                <w:p>
                  <w:pPr>
                    <w:pStyle w:val="Compact"/>
                    <w:jc w:val="right"/>
                    <w:jc w:val="center"/>
                  </w:pPr>
                  <w:r>
                    <w:t xml:space="preserve">103</w:t>
                  </w:r>
                </w:p>
              </w:tc>
            </w:tr>
            <w:tr>
              <w:tc>
                <w:tcPr/>
                <w:p>
                  <w:pPr>
                    <w:pStyle w:val="Compact"/>
                    <w:jc w:val="left"/>
                    <w:jc w:val="center"/>
                  </w:pPr>
                  <w:r>
                    <w:t xml:space="preserve">Atody</w:t>
                  </w:r>
                </w:p>
              </w:tc>
              <w:tc>
                <w:tcPr/>
                <w:p>
                  <w:pPr>
                    <w:pStyle w:val="Compact"/>
                    <w:jc w:val="right"/>
                    <w:jc w:val="center"/>
                  </w:pPr>
                  <w:r>
                    <w:t xml:space="preserve">95</w:t>
                  </w:r>
                </w:p>
              </w:tc>
              <w:tc>
                <w:tcPr/>
                <w:p>
                  <w:pPr>
                    <w:pStyle w:val="Compact"/>
                    <w:jc w:val="right"/>
                    <w:jc w:val="center"/>
                  </w:pPr>
                  <w:r>
                    <w:t xml:space="preserve">98</w:t>
                  </w:r>
                </w:p>
              </w:tc>
              <w:tc>
                <w:tcPr/>
                <w:p>
                  <w:pPr>
                    <w:pStyle w:val="Compact"/>
                    <w:jc w:val="right"/>
                    <w:jc w:val="center"/>
                  </w:pPr>
                  <w:r>
                    <w:t xml:space="preserve">95</w:t>
                  </w:r>
                </w:p>
              </w:tc>
            </w:tr>
            <w:tr>
              <w:tc>
                <w:tcPr/>
                <w:p>
                  <w:pPr>
                    <w:pStyle w:val="Compact"/>
                    <w:jc w:val="left"/>
                    <w:jc w:val="center"/>
                  </w:pPr>
                  <w:r>
                    <w:t xml:space="preserve">Yaourt/Habobo</w:t>
                  </w:r>
                </w:p>
              </w:tc>
              <w:tc>
                <w:tcPr/>
                <w:p>
                  <w:pPr>
                    <w:pStyle w:val="Compact"/>
                    <w:jc w:val="right"/>
                    <w:jc w:val="center"/>
                  </w:pPr>
                  <w:r>
                    <w:t xml:space="preserve">89</w:t>
                  </w:r>
                </w:p>
              </w:tc>
              <w:tc>
                <w:tcPr/>
                <w:p>
                  <w:pPr>
                    <w:pStyle w:val="Compact"/>
                    <w:jc w:val="right"/>
                    <w:jc w:val="center"/>
                  </w:pPr>
                  <w:r>
                    <w:t xml:space="preserve">93</w:t>
                  </w:r>
                </w:p>
              </w:tc>
              <w:tc>
                <w:tcPr/>
                <w:p>
                  <w:pPr>
                    <w:pStyle w:val="Compact"/>
                    <w:jc w:val="right"/>
                    <w:jc w:val="center"/>
                  </w:pPr>
                  <w:r>
                    <w:t xml:space="preserve">89</w:t>
                  </w:r>
                </w:p>
              </w:tc>
            </w:tr>
            <w:tr>
              <w:tc>
                <w:tcPr/>
                <w:p>
                  <w:pPr>
                    <w:pStyle w:val="Compact"/>
                    <w:jc w:val="left"/>
                    <w:jc w:val="center"/>
                  </w:pPr>
                  <w:r>
                    <w:t xml:space="preserve">Hena</w:t>
                  </w:r>
                </w:p>
              </w:tc>
              <w:tc>
                <w:tcPr/>
                <w:p>
                  <w:pPr>
                    <w:pStyle w:val="Compact"/>
                    <w:jc w:val="right"/>
                    <w:jc w:val="center"/>
                  </w:pPr>
                  <w:r>
                    <w:t xml:space="preserve">87</w:t>
                  </w:r>
                </w:p>
              </w:tc>
              <w:tc>
                <w:tcPr/>
                <w:p>
                  <w:pPr>
                    <w:pStyle w:val="Compact"/>
                    <w:jc w:val="right"/>
                    <w:jc w:val="center"/>
                  </w:pPr>
                  <w:r>
                    <w:t xml:space="preserve">88</w:t>
                  </w:r>
                </w:p>
              </w:tc>
              <w:tc>
                <w:tcPr/>
                <w:p>
                  <w:pPr>
                    <w:pStyle w:val="Compact"/>
                    <w:jc w:val="right"/>
                    <w:jc w:val="center"/>
                  </w:pPr>
                  <w:r>
                    <w:t xml:space="preserve">87</w:t>
                  </w:r>
                </w:p>
              </w:tc>
            </w:tr>
            <w:tr>
              <w:tc>
                <w:tcPr/>
                <w:p>
                  <w:pPr>
                    <w:pStyle w:val="Compact"/>
                    <w:jc w:val="left"/>
                    <w:jc w:val="center"/>
                  </w:pPr>
                  <w:r>
                    <w:t xml:space="preserve">Henan'ondry</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2</w:t>
                  </w:r>
                </w:p>
              </w:tc>
            </w:tr>
            <w:tr>
              <w:tc>
                <w:tcPr/>
                <w:p>
                  <w:pPr>
                    <w:pStyle w:val="Compact"/>
                    <w:jc w:val="left"/>
                    <w:jc w:val="center"/>
                  </w:pPr>
                  <w:r>
                    <w:t xml:space="preserve">Henan-Kisoa</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Vorona</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Trondro Nompian</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bl>
          <w:bookmarkEnd w:id="195"/>
          <w:p/>
        </w:tc>
      </w:tr>
    </w:tbl>
    <w:bookmarkEnd w:id="196"/>
    <w:bookmarkEnd w:id="197"/>
    <w:bookmarkStart w:id="204" w:name="sec-chasse-peche"/>
    <w:p>
      <w:pPr>
        <w:pStyle w:val="Heading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BodyText"/>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19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198"/>
          <w:p/>
        </w:tc>
      </w:tr>
    </w:tbl>
    <w:tbl>
      <w:tblPr>
        <w:tblStyle w:val="Table"/>
        <w:tblW w:type="pct" w:w="5000"/>
        <w:tblLayout w:type="fixed"/>
        <w:tblLook w:firstRow="0" w:lastRow="0" w:firstColumn="0" w:lastColumn="0" w:noHBand="0" w:noVBand="0" w:val="0000"/>
      </w:tblPr>
      <w:tblGrid>
        <w:gridCol w:w="7920"/>
      </w:tblGrid>
      <w:tr>
        <w:tc>
          <w:tcPr/>
          <w:bookmarkStart w:id="199" w:name="fig-chasse-especes"/>
          <w:p>
            <w:pPr>
              <w:pStyle w:val="Compact"/>
              <w:jc w:val="center"/>
            </w:pPr>
          </w:p>
          <w:p>
            <w:pPr>
              <w:jc w:val="center"/>
            </w:pPr>
            <w:pPr>
              <w:jc w:val="left"/>
              <w:spacing w:before="200"/>
              <w:pStyle w:val="ImageCaption"/>
            </w:pPr>
            <w:r>
              <w:t xml:space="preserve">Figure 5.20: Principales espèces chassées/pêchées</w:t>
            </w:r>
          </w:p>
          <w:bookmarkEnd w:id="199"/>
        </w:tc>
      </w:tr>
    </w:tbl>
    <w:tbl>
      <w:tblPr>
        <w:tblStyle w:val="Table"/>
        <w:tblW w:type="pct" w:w="5000"/>
        <w:tblLayout w:type="fixed"/>
        <w:tblLook w:firstRow="0" w:lastRow="0" w:firstColumn="0" w:lastColumn="0" w:noHBand="0" w:noVBand="0" w:val="0000"/>
      </w:tblPr>
      <w:tblGrid>
        <w:gridCol w:w="7920"/>
      </w:tblGrid>
      <w:tr>
        <w:tc>
          <w:tcPr/>
          <w:bookmarkStart w:id="200" w:name="fig-chasse-raison"/>
          <w:p>
            <w:pPr>
              <w:pStyle w:val="Compact"/>
              <w:jc w:val="center"/>
            </w:pPr>
          </w:p>
          <w:p>
            <w:pPr>
              <w:jc w:val="center"/>
            </w:pPr>
            <w:pPr>
              <w:jc w:val="left"/>
              <w:spacing w:before="200"/>
              <w:pStyle w:val="ImageCaption"/>
            </w:pPr>
            <w:r>
              <w:t xml:space="preserve">Figure 5.21: Raisons de la chasse/pêche par observatoire</w:t>
            </w:r>
          </w:p>
          <w:bookmarkEnd w:id="200"/>
        </w:tc>
      </w:tr>
    </w:tbl>
    <w:bookmarkStart w:id="203" w:name="fréquence-et-saisonnalité"/>
    <w:p>
      <w:pPr>
        <w:pStyle w:val="Heading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201" w:name="fig-frequence-peche"/>
          <w:p>
            <w:pPr>
              <w:pStyle w:val="Compact"/>
              <w:jc w:val="center"/>
            </w:pPr>
          </w:p>
          <w:p>
            <w:pPr>
              <w:jc w:val="center"/>
            </w:pPr>
            <w:pPr>
              <w:jc w:val="left"/>
              <w:spacing w:before="200"/>
              <w:pStyle w:val="ImageCaption"/>
            </w:pPr>
            <w:r>
              <w:t xml:space="preserve">Figure 5.22: Fréquence de la chasse/pêche</w:t>
            </w:r>
          </w:p>
          <w:bookmarkEnd w:id="201"/>
        </w:tc>
      </w:tr>
    </w:tbl>
    <w:tbl>
      <w:tblPr>
        <w:tblStyle w:val="Table"/>
        <w:tblW w:type="pct" w:w="5000"/>
        <w:tblLayout w:type="fixed"/>
        <w:tblLook w:firstRow="0" w:lastRow="0" w:firstColumn="0" w:lastColumn="0" w:noHBand="0" w:noVBand="0" w:val="0000"/>
      </w:tblPr>
      <w:tblGrid>
        <w:gridCol w:w="7920"/>
      </w:tblGrid>
      <w:tr>
        <w:tc>
          <w:tcPr/>
          <w:bookmarkStart w:id="202" w:name="fig-saisonnalite-peche"/>
          <w:p>
            <w:pPr>
              <w:pStyle w:val="Compact"/>
              <w:jc w:val="center"/>
            </w:pPr>
          </w:p>
          <w:p>
            <w:pPr>
              <w:jc w:val="center"/>
            </w:pPr>
            <w:pPr>
              <w:jc w:val="left"/>
              <w:spacing w:before="200"/>
              <w:pStyle w:val="ImageCaption"/>
            </w:pPr>
            <w:r>
              <w:t xml:space="preserve">Figure 5.23: Saisonnalité de la chasse/pêche (% de mentions par mois)</w:t>
            </w:r>
          </w:p>
          <w:bookmarkEnd w:id="202"/>
        </w:tc>
      </w:tr>
    </w:tbl>
    <w:bookmarkEnd w:id="203"/>
    <w:bookmarkEnd w:id="204"/>
    <w:bookmarkStart w:id="214" w:name="sec-main-oeuvre"/>
    <w:p>
      <w:pPr>
        <w:pStyle w:val="Heading2"/>
      </w:pPr>
      <w:r>
        <w:t xml:space="preserve">5.4 Main d’oeuvre agricole</w:t>
      </w:r>
    </w:p>
    <w:bookmarkStart w:id="206" w:name="emploi-de-main-doeuvre"/>
    <w:p>
      <w:pPr>
        <w:pStyle w:val="Heading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BodyText"/>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205"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205"/>
          <w:p/>
        </w:tc>
      </w:tr>
    </w:tbl>
    <w:bookmarkEnd w:id="206"/>
    <w:bookmarkStart w:id="208" w:name="Xebc72c385258cc8096a393c9cba435b9f045e2a"/>
    <w:p>
      <w:pPr>
        <w:pStyle w:val="Heading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207"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207"/>
          <w:p/>
        </w:tc>
      </w:tr>
    </w:tbl>
    <w:bookmarkEnd w:id="208"/>
    <w:bookmarkStart w:id="210" w:name="main-doeuvre-permanente"/>
    <w:p>
      <w:pPr>
        <w:pStyle w:val="Heading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209"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209"/>
          <w:p/>
        </w:tc>
      </w:tr>
    </w:tbl>
    <w:bookmarkEnd w:id="210"/>
    <w:bookmarkStart w:id="213" w:name="Xb70e75093827b2d42e129c8e92fb16121bf4c51"/>
    <w:p>
      <w:pPr>
        <w:pStyle w:val="Heading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211" w:name="fig-cultures-quintile"/>
          <w:p>
            <w:pPr>
              <w:pStyle w:val="Compact"/>
              <w:jc w:val="center"/>
            </w:pPr>
          </w:p>
          <w:p>
            <w:pPr>
              <w:jc w:val="center"/>
            </w:pPr>
            <w:pPr>
              <w:jc w:val="left"/>
              <w:spacing w:before="200"/>
              <w:pStyle w:val="ImageCaption"/>
            </w:pPr>
            <w:r>
              <w:t xml:space="preserve">Figure 5.24: Familles de cultures non rizicoles pratiquées selon le quintile de revenu</w:t>
            </w:r>
          </w:p>
          <w:bookmarkEnd w:id="211"/>
        </w:tc>
      </w:tr>
    </w:tbl>
    <w:tbl>
      <w:tblPr>
        <w:tblStyle w:val="Table"/>
        <w:tblW w:type="pct" w:w="5000"/>
        <w:tblLayout w:type="fixed"/>
        <w:tblLook w:firstRow="0" w:lastRow="0" w:firstColumn="0" w:lastColumn="0" w:noHBand="0" w:noVBand="0" w:val="0000"/>
      </w:tblPr>
      <w:tblGrid>
        <w:gridCol w:w="7920"/>
      </w:tblGrid>
      <w:tr>
        <w:tc>
          <w:tcPr/>
          <w:bookmarkStart w:id="212"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212"/>
          <w:p/>
        </w:tc>
      </w:tr>
    </w:tbl>
    <w:bookmarkEnd w:id="213"/>
    <w:bookmarkEnd w:id="214"/>
    <w:bookmarkStart w:id="215" w:name="sec-agro-multiyear"/>
    <w:p>
      <w:pPr>
        <w:pStyle w:val="Heading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tbl>
      <w:tblPr>
        <w:tblStyle w:val="FigureTable"/>
        <w:tblW w:type="auto" w:w="0"/>
        <w:jc w:val="center"/>
        <w:tblLook w:firstRow="0" w:lastRow="0" w:firstColumn="0" w:lastColumn="0"/>
      </w:tblPr>
      <w:tblGrid>
        <w:gridCol w:w="7920"/>
      </w:tblGrid>
      <w:tr>
        <w:tc>
          <w:tcPr/>
          <w:p>
            <w:pPr>
              <w:pStyle w:val="Compact"/>
              <w:jc w:val="center"/>
            </w:pPr>
            <w:r>
              <w:t xml:space="preserve">Évolution de la production rizicole moyenne par ménage (kg/ménage/an)</w:t>
            </w:r>
          </w:p>
        </w:tc>
      </w:tr>
    </w:tbl>
    <w:p>
      <w:pPr>
        <w:pStyle w:val="ImageCaption"/>
      </w:pPr>
      <w:r>
        <w:t xml:space="preserve">Évolution de la production rizicole moyenne par ménage (kg/ménage/an)</w:t>
      </w:r>
    </w:p>
    <w:tbl>
      <w:tblPr>
        <w:tblStyle w:val="FigureTable"/>
        <w:tblW w:type="auto" w:w="0"/>
        <w:jc w:val="center"/>
        <w:tblLook w:firstRow="0" w:lastRow="0" w:firstColumn="0" w:lastColumn="0"/>
      </w:tblPr>
      <w:tblGrid>
        <w:gridCol w:w="7920"/>
      </w:tblGrid>
      <w:tr>
        <w:tc>
          <w:tcPr/>
          <w:p>
            <w:pPr>
              <w:pStyle w:val="Compact"/>
              <w:jc w:val="center"/>
            </w:pPr>
            <w:r>
              <w:t xml:space="preserve">Évolution du rendement rizicole moyen (kg/are) — années avec données de surface</w:t>
            </w:r>
          </w:p>
        </w:tc>
      </w:tr>
    </w:tbl>
    <w:p>
      <w:pPr>
        <w:pStyle w:val="ImageCaption"/>
      </w:pPr>
      <w:r>
        <w:t xml:space="preserve">Évolution du rendement rizicole moyen (kg/are) — années avec données de surface</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pratique de l’élevage (1998–2025)</w:t>
            </w:r>
          </w:p>
        </w:tc>
      </w:tr>
    </w:tbl>
    <w:p>
      <w:pPr>
        <w:pStyle w:val="ImageCaption"/>
      </w:pPr>
      <w:r>
        <w:t xml:space="preserve">Évolution du taux de pratique de l’élevage (1998–2025)</w:t>
      </w:r>
    </w:p>
    <w:p>
      <w:pPr>
        <w:pStyle w:val="BodyText"/>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2026-03-17T09:31:11Z</dcterms:created>
  <dcterms:modified xsi:type="dcterms:W3CDTF">2026-03-17T09:31:11Z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Rapport d’enquête — Observatoire de l’Alaotra</vt:lpwstr>
  </property>
  <property fmtid="{D5CDD505-2E9C-101B-9397-08002B2CF9AE}" pid="14" name="template-partials">
    <vt:lpwstr/>
  </property>
  <property fmtid="{D5CDD505-2E9C-101B-9397-08002B2CF9AE}" pid="15" name="toc-title">
    <vt:lpwstr>Table des matières</vt:lpwstr>
  </property>
</Properties>
</file>