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50.png" ContentType="image/png"/>
  <Override PartName="/word/media/rId104.png" ContentType="image/png"/>
  <Override PartName="/word/media/rId141.png" ContentType="image/png"/>
  <Override PartName="/word/media/rId135.png" ContentType="image/png"/>
  <Override PartName="/word/media/rId64.png" ContentType="image/png"/>
  <Override PartName="/word/media/rId108.png" ContentType="image/png"/>
  <Override PartName="/word/media/rId86.png" ContentType="image/png"/>
  <Override PartName="/word/media/rId90.png" ContentType="image/png"/>
  <Override PartName="/word/media/rId95.png" ContentType="image/png"/>
  <Override PartName="/word/media/rId99.png" ContentType="image/png"/>
  <Override PartName="/word/media/rId164.png" ContentType="image/png"/>
  <Override PartName="/word/media/rId158.png" ContentType="image/png"/>
  <Override PartName="/word/media/rId161.png" ContentType="image/png"/>
  <Override PartName="/word/media/rId155.png" ContentType="image/png"/>
  <Override PartName="/word/media/rId76.png" ContentType="image/png"/>
  <Override PartName="/word/media/rId72.png" ContentType="image/png"/>
  <Override PartName="/word/media/rId146.png" ContentType="image/png"/>
  <Override PartName="/word/media/rId115.png" ContentType="image/png"/>
  <Override PartName="/word/media/rId119.png" ContentType="image/png"/>
  <Override PartName="/word/media/rId123.png" ContentType="image/png"/>
  <Override PartName="/word/media/rId127.png" ContentType="image/png"/>
  <Override PartName="/word/media/rId67.png" ContentType="image/png"/>
  <Override PartName="/word/media/rId80.png" ContentType="image/png"/>
  <Override PartName="/word/media/rId194.png" ContentType="image/png"/>
  <Override PartName="/word/media/rId206.png" ContentType="image/png"/>
  <Override PartName="/word/media/rId187.png" ContentType="image/png"/>
  <Override PartName="/word/media/rId218.png" ContentType="image/png"/>
  <Override PartName="/word/media/rId200.png" ContentType="image/png"/>
  <Override PartName="/word/media/rId213.png" ContentType="image/png"/>
  <Override PartName="/word/media/rId272.png" ContentType="image/png"/>
  <Override PartName="/word/media/rId275.png" ContentType="image/png"/>
  <Override PartName="/word/media/rId246.png" ContentType="image/png"/>
  <Override PartName="/word/media/rId253.png" ContentType="image/png"/>
  <Override PartName="/word/media/rId224.png" ContentType="image/png"/>
  <Override PartName="/word/media/rId228.png" ContentType="image/png"/>
  <Override PartName="/word/media/rId241.png" ContentType="image/png"/>
  <Override PartName="/word/media/rId250.png" ContentType="image/png"/>
  <Override PartName="/word/media/rId238.png" ContentType="image/png"/>
  <Override PartName="/word/media/rId267.png" ContentType="image/png"/>
  <Override PartName="/word/media/rId260.png" ContentType="image/png"/>
  <Override PartName="/word/media/rId235.png" ContentType="image/png"/>
  <Override PartName="/word/media/rId264.png" ContentType="image/png"/>
  <Override PartName="/word/media/rId257.png" ContentType="image/png"/>
  <Override PartName="/word/media/rId171.png" ContentType="image/png"/>
  <Override PartName="/word/media/rId175.png" ContentType="image/png"/>
  <Override PartName="/word/media/rId179.png" ContentType="image/png"/>
  <Override PartName="/word/media/rId183.png" ContentType="image/png"/>
  <Override PartName="/word/media/rId302.png" ContentType="image/png"/>
  <Override PartName="/word/media/rId306.png" ContentType="image/png"/>
  <Override PartName="/word/media/rId335.png" ContentType="image/png"/>
  <Override PartName="/word/media/rId345.png" ContentType="image/png"/>
  <Override PartName="/word/media/rId353.png" ContentType="image/png"/>
  <Override PartName="/word/media/rId297.png" ContentType="image/png"/>
  <Override PartName="/word/media/rId292.png" ContentType="image/png"/>
  <Override PartName="/word/media/rId327.png" ContentType="image/png"/>
  <Override PartName="/word/media/rId331.png" ContentType="image/png"/>
  <Override PartName="/word/media/rId282.png" ContentType="image/png"/>
  <Override PartName="/word/media/rId321.png" ContentType="image/png"/>
  <Override PartName="/word/media/rId311.png" ContentType="image/png"/>
  <Override PartName="/word/media/rId349.png" ContentType="image/png"/>
  <Override PartName="/word/media/rId361.png" ContentType="image/png"/>
  <Override PartName="/word/media/rId317.png" ContentType="image/png"/>
  <Override PartName="/word/media/rId341.png" ContentType="image/png"/>
  <Override PartName="/word/media/rId288.png" ContentType="image/png"/>
  <Override PartName="/word/media/rId487.png" ContentType="image/png"/>
  <Override PartName="/word/media/rId491.png" ContentType="image/png"/>
  <Override PartName="/word/media/rId511.png" ContentType="image/png"/>
  <Override PartName="/word/media/rId433.png" ContentType="image/png"/>
  <Override PartName="/word/media/rId375.png" ContentType="image/png"/>
  <Override PartName="/word/media/rId442.png" ContentType="image/png"/>
  <Override PartName="/word/media/rId384.png" ContentType="image/png"/>
  <Override PartName="/word/media/rId465.png" ContentType="image/png"/>
  <Override PartName="/word/media/rId495.png" ContentType="image/png"/>
  <Override PartName="/word/media/rId470.png" ContentType="image/png"/>
  <Override PartName="/word/media/rId412.png" ContentType="image/png"/>
  <Override PartName="/word/media/rId476.png" ContentType="image/png"/>
  <Override PartName="/word/media/rId422.png" ContentType="image/png"/>
  <Override PartName="/word/media/rId399.png" ContentType="image/png"/>
  <Override PartName="/word/media/rId457.png" ContentType="image/png"/>
  <Override PartName="/word/media/rId395.png" ContentType="image/png"/>
  <Override PartName="/word/media/rId408.png" ContentType="image/png"/>
  <Override PartName="/word/media/rId499.png" ContentType="image/png"/>
  <Override PartName="/word/media/rId380.png" ContentType="image/png"/>
  <Override PartName="/word/media/rId371.png" ContentType="image/png"/>
  <Override PartName="/word/media/rId437.png" ContentType="image/png"/>
  <Override PartName="/word/media/rId452.png" ContentType="image/png"/>
  <Override PartName="/word/media/rId404.png" ContentType="image/png"/>
  <Override PartName="/word/media/rId418.png" ContentType="image/png"/>
  <Override PartName="/word/media/rId524.png" ContentType="image/png"/>
  <Override PartName="/word/media/rId518.png" ContentType="image/png"/>
  <Override PartName="/word/media/rId521.png" ContentType="image/png"/>
  <Override PartName="/word/media/rId427.png" ContentType="image/png"/>
  <Override PartName="/word/media/rId481.png" ContentType="image/png"/>
  <Override PartName="/word/media/rId392.png" ContentType="image/png"/>
  <Override PartName="/word/media/rId388.png" ContentType="image/png"/>
  <Override PartName="/word/media/rId548.png" ContentType="image/png"/>
  <Override PartName="/word/media/rId585.png" ContentType="image/png"/>
  <Override PartName="/word/media/rId582.png" ContentType="image/png"/>
  <Override PartName="/word/media/rId533.png" ContentType="image/png"/>
  <Override PartName="/word/media/rId570.png" ContentType="image/png"/>
  <Override PartName="/word/media/rId567.png" ContentType="image/png"/>
  <Override PartName="/word/media/rId537.png" ContentType="image/png"/>
  <Override PartName="/word/media/rId541.png" ContentType="image/png"/>
  <Override PartName="/word/media/rId556.png" ContentType="image/png"/>
  <Override PartName="/word/media/rId563.png" ContentType="image/png"/>
  <Override PartName="/word/media/rId573.png" ContentType="image/png"/>
  <Override PartName="/word/media/rId578.png" ContentType="image/png"/>
  <Override PartName="/word/media/rId710.png" ContentType="image/png"/>
  <Override PartName="/word/media/rId602.png" ContentType="image/png"/>
  <Override PartName="/word/media/rId622.png" ContentType="image/png"/>
  <Override PartName="/word/media/rId618.png" ContentType="image/png"/>
  <Override PartName="/word/media/rId627.png" ContentType="image/png"/>
  <Override PartName="/word/media/rId671.png" ContentType="image/png"/>
  <Override PartName="/word/media/rId597.png" ContentType="image/png"/>
  <Override PartName="/word/media/rId645.png" ContentType="image/png"/>
  <Override PartName="/word/media/rId695.png" ContentType="image/png"/>
  <Override PartName="/word/media/rId690.png" ContentType="image/png"/>
  <Override PartName="/word/media/rId700.png" ContentType="image/png"/>
  <Override PartName="/word/media/rId636.png" ContentType="image/png"/>
  <Override PartName="/word/media/rId705.png" ContentType="image/png"/>
  <Override PartName="/word/media/rId675.png" ContentType="image/png"/>
  <Override PartName="/word/media/rId656.png" ContentType="image/png"/>
  <Override PartName="/word/media/rId679.png" ContentType="image/png"/>
  <Override PartName="/word/media/rId612.png" ContentType="image/png"/>
  <Override PartName="/word/media/rId592.png" ContentType="image/png"/>
  <Override PartName="/word/media/rId650.png" ContentType="image/png"/>
  <Override PartName="/word/media/rId666.png" ContentType="image/png"/>
  <Override PartName="/word/media/rId641.png" ContentType="image/png"/>
  <Override PartName="/word/media/rId686.png" ContentType="image/png"/>
  <Override PartName="/word/media/rId662.png" ContentType="image/png"/>
  <Override PartName="/word/media/rId608.png" ContentType="image/png"/>
  <Override PartName="/word/media/rId761.png" ContentType="image/png"/>
  <Override PartName="/word/media/rId744.png" ContentType="image/png"/>
  <Override PartName="/word/media/rId748.png" ContentType="image/png"/>
  <Override PartName="/word/media/rId726.png" ContentType="image/png"/>
  <Override PartName="/word/media/rId731.png" ContentType="image/png"/>
  <Override PartName="/word/media/rId752.png" ContentType="image/png"/>
  <Override PartName="/word/media/rId720.png" ContentType="image/png"/>
  <Override PartName="/word/media/rId735.png" ContentType="image/png"/>
  <Override PartName="/word/media/rId740.png" ContentType="image/png"/>
  <Override PartName="/word/media/rId756.png" ContentType="image/png"/>
  <Override PartName="/word/media/rId795.png" ContentType="image/png"/>
  <Override PartName="/word/media/rId770.png" ContentType="image/png"/>
  <Override PartName="/word/media/rId780.png" ContentType="image/png"/>
  <Override PartName="/word/media/rId785.png" ContentType="image/png"/>
  <Override PartName="/word/media/rId800.png" ContentType="image/png"/>
  <Override PartName="/word/media/rId775.png" ContentType="image/png"/>
  <Override PartName="/word/media/rId808.png" ContentType="image/png"/>
  <Override PartName="/word/media/rId791.png" ContentType="image/png"/>
  <Override PartName="/word/media/rId823.png" ContentType="image/png"/>
  <Override PartName="/word/media/rId816.png" ContentType="image/png"/>
  <Override PartName="/word/media/rId828.png" ContentType="image/png"/>
  <Override PartName="/word/media/rId892.png" ContentType="image/png"/>
  <Override PartName="/word/media/rId859.png" ContentType="image/png"/>
  <Override PartName="/word/media/rId845.png" ContentType="image/png"/>
  <Override PartName="/word/media/rId152.png" ContentType="image/png"/>
  <Override PartName="/word/media/rId28.png" ContentType="image/png"/>
  <Override PartName="/word/media/rId885.png" ContentType="image/png"/>
  <Override PartName="/word/media/rId24.png" ContentType="image/png"/>
  <Override PartName="/word/media/rId2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des Observatoires ruraux d’Alaotra et Marovoay</w:t>
      </w:r>
    </w:p>
    <w:p>
      <w:pPr>
        <w:pStyle w:val="Sous-titr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2026-03-25</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910"/>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3"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1" name="Picture"/>
            <a:graphic>
              <a:graphicData uri="http://schemas.openxmlformats.org/drawingml/2006/picture">
                <pic:pic>
                  <pic:nvPicPr>
                    <pic:cNvPr descr="images/carte_historique_nat_or.png" id="22" name="Picture"/>
                    <pic:cNvPicPr>
                      <a:picLocks noChangeArrowheads="1" noChangeAspect="1"/>
                    </pic:cNvPicPr>
                  </pic:nvPicPr>
                  <pic:blipFill>
                    <a:blip r:embed="rId20"/>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document présente le traitement et l’analyse des données de l’observatoire rural de Marovoay pour la campagne 2025. La période de référence s’étend d’octobre 2024 à septembre 2025. Ces données ont été récoltées afin d’étudier l’évaluation d’impact de la conservation sur les conditions de vie des ménages aux alentours de l’aire protégée d’Ankarafantsika.</w:t>
      </w:r>
    </w:p>
    <w:p>
      <w:pPr>
        <w:pStyle w:val="Corpsdetexte"/>
      </w:pPr>
      <w:r>
        <w:t xml:space="preserve">Ce document présente le traitement et l’analyse des données de l’observatoire rural d’Alaotra pour la campagne 2025. La période de référence s’étend d’octobre 2024 à septembre 2025. Ces données ont été récoltées afin d’étudier l’évaluation d’impact de la conservation sur les conditions de vie des ménages aux alentours de l’aire protégée du corridor forestier d’Ankeniheny-Zahamena.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3"/>
    <w:bookmarkStart w:id="58"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fbede\AppData\Local\Programs\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27"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w:t>
      </w:r>
    </w:p>
    <w:p>
      <w:pPr>
        <w:pStyle w:val="Corpsdetexte"/>
      </w:pPr>
      <w:r>
        <w:t xml:space="preserve">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enquêtes de l’observatoire rural de Marovoay ont été menées de manière régulière entre 1995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enquêtes de l’observatoire rural d’Alaotra ont été menées de manière régulière entre 1999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Corpsdetexte"/>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hyperlink w:anchor="sec-representativite">
        <w:r>
          <w:rPr>
            <w:rStyle w:val="Lienhypertexte"/>
          </w:rPr>
          <w:t xml:space="preserve">Chapitre 11</w:t>
        </w:r>
      </w:hyperlink>
      <w:r>
        <w:t xml:space="preserve">.</w:t>
      </w:r>
    </w:p>
    <w:bookmarkEnd w:id="27"/>
    <w:bookmarkStart w:id="31"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fbede\AppData\Local\Program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1"/>
    <w:bookmarkStart w:id="35"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orpsdetexte"/>
      </w:pPr>
      <w:r>
        <w:t xml:space="preserve">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33" name="Picture"/>
            <a:graphic>
              <a:graphicData uri="http://schemas.openxmlformats.org/drawingml/2006/picture">
                <pic:pic>
                  <pic:nvPicPr>
                    <pic:cNvPr descr="01_description_files/figure-docx/carte_sites-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35"/>
    <w:bookmarkStart w:id="41"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36"/>
          <w:p/>
        </w:tc>
      </w:tr>
    </w:tbl>
    <w:bookmarkStart w:id="38"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7"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37"/>
          <w:p/>
        </w:tc>
      </w:tr>
    </w:tbl>
    <w:bookmarkEnd w:id="38"/>
    <w:bookmarkStart w:id="40"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39"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39"/>
          <w:p/>
        </w:tc>
      </w:tr>
    </w:tbl>
    <w:bookmarkEnd w:id="40"/>
    <w:bookmarkEnd w:id="41"/>
    <w:bookmarkStart w:id="57" w:name="déroulement-de-lenquête"/>
    <w:p>
      <w:pPr>
        <w:pStyle w:val="Titre2"/>
      </w:pPr>
      <w:r>
        <w:t xml:space="preserve">1.5 Déroulement de l’enquête</w:t>
      </w:r>
    </w:p>
    <w:bookmarkStart w:id="49" w:name="période-de-collecte"/>
    <w:p>
      <w:pPr>
        <w:pStyle w:val="Titre3"/>
      </w:pPr>
      <w:r>
        <w:t xml:space="preserve">1.5.1 Période de collecte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Users\fbede\AppData\Local\Programs\Quarto\share\formats\docx\note.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 entretien isolé apparaît à Marovoay le 3 septembre dans les données. Il pourrait s’agir d’une erreur de saisie de la date d’interview. Cette observation sera vérifiée lors de la restitution. Le chronogramme ci-dessous exclut cet entretien pour des raisons de lisibilité.</w:t>
            </w:r>
          </w:p>
          <w:p/>
        </w:tc>
      </w:tr>
    </w:tbl>
    <w:tbl>
      <w:tblPr>
        <w:tblStyle w:val="Table"/>
        <w:tblW w:type="pct" w:w="5000"/>
        <w:tblLayout w:type="fixed"/>
        <w:tblLook w:firstRow="0" w:lastRow="0" w:firstColumn="0" w:lastColumn="0" w:noHBand="0" w:noVBand="0" w:val="0000"/>
      </w:tblPr>
      <w:tblGrid>
        <w:gridCol w:w="7920"/>
      </w:tblGrid>
      <w:tr>
        <w:tc>
          <w:tcPr/>
          <w:bookmarkStart w:id="47"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5" name="Picture"/>
                  <a:graphic>
                    <a:graphicData uri="http://schemas.openxmlformats.org/drawingml/2006/picture">
                      <pic:pic>
                        <pic:nvPicPr>
                          <pic:cNvPr descr="01_description_files/figure-docx/fig-chronogramme-1.png" id="46" name="Picture"/>
                          <pic:cNvPicPr>
                            <a:picLocks noChangeArrowheads="1" noChangeAspect="1"/>
                          </pic:cNvPicPr>
                        </pic:nvPicPr>
                        <pic:blipFill>
                          <a:blip r:embed="rId44"/>
                          <a:stretch>
                            <a:fillRect/>
                          </a:stretch>
                        </pic:blipFill>
                        <pic:spPr bwMode="auto">
                          <a:xfrm>
                            <a:off x="0" y="0"/>
                            <a:ext cx="5969000" cy="2984500"/>
                          </a:xfrm>
                          <a:prstGeom prst="rect">
                            <a:avLst/>
                          </a:prstGeom>
                          <a:noFill/>
                          <a:ln w="9525">
                            <a:noFill/>
                            <a:headEnd/>
                            <a:tailEnd/>
                          </a:ln>
                        </pic:spPr>
                      </pic:pic>
                    </a:graphicData>
                  </a:graphic>
                </wp:inline>
              </w:drawing>
            </w:r>
          </w:p>
          <w:bookmarkEnd w:id="47"/>
        </w:tc>
      </w:tr>
    </w:tbl>
    <w:tbl>
      <w:tblPr>
        <w:tblStyle w:val="Table"/>
        <w:tblW w:type="pct" w:w="5000"/>
        <w:tblLayout w:type="fixed"/>
        <w:tblLook w:firstRow="0" w:lastRow="0" w:firstColumn="0" w:lastColumn="0" w:noHBand="0" w:noVBand="0" w:val="0000"/>
      </w:tblPr>
      <w:tblGrid>
        <w:gridCol w:w="7920"/>
      </w:tblGrid>
      <w:tr>
        <w:tc>
          <w:tcPr/>
          <w:bookmarkStart w:id="48"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48"/>
          <w:p/>
        </w:tc>
      </w:tr>
    </w:tbl>
    <w:bookmarkEnd w:id="49"/>
    <w:bookmarkStart w:id="56" w:name="équipe-denquête"/>
    <w:p>
      <w:pPr>
        <w:pStyle w:val="Titre3"/>
      </w:pPr>
      <w:r>
        <w:t xml:space="preserve">1.5.2 Équipe d’enquête</w:t>
      </w:r>
    </w:p>
    <w:p>
      <w:pPr>
        <w:pStyle w:val="FirstParagraph"/>
      </w:pPr>
      <w:r>
        <w:t xml:space="preserve">L’enquête a mobilisé 20 enquêteurs (10 par observatoire), encadrés par 6 superviseurs (3 par observatoire). La saisie des questionnaires a été assurée par 4 opérateurs. Le</w:t>
      </w:r>
      <w:r>
        <w:t xml:space="preserve"> </w:t>
      </w:r>
      <w:hyperlink w:anchor="fig-enqueteurs">
        <w:r>
          <w:rPr>
            <w:rStyle w:val="Lienhypertexte"/>
          </w:rPr>
          <w:t xml:space="preserve">Figure 1.2</w:t>
        </w:r>
      </w:hyperlink>
      <w:r>
        <w:t xml:space="preserve"> </w:t>
      </w:r>
      <w:r>
        <w:t xml:space="preserve">présente le nombre de questionnaires réalisés par chaque enquêteur (identifié par un code anonyme).</w:t>
      </w:r>
    </w:p>
    <w:tbl>
      <w:tblPr>
        <w:tblStyle w:val="Table"/>
        <w:tblW w:type="pct" w:w="5000"/>
        <w:tblLayout w:type="fixed"/>
        <w:tblLook w:firstRow="0" w:lastRow="0" w:firstColumn="0" w:lastColumn="0" w:noHBand="0" w:noVBand="0" w:val="0000"/>
      </w:tblPr>
      <w:tblGrid>
        <w:gridCol w:w="7920"/>
      </w:tblGrid>
      <w:tr>
        <w:tc>
          <w:tcPr/>
          <w:bookmarkStart w:id="53" w:name="fig-enqueteurs"/>
          <w:p>
            <w:pPr>
              <w:jc w:val="center"/>
            </w:pPr>
            <w:pPr>
              <w:jc w:val="left"/>
              <w:spacing w:before="200"/>
              <w:pStyle w:val="ImageCaption"/>
            </w:pPr>
            <w:r>
              <w:t xml:space="preserve">Figure 1.2: Nombre de questionnaires par enquêteur et observatoire</w:t>
            </w:r>
          </w:p>
          <w:p>
            <w:pPr>
              <w:pStyle w:val="Compact"/>
              <w:jc w:val="center"/>
            </w:pPr>
            <w:r>
              <w:drawing>
                <wp:inline>
                  <wp:extent cx="5969000" cy="6963833"/>
                  <wp:effectExtent b="0" l="0" r="0" t="0"/>
                  <wp:docPr descr="" title="" id="51" name="Picture"/>
                  <a:graphic>
                    <a:graphicData uri="http://schemas.openxmlformats.org/drawingml/2006/picture">
                      <pic:pic>
                        <pic:nvPicPr>
                          <pic:cNvPr descr="01_description_files/figure-docx/fig-enqueteurs-1.png" id="52" name="Picture"/>
                          <pic:cNvPicPr>
                            <a:picLocks noChangeArrowheads="1" noChangeAspect="1"/>
                          </pic:cNvPicPr>
                        </pic:nvPicPr>
                        <pic:blipFill>
                          <a:blip r:embed="rId50"/>
                          <a:stretch>
                            <a:fillRect/>
                          </a:stretch>
                        </pic:blipFill>
                        <pic:spPr bwMode="auto">
                          <a:xfrm>
                            <a:off x="0" y="0"/>
                            <a:ext cx="5969000" cy="6963833"/>
                          </a:xfrm>
                          <a:prstGeom prst="rect">
                            <a:avLst/>
                          </a:prstGeom>
                          <a:noFill/>
                          <a:ln w="9525">
                            <a:noFill/>
                            <a:headEnd/>
                            <a:tailEnd/>
                          </a:ln>
                        </pic:spPr>
                      </pic:pic>
                    </a:graphicData>
                  </a:graphic>
                </wp:inline>
              </w:drawing>
            </w:r>
          </w:p>
          <w:bookmarkEnd w:id="53"/>
        </w:tc>
      </w:tr>
    </w:tbl>
    <w:tbl>
      <w:tblPr>
        <w:tblStyle w:val="Table"/>
        <w:tblW w:type="pct" w:w="5000"/>
        <w:tblLayout w:type="fixed"/>
        <w:tblLook w:firstRow="0" w:lastRow="0" w:firstColumn="0" w:lastColumn="0" w:noHBand="0" w:noVBand="0" w:val="0000"/>
      </w:tblPr>
      <w:tblGrid>
        <w:gridCol w:w="7920"/>
      </w:tblGrid>
      <w:tr>
        <w:tc>
          <w:tcPr/>
          <w:bookmarkStart w:id="54" w:name="tbl-superviseurs"/>
          <w:p>
            <w:pPr>
              <w:jc w:val="center"/>
            </w:pPr>
            <w:pPr>
              <w:jc w:val="left"/>
              <w:spacing w:before="200"/>
              <w:pStyle w:val="ImageCaption"/>
            </w:pPr>
            <w:r>
              <w:t xml:space="preserve">Table 1.5: Nombre de questionnaires supervisés par superviseur</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Superviseur</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S01</w:t>
                  </w:r>
                </w:p>
              </w:tc>
              <w:tc>
                <w:tcPr/>
                <w:p>
                  <w:pPr>
                    <w:pStyle w:val="Compact"/>
                    <w:jc w:val="right"/>
                    <w:jc w:val="center"/>
                  </w:pPr>
                  <w:r>
                    <w:t xml:space="preserve">172</w:t>
                  </w:r>
                </w:p>
              </w:tc>
              <w:tc>
                <w:tcPr/>
                <w:p>
                  <w:pPr>
                    <w:pStyle w:val="Compact"/>
                    <w:jc w:val="right"/>
                    <w:jc w:val="center"/>
                  </w:pPr>
                  <w:r>
                    <w:t xml:space="preserve">86</w:t>
                  </w:r>
                </w:p>
              </w:tc>
            </w:tr>
            <w:tr>
              <w:tc>
                <w:tcPr/>
                <w:p>
                  <w:pPr>
                    <w:pStyle w:val="Compact"/>
                    <w:jc w:val="left"/>
                    <w:jc w:val="center"/>
                  </w:pPr>
                  <w:r>
                    <w:t xml:space="preserve">S02</w:t>
                  </w:r>
                </w:p>
              </w:tc>
              <w:tc>
                <w:tcPr/>
                <w:p>
                  <w:pPr>
                    <w:pStyle w:val="Compact"/>
                    <w:jc w:val="right"/>
                    <w:jc w:val="center"/>
                  </w:pPr>
                  <w:r>
                    <w:t xml:space="preserve">166</w:t>
                  </w:r>
                </w:p>
              </w:tc>
              <w:tc>
                <w:tcPr/>
                <w:p>
                  <w:pPr>
                    <w:pStyle w:val="Compact"/>
                    <w:jc w:val="right"/>
                    <w:jc w:val="center"/>
                  </w:pPr>
                  <w:r>
                    <w:t xml:space="preserve">217</w:t>
                  </w:r>
                </w:p>
              </w:tc>
            </w:tr>
            <w:tr>
              <w:tc>
                <w:tcPr/>
                <w:p>
                  <w:pPr>
                    <w:pStyle w:val="Compact"/>
                    <w:jc w:val="left"/>
                    <w:jc w:val="center"/>
                  </w:pPr>
                  <w:r>
                    <w:t xml:space="preserve">S03</w:t>
                  </w:r>
                </w:p>
              </w:tc>
              <w:tc>
                <w:tcPr/>
                <w:p>
                  <w:pPr>
                    <w:pStyle w:val="Compact"/>
                    <w:jc w:val="right"/>
                    <w:jc w:val="center"/>
                  </w:pPr>
                  <w:r>
                    <w:t xml:space="preserve">169</w:t>
                  </w:r>
                </w:p>
              </w:tc>
              <w:tc>
                <w:tcPr/>
                <w:p>
                  <w:pPr>
                    <w:pStyle w:val="Compact"/>
                    <w:jc w:val="right"/>
                    <w:jc w:val="center"/>
                  </w:pPr>
                  <w:r>
                    <w:t xml:space="preserve">216</w:t>
                  </w:r>
                </w:p>
              </w:tc>
            </w:tr>
            <w:tr>
              <w:tc>
                <w:tcPr>
                  <w:gridSpan w:val="3"/>
                </w:tcPr>
                <w:p>
                  <w:pPr>
                    <w:pStyle w:val="Compact"/>
                    <w:jc w:val="left"/>
                    <w:jc w:val="center"/>
                  </w:pPr>
                  <w:r>
                    <w:rPr>
                      <w:b/>
                      <w:bCs/>
                    </w:rPr>
                    <w:t xml:space="preserve">Source : Enquête auprès des OR 2025</w:t>
                  </w:r>
                </w:p>
              </w:tc>
            </w:tr>
          </w:tbl>
          <w:bookmarkEnd w:id="54"/>
          <w:p/>
        </w:tc>
      </w:tr>
    </w:tbl>
    <w:p>
      <w:pPr>
        <w:pStyle w:val="Corpsdetexte"/>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tbl-saisie"/>
          <w:p>
            <w:pPr>
              <w:jc w:val="center"/>
            </w:pPr>
            <w:pPr>
              <w:jc w:val="left"/>
              <w:spacing w:before="200"/>
              <w:pStyle w:val="ImageCaption"/>
            </w:pPr>
            <w:r>
              <w:t xml:space="preserve">Table 1.6: Nombre de questionnaires saisis par opérateur de saisie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Opérateur</w:t>
                  </w:r>
                </w:p>
              </w:tc>
              <w:tc>
                <w:tcPr/>
                <w:p>
                  <w:pPr>
                    <w:pStyle w:val="Compact"/>
                    <w:jc w:val="right"/>
                    <w:jc w:val="center"/>
                  </w:pPr>
                  <w:r>
                    <w:t xml:space="preserve">Questionnaires</w:t>
                  </w:r>
                </w:p>
              </w:tc>
            </w:tr>
            <w:tr>
              <w:tc>
                <w:tcPr/>
                <w:p>
                  <w:pPr>
                    <w:pStyle w:val="Compact"/>
                    <w:jc w:val="left"/>
                    <w:jc w:val="center"/>
                  </w:pPr>
                  <w:r>
                    <w:t xml:space="preserve">OP01</w:t>
                  </w:r>
                </w:p>
              </w:tc>
              <w:tc>
                <w:tcPr/>
                <w:p>
                  <w:pPr>
                    <w:pStyle w:val="Compact"/>
                    <w:jc w:val="right"/>
                    <w:jc w:val="center"/>
                  </w:pPr>
                  <w:r>
                    <w:t xml:space="preserve">252</w:t>
                  </w:r>
                </w:p>
              </w:tc>
            </w:tr>
            <w:tr>
              <w:tc>
                <w:tcPr/>
                <w:p>
                  <w:pPr>
                    <w:pStyle w:val="Compact"/>
                    <w:jc w:val="left"/>
                    <w:jc w:val="center"/>
                  </w:pPr>
                  <w:r>
                    <w:t xml:space="preserve">OP02</w:t>
                  </w:r>
                </w:p>
              </w:tc>
              <w:tc>
                <w:tcPr/>
                <w:p>
                  <w:pPr>
                    <w:pStyle w:val="Compact"/>
                    <w:jc w:val="right"/>
                    <w:jc w:val="center"/>
                  </w:pPr>
                  <w:r>
                    <w:t xml:space="preserve">255</w:t>
                  </w:r>
                </w:p>
              </w:tc>
            </w:tr>
            <w:tr>
              <w:tc>
                <w:tcPr/>
                <w:p>
                  <w:pPr>
                    <w:pStyle w:val="Compact"/>
                    <w:jc w:val="left"/>
                    <w:jc w:val="center"/>
                  </w:pPr>
                  <w:r>
                    <w:t xml:space="preserve">OP03</w:t>
                  </w:r>
                </w:p>
              </w:tc>
              <w:tc>
                <w:tcPr/>
                <w:p>
                  <w:pPr>
                    <w:pStyle w:val="Compact"/>
                    <w:jc w:val="right"/>
                    <w:jc w:val="center"/>
                  </w:pPr>
                  <w:r>
                    <w:t xml:space="preserve">260</w:t>
                  </w:r>
                </w:p>
              </w:tc>
            </w:tr>
            <w:tr>
              <w:tc>
                <w:tcPr/>
                <w:p>
                  <w:pPr>
                    <w:pStyle w:val="Compact"/>
                    <w:jc w:val="left"/>
                    <w:jc w:val="center"/>
                  </w:pPr>
                  <w:r>
                    <w:t xml:space="preserve">OP04</w:t>
                  </w:r>
                </w:p>
              </w:tc>
              <w:tc>
                <w:tcPr/>
                <w:p>
                  <w:pPr>
                    <w:pStyle w:val="Compact"/>
                    <w:jc w:val="right"/>
                    <w:jc w:val="center"/>
                  </w:pPr>
                  <w:r>
                    <w:t xml:space="preserve">259</w:t>
                  </w:r>
                </w:p>
              </w:tc>
            </w:tr>
            <w:tr>
              <w:tc>
                <w:tcPr>
                  <w:gridSpan w:val="2"/>
                </w:tcPr>
                <w:p>
                  <w:pPr>
                    <w:pStyle w:val="Compact"/>
                    <w:jc w:val="left"/>
                    <w:jc w:val="center"/>
                  </w:pPr>
                  <w:r>
                    <w:rPr>
                      <w:b/>
                      <w:bCs/>
                    </w:rPr>
                    <w:t xml:space="preserve">Source : Enquête auprès des OR 2025</w:t>
                  </w:r>
                </w:p>
              </w:tc>
            </w:tr>
          </w:tbl>
          <w:bookmarkEnd w:id="55"/>
          <w:p/>
        </w:tc>
      </w:tr>
    </w:tbl>
    <w:bookmarkEnd w:id="56"/>
    <w:bookmarkEnd w:id="57"/>
    <w:bookmarkEnd w:id="58"/>
    <w:bookmarkStart w:id="168"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fbede\AppData\Local\Programs\Quarto\share\formats\docx\warning.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p>
      <w:pPr>
        <w:pStyle w:val="Corpsdetexte"/>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Corpsdetexte"/>
      </w:pPr>
      <w:r>
        <w:t xml:space="preserve">Les indicateurs démographiques présentés dans cette section sont calculés à partir du fichier ménage (</w:t>
      </w:r>
      <w:r>
        <w:rPr>
          <w:rStyle w:val="VerbatimChar"/>
        </w:rPr>
        <w:t xml:space="preserve">res_deb</w:t>
      </w:r>
      <w:r>
        <w:t xml:space="preserve">) et du fichier des membres (</w:t>
      </w:r>
      <w:r>
        <w:rPr>
          <w:rStyle w:val="VerbatimChar"/>
        </w:rPr>
        <w:t xml:space="preserve">res_m_a</w:t>
      </w:r>
      <w:r>
        <w:t xml:space="preserve">). La classification des activités principales s’appuie sur une nomenclature sectorielle inspirée de la CITI Rév. 4. Les effectifs inférieurs à cinq sont masqués par souci de confidentialité statistique. Les comparaisons entre les deux observatoires doivent tenir compte de la différence de taille des échantillons et de la structure spatiale des zones enquêtées.</w:t>
      </w:r>
    </w:p>
    <w:bookmarkStart w:id="84" w:name="description-des-ménages"/>
    <w:p>
      <w:pPr>
        <w:pStyle w:val="Titre2"/>
      </w:pPr>
      <w:r>
        <w:t xml:space="preserve">2.1 Description des ménages</w:t>
      </w:r>
    </w:p>
    <w:p>
      <w:pPr>
        <w:pStyle w:val="FirstParagraph"/>
      </w:pPr>
      <w:r>
        <w:t xml:space="preserve">L’enquête a permis de recenser 4272 individus répartis dans 1026 ménages au sein des deux observatoires.</w:t>
      </w:r>
    </w:p>
    <w:p>
      <w:pPr>
        <w:pStyle w:val="Corpsdetexte"/>
      </w:pPr>
      <w:r>
        <w:t xml:space="preserve">A Alaotra, on a recensé 1975 individus répartis dans 507 ménages. La taille moyenne des ménages s’établit à 3.9 personnes.</w:t>
      </w:r>
    </w:p>
    <w:p>
      <w:pPr>
        <w:pStyle w:val="Corpsdetexte"/>
      </w:pPr>
      <w:r>
        <w:t xml:space="preserve">A Marovoay, on a recensé 2297 individus répartis dans 519 ménages. La taille moyenne des ménages s’établit à 4.4 personnes. Parmi les quatre hameaux, les tailles de ménages varient sensiblement, reflétant des structures familiales distinctes selon les localités.</w:t>
      </w:r>
    </w:p>
    <w:bookmarkStart w:id="62"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61"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par observatoire</w:t>
                  </w:r>
                </w:p>
              </w:tc>
            </w:tr>
            <w:tr>
              <w:trPr>
                <w:tblHeader w:val="on"/>
              </w:trPr>
              <w:tc>
                <w:tcPr/>
                <w:p>
                  <w:pPr>
                    <w:pStyle w:val="Compact"/>
                    <w:jc w:val="right"/>
                    <w:jc w:val="center"/>
                  </w:pPr>
                  <w:r>
                    <w:t xml:space="preserve">Taille moyenne</w:t>
                  </w:r>
                </w:p>
              </w:tc>
            </w:tr>
            <w:tr>
              <w:tc>
                <w:tcPr/>
                <w:p>
                  <w:pPr>
                    <w:pStyle w:val="Compact"/>
                    <w:jc w:val="left"/>
                    <w:jc w:val="center"/>
                  </w:pPr>
                  <w:r>
                    <w:t xml:space="preserve">Alaotra</w:t>
                  </w:r>
                </w:p>
              </w:tc>
            </w:tr>
            <w:tr>
              <w:tc>
                <w:tcPr/>
                <w:p>
                  <w:pPr>
                    <w:pStyle w:val="Compact"/>
                    <w:jc w:val="right"/>
                    <w:jc w:val="center"/>
                  </w:pPr>
                  <w:r>
                    <w:t xml:space="preserve">3.90</w:t>
                  </w:r>
                </w:p>
              </w:tc>
            </w:tr>
            <w:tr>
              <w:tc>
                <w:tcPr/>
                <w:p>
                  <w:pPr>
                    <w:pStyle w:val="Compact"/>
                    <w:jc w:val="left"/>
                    <w:jc w:val="center"/>
                  </w:pPr>
                  <w:r>
                    <w:t xml:space="preserve">Marovoay</w:t>
                  </w:r>
                </w:p>
              </w:tc>
            </w:tr>
            <w:tr>
              <w:tc>
                <w:tcPr/>
                <w:p>
                  <w:pPr>
                    <w:pStyle w:val="Compact"/>
                    <w:jc w:val="right"/>
                    <w:jc w:val="center"/>
                  </w:pPr>
                  <w:r>
                    <w:t xml:space="preserve">4.43</w:t>
                  </w:r>
                </w:p>
              </w:tc>
            </w:tr>
            <w:tr>
              <w:tc>
                <w:tcPr/>
                <w:p>
                  <w:pPr>
                    <w:pStyle w:val="Compact"/>
                    <w:jc w:val="left"/>
                    <w:jc w:val="center"/>
                  </w:pPr>
                  <w:r>
                    <w:rPr>
                      <w:b/>
                      <w:bCs/>
                    </w:rPr>
                    <w:t xml:space="preserve">Source : Enquête auprès des OR 2025</w:t>
                  </w:r>
                </w:p>
              </w:tc>
            </w:tr>
          </w:tbl>
          <w:bookmarkEnd w:id="61"/>
          <w:p/>
        </w:tc>
      </w:tr>
    </w:tbl>
    <w:bookmarkEnd w:id="62"/>
    <w:bookmarkStart w:id="63"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par observatoire</w:t>
            </w:r>
          </w:p>
        </w:tc>
      </w:tr>
      <w:tr>
        <w:trPr>
          <w:tblHeader w:val="on"/>
        </w:trPr>
        <w:tc>
          <w:tcPr/>
          <w:p>
            <w:pPr>
              <w:pStyle w:val="Compact"/>
              <w:jc w:val="left"/>
            </w:pPr>
            <w:r>
              <w:t xml:space="preserve">Hameau</w:t>
            </w:r>
          </w:p>
        </w:tc>
        <w:tc>
          <w:tcPr/>
          <w:p>
            <w:pPr>
              <w:pStyle w:val="Compact"/>
              <w:jc w:val="right"/>
            </w:pPr>
            <w:r>
              <w:t xml:space="preserve">Taille moyenne</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63"/>
    <w:bookmarkStart w:id="71"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Alaotra, 37 % des individus ont moins de 15 ans. La population en âge de travailler (15–64 ans) représente 57.9 %, tandis que les personnes de 65 ans et plus ne constituent que 5.1 %.</w:t>
      </w:r>
    </w:p>
    <w:p>
      <w:pPr>
        <w:pStyle w:val="Corpsdetexte"/>
      </w:pPr>
      <w:r>
        <w:t xml:space="preserve">A Marovoay, 40.7 % des individus ont moins de 15 ans, signe d’une population en croissance rapide. La population en âge de travailler (15–64 ans) représente 54.7 %, tandis que les personnes de 65 ans et plus ne constituent que 4.6 %. Cette structure démographique, caractérisée par une base large et un sommet étroit, est caractéristique des populations rurales malgaches et traduit un taux de dépendance élevé.</w:t>
      </w:r>
    </w:p>
    <w:bookmarkStart w:id="70" w:name="au-niveau-des-observatoires"/>
    <w:p>
      <w:pPr>
        <w:pStyle w:val="Titre4"/>
      </w:pPr>
      <w:r>
        <w:t xml:space="preserve">2.1.3.1 Au niveau des observatoires</w:t>
      </w:r>
    </w:p>
    <w:p>
      <w:pPr>
        <w:pStyle w:val="CaptionedFigure"/>
      </w:pPr>
      <w:r>
        <w:drawing>
          <wp:inline>
            <wp:extent cx="4620126" cy="3696101"/>
            <wp:effectExtent b="0" l="0" r="0" t="0"/>
            <wp:docPr descr="Répartition des membres des ménages par tranche d’âge selon les observatoires" title="" id="65" name="Picture"/>
            <a:graphic>
              <a:graphicData uri="http://schemas.openxmlformats.org/drawingml/2006/picture">
                <pic:pic>
                  <pic:nvPicPr>
                    <pic:cNvPr descr="02_structure_menages_files/figure-docx/fig_age_obs-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4706753"/>
            <wp:effectExtent b="0" l="0" r="0" t="0"/>
            <wp:docPr descr="Pyramide des âges des membres des ménages enquêtés par observatoire" title="" id="68" name="Picture"/>
            <a:graphic>
              <a:graphicData uri="http://schemas.openxmlformats.org/drawingml/2006/picture">
                <pic:pic>
                  <pic:nvPicPr>
                    <pic:cNvPr descr="02_structure_menages_files/figure-docx/fig_pyramide-1.png" id="69" name="Picture"/>
                    <pic:cNvPicPr>
                      <a:picLocks noChangeArrowheads="1" noChangeAspect="1"/>
                    </pic:cNvPicPr>
                  </pic:nvPicPr>
                  <pic:blipFill>
                    <a:blip r:embed="rId67"/>
                    <a:stretch>
                      <a:fillRect/>
                    </a:stretch>
                  </pic:blipFill>
                  <pic:spPr bwMode="auto">
                    <a:xfrm>
                      <a:off x="0" y="0"/>
                      <a:ext cx="4620126" cy="4706753"/>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70"/>
    <w:bookmarkEnd w:id="71"/>
    <w:bookmarkStart w:id="75"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La répartition de ces catégories diffère sensiblement entre les deux observatoires.</w:t>
      </w:r>
    </w:p>
    <w:p>
      <w:pPr>
        <w:pStyle w:val="Corpsdetexte"/>
      </w:pPr>
      <w:r>
        <w:t xml:space="preserve">À Marovoay, l’équilibre entre</w:t>
      </w:r>
      <w:r>
        <w:t xml:space="preserve"> </w:t>
      </w:r>
      <w:r>
        <w:rPr>
          <w:i/>
          <w:iCs/>
        </w:rPr>
        <w:t xml:space="preserve">tompon-tany</w:t>
      </w:r>
      <w:r>
        <w:t xml:space="preserve"> </w:t>
      </w:r>
      <w:r>
        <w:t xml:space="preserve">et</w:t>
      </w:r>
      <w:r>
        <w:t xml:space="preserve"> </w:t>
      </w:r>
      <w:r>
        <w:rPr>
          <w:i/>
          <w:iCs/>
        </w:rPr>
        <w:t xml:space="preserve">zana-tany</w:t>
      </w:r>
      <w:r>
        <w:t xml:space="preserve"> </w:t>
      </w:r>
      <w:r>
        <w:t xml:space="preserve">varie selon les localités. La proportion de</w:t>
      </w:r>
      <w:r>
        <w:t xml:space="preserve"> </w:t>
      </w:r>
      <w:r>
        <w:rPr>
          <w:i/>
          <w:iCs/>
        </w:rPr>
        <w:t xml:space="preserve">valivotaka</w:t>
      </w:r>
      <w:r>
        <w:t xml:space="preserve"> </w:t>
      </w:r>
      <w:r>
        <w:t xml:space="preserve">et</w:t>
      </w:r>
      <w:r>
        <w:t xml:space="preserve"> </w:t>
      </w:r>
      <w:r>
        <w:rPr>
          <w:i/>
          <w:iCs/>
        </w:rPr>
        <w:t xml:space="preserve">mpihavy</w:t>
      </w:r>
      <w:r>
        <w:t xml:space="preserve"> </w:t>
      </w:r>
      <w:r>
        <w:t xml:space="preserve">reflète l’attractivité des zones rizicoles pour les migrants des régions voisines. Les raisons sociales (en particulier le mariage) dépassent largement les motivations économiques comme facteur d’installation.</w:t>
      </w:r>
    </w:p>
    <w:p>
      <w:pPr>
        <w:pStyle w:val="Corpsdetexte"/>
      </w:pPr>
      <w:r>
        <w:t xml:space="preserve">Dans l’Alaotra, la pression foncière croissante et l’attractivité des périmètres rizicoles aménagés se reflètent dans la composition des populations selon leur origine. Les dynamiques migratoires et l’ancrage local varient selon la position des fokontany par rapport aux zones irriguées.</w:t>
      </w:r>
    </w:p>
    <w:p>
      <w:pPr>
        <w:pStyle w:val="Corpsdetexte"/>
      </w:pPr>
      <w:r>
        <w:drawing>
          <wp:inline>
            <wp:extent cx="4620126" cy="3696101"/>
            <wp:effectExtent b="0" l="0" r="0" t="0"/>
            <wp:docPr descr="" title="" id="73" name="Picture"/>
            <a:graphic>
              <a:graphicData uri="http://schemas.openxmlformats.org/drawingml/2006/picture">
                <pic:pic>
                  <pic:nvPicPr>
                    <pic:cNvPr descr="02_structure_menages_files/figure-docx/fig_origine-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79" w:name="région-dorigine"/>
    <w:p>
      <w:pPr>
        <w:pStyle w:val="Titre3"/>
      </w:pPr>
      <w:r>
        <w:t xml:space="preserve">2.1.5 Région d’origine</w:t>
      </w:r>
    </w:p>
    <w:p>
      <w:pPr>
        <w:pStyle w:val="FirstParagraph"/>
      </w:pPr>
      <w:r>
        <w:t xml:space="preserve">La provenance régionale des CM et conjoints qui ne sont pas natifs de la localité permet d’identifier les principaux bassins migratoires alimentant chaque observatoire.</w:t>
      </w:r>
    </w:p>
    <w:p>
      <w:pPr>
        <w:pStyle w:val="Corpsdetexte"/>
      </w:pPr>
      <w:r>
        <w:drawing>
          <wp:inline>
            <wp:extent cx="4620126" cy="3696101"/>
            <wp:effectExtent b="0" l="0" r="0" t="0"/>
            <wp:docPr descr="" title="" id="77" name="Picture"/>
            <a:graphic>
              <a:graphicData uri="http://schemas.openxmlformats.org/drawingml/2006/picture">
                <pic:pic>
                  <pic:nvPicPr>
                    <pic:cNvPr descr="02_structure_menages_files/figure-docx/fig_homeland-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bookmarkEnd w:id="79"/>
    <w:bookmarkStart w:id="83" w:name="raison-dinstallation"/>
    <w:p>
      <w:pPr>
        <w:pStyle w:val="Titre3"/>
      </w:pPr>
      <w:r>
        <w:t xml:space="preserve">2.1.6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p>
      <w:pPr>
        <w:pStyle w:val="Corpsdetexte"/>
      </w:pPr>
      <w:r>
        <w:drawing>
          <wp:inline>
            <wp:extent cx="4620126" cy="3696101"/>
            <wp:effectExtent b="0" l="0" r="0" t="0"/>
            <wp:docPr descr="" title="" id="81" name="Picture"/>
            <a:graphic>
              <a:graphicData uri="http://schemas.openxmlformats.org/drawingml/2006/picture">
                <pic:pic>
                  <pic:nvPicPr>
                    <pic:cNvPr descr="02_structure_menages_files/figure-docx/fig_raison-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bookmarkEnd w:id="83"/>
    <w:bookmarkEnd w:id="84"/>
    <w:bookmarkStart w:id="113"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 L’âge moyen des CM est de 45.4 ans. Sur le plan conjugal, 74.2 % des CM vivent en couple (mariés ou en concubinage).</w:t>
      </w:r>
    </w:p>
    <w:p>
      <w:pPr>
        <w:pStyle w:val="Corpsdetexte"/>
      </w:pPr>
      <w:r>
        <w:t xml:space="preserve">A Marovoay, 78 % des CM sont des hommes, soit 22 % de ménages dirigés par des femmes. L’âge moyen des CM est de 46.1 ans. Sur le plan conjugal, 73 % des CM vivent en couple (mariés ou en concubinage).</w:t>
      </w:r>
    </w:p>
    <w:bookmarkStart w:id="85"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78.3%</w:t>
            </w:r>
          </w:p>
        </w:tc>
        <w:tc>
          <w:tcPr/>
          <w:p>
            <w:pPr>
              <w:pStyle w:val="Compact"/>
              <w:jc w:val="right"/>
            </w:pPr>
            <w:r>
              <w:t xml:space="preserve">78%</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27</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43</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45</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90</w:t>
            </w:r>
          </w:p>
        </w:tc>
        <w:tc>
          <w:tcPr/>
          <w:p>
            <w:pPr>
              <w:pStyle w:val="Compact"/>
              <w:jc w:val="right"/>
            </w:pPr>
            <w:r>
              <w:t xml:space="preserve">96</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11%</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3.7%</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20.9%</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49.5%</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12.6%</w:t>
            </w:r>
          </w:p>
        </w:tc>
        <w:tc>
          <w:tcPr/>
          <w:p>
            <w:pPr>
              <w:pStyle w:val="Compact"/>
              <w:jc w:val="right"/>
            </w:pPr>
            <w:r>
              <w:t xml:space="preserve">9.4%</w:t>
            </w:r>
          </w:p>
        </w:tc>
      </w:tr>
      <w:tr>
        <w:tc>
          <w:tcPr>
            <w:gridSpan w:val="3"/>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3"/>
          </w:tcPr>
          <w:p>
            <w:pPr>
              <w:pStyle w:val="Compact"/>
              <w:jc w:val="left"/>
            </w:pPr>
            <w:r>
              <w:rPr>
                <w:b/>
                <w:bCs/>
              </w:rPr>
              <w:t xml:space="preserve">Source : Enquête auprès des OR 2025</w:t>
            </w:r>
          </w:p>
        </w:tc>
      </w:tr>
    </w:tbl>
    <w:bookmarkEnd w:id="85"/>
    <w:bookmarkStart w:id="94"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Dans l’Alaotra, le niveau le plus fréquemment atteint est « Primaire » (61.9 % des CM).</w:t>
      </w:r>
    </w:p>
    <w:p>
      <w:pPr>
        <w:pStyle w:val="Corpsdetexte"/>
      </w:pPr>
      <w:r>
        <w:t xml:space="preserve">A Marovoay, le niveau le plus fréquemment atteint est « Primaire » (52.4 % des CM). La majorité des chefs de ménage ont un faible niveau d’instruction, avec une dominance du niveau primaire pour les deux sexes. Les femmes chefs de ménage présentent des taux d’instruction nettement plus faibles que les hommes, ce qui accentue leur vulnérabilité socio-économique.</w:t>
      </w:r>
    </w:p>
    <w:bookmarkStart w:id="89" w:name="niveau-déducation-du-chef-de-ménage"/>
    <w:p>
      <w:pPr>
        <w:pStyle w:val="Titre4"/>
      </w:pPr>
      <w:r>
        <w:t xml:space="preserve">2.2.2.1 Niveau d’éducation du Chef de ménage</w:t>
      </w:r>
    </w:p>
    <w:p>
      <w:pPr>
        <w:pStyle w:val="CaptionedFigure"/>
      </w:pPr>
      <w:r>
        <w:drawing>
          <wp:inline>
            <wp:extent cx="4620126" cy="3696101"/>
            <wp:effectExtent b="0" l="0" r="0" t="0"/>
            <wp:docPr descr="Niveau d’éducation des chefs de ménage" title="" id="87" name="Picture"/>
            <a:graphic>
              <a:graphicData uri="http://schemas.openxmlformats.org/drawingml/2006/picture">
                <pic:pic>
                  <pic:nvPicPr>
                    <pic:cNvPr descr="02_structure_menages_files/figure-docx/fig_cm_educ-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chefs de ménage</w:t>
      </w:r>
    </w:p>
    <w:bookmarkEnd w:id="89"/>
    <w:bookmarkStart w:id="93" w:name="X4a3ba4957ab1c055d132d85a923cd063717f406"/>
    <w:p>
      <w:pPr>
        <w:pStyle w:val="Titre4"/>
      </w:pPr>
      <w:r>
        <w:t xml:space="preserve">2.2.2.2 Niveau d’éducation des chefs de ménages par sexe</w:t>
      </w:r>
    </w:p>
    <w:p>
      <w:pPr>
        <w:pStyle w:val="CaptionedFigure"/>
      </w:pPr>
      <w:r>
        <w:drawing>
          <wp:inline>
            <wp:extent cx="4620126" cy="3696101"/>
            <wp:effectExtent b="0" l="0" r="0" t="0"/>
            <wp:docPr descr="Niveau d’éducation des CM par sexe" title="" id="91" name="Picture"/>
            <a:graphic>
              <a:graphicData uri="http://schemas.openxmlformats.org/drawingml/2006/picture">
                <pic:pic>
                  <pic:nvPicPr>
                    <pic:cNvPr descr="02_structure_menages_files/figure-docx/fig_cm_educ_sex-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CM par sexe</w:t>
      </w:r>
    </w:p>
    <w:bookmarkEnd w:id="93"/>
    <w:bookmarkEnd w:id="94"/>
    <w:bookmarkStart w:id="103"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Dans l’Alaotra, 84.4 % des CM savent lire aisément.</w:t>
      </w:r>
    </w:p>
    <w:p>
      <w:pPr>
        <w:pStyle w:val="Corpsdetexte"/>
      </w:pPr>
      <w:r>
        <w:t xml:space="preserve">A Marovoay, 74 % des CM savent lire aisément. Les niveaux de lecture et d’écriture varient sensiblement selon les localités et le sexe. L’écart entre hommes et femmes en matière d’alphabétisation traduit un accès inégal à l’éducation qui se répercute sur la capacité des ménages féminins à accéder à l’information et aux services.</w:t>
      </w:r>
    </w:p>
    <w:bookmarkStart w:id="98" w:name="savoir-lire"/>
    <w:p>
      <w:pPr>
        <w:pStyle w:val="Titre4"/>
      </w:pPr>
      <w:r>
        <w:t xml:space="preserve">2.2.3.1 Savoir lire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6.3%</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9.3%</w:t>
            </w:r>
          </w:p>
        </w:tc>
        <w:tc>
          <w:tcPr/>
          <w:p>
            <w:pPr>
              <w:pStyle w:val="Compact"/>
              <w:jc w:val="right"/>
            </w:pPr>
            <w:r>
              <w:t xml:space="preserve">20%</w:t>
            </w:r>
          </w:p>
        </w:tc>
      </w:tr>
      <w:tr>
        <w:tc>
          <w:tcPr>
            <w:gridSpan w:val="3"/>
          </w:tcPr>
          <w:p>
            <w:pPr>
              <w:pStyle w:val="Compact"/>
              <w:jc w:val="center"/>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96" name="Picture"/>
            <a:graphic>
              <a:graphicData uri="http://schemas.openxmlformats.org/drawingml/2006/picture">
                <pic:pic>
                  <pic:nvPicPr>
                    <pic:cNvPr descr="02_structure_menages_files/figure-docx/fig_cm_read_sex-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98"/>
    <w:bookmarkStart w:id="102" w:name="savoir-écrire"/>
    <w:p>
      <w:pPr>
        <w:pStyle w:val="Titre4"/>
      </w:pPr>
      <w:r>
        <w:t xml:space="preserve">2.2.3.2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5.3%</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10.3%</w:t>
            </w:r>
          </w:p>
        </w:tc>
        <w:tc>
          <w:tcPr/>
          <w:p>
            <w:pPr>
              <w:pStyle w:val="Compact"/>
              <w:jc w:val="right"/>
            </w:pPr>
            <w:r>
              <w:t xml:space="preserve">20.4%</w:t>
            </w:r>
          </w:p>
        </w:tc>
      </w:tr>
      <w:tr>
        <w:tc>
          <w:tcPr>
            <w:gridSpan w:val="3"/>
          </w:tcPr>
          <w:p>
            <w:pPr>
              <w:pStyle w:val="Compact"/>
              <w:jc w:val="center"/>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100" name="Picture"/>
            <a:graphic>
              <a:graphicData uri="http://schemas.openxmlformats.org/drawingml/2006/picture">
                <pic:pic>
                  <pic:nvPicPr>
                    <pic:cNvPr descr="02_structure_menages_files/figure-docx/fig_cm_write_sex-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102"/>
    <w:bookmarkEnd w:id="103"/>
    <w:bookmarkStart w:id="112"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Dans l’Alaotra, l’activité dominante est « Cultivateur exploitant » (60.4 % des CM).</w:t>
      </w:r>
    </w:p>
    <w:p>
      <w:pPr>
        <w:pStyle w:val="Corpsdetexte"/>
      </w:pPr>
      <w:r>
        <w:t xml:space="preserve">A Marovoay, l’activité dominante est « Cultivateur exploitant » (58.6 % des CM). L’agriculture constitue le socle économique des ménages, les cultivateurs exploitants représentant la majorité des chefs de ménage. Le commerce et la restauration, l’artisanat, le BTP et le transport, ainsi que l’élevage et la pêche complètent le panorama des activités. La différenciation des activités selon le sexe est marquée : les hommes sont majoritairement cultivateurs exploitants, tandis que les femmes sont davantage présentes dans le commerce et la restauration.</w:t>
      </w:r>
    </w:p>
    <w:tbl>
      <w:tblPr>
        <w:tblStyle w:val="Table"/>
        <w:tblW w:type="pct" w:w="5000"/>
        <w:tblLayout w:type="fixed"/>
        <w:tblLook w:firstRow="0" w:lastRow="0" w:firstColumn="0" w:lastColumn="0" w:noHBand="0" w:noVBand="0" w:val="0000"/>
      </w:tblPr>
      <w:tblGrid>
        <w:gridCol w:w="7920"/>
      </w:tblGrid>
      <w:tr>
        <w:tc>
          <w:tcPr/>
          <w:bookmarkStart w:id="107"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4340993"/>
                  <wp:effectExtent b="0" l="0" r="0" t="0"/>
                  <wp:docPr descr="" title="" id="105" name="Picture"/>
                  <a:graphic>
                    <a:graphicData uri="http://schemas.openxmlformats.org/drawingml/2006/picture">
                      <pic:pic>
                        <pic:nvPicPr>
                          <pic:cNvPr descr="02_structure_menages_files/figure-docx/fig-cm-act-1.png" id="106" name="Picture"/>
                          <pic:cNvPicPr>
                            <a:picLocks noChangeArrowheads="1" noChangeAspect="1"/>
                          </pic:cNvPicPr>
                        </pic:nvPicPr>
                        <pic:blipFill>
                          <a:blip r:embed="rId104"/>
                          <a:stretch>
                            <a:fillRect/>
                          </a:stretch>
                        </pic:blipFill>
                        <pic:spPr bwMode="auto">
                          <a:xfrm>
                            <a:off x="0" y="0"/>
                            <a:ext cx="4620126" cy="4340993"/>
                          </a:xfrm>
                          <a:prstGeom prst="rect">
                            <a:avLst/>
                          </a:prstGeom>
                          <a:noFill/>
                          <a:ln w="9525">
                            <a:noFill/>
                            <a:headEnd/>
                            <a:tailEnd/>
                          </a:ln>
                        </pic:spPr>
                      </pic:pic>
                    </a:graphicData>
                  </a:graphic>
                </wp:inline>
              </w:drawing>
            </w:r>
          </w:p>
          <w:bookmarkEnd w:id="107"/>
        </w:tc>
      </w:tr>
    </w:tbl>
    <w:bookmarkStart w:id="111" w:name="activités-principales-des-cm-par-sexe"/>
    <w:p>
      <w:pPr>
        <w:pStyle w:val="Titre4"/>
      </w:pPr>
      <w:r>
        <w:t xml:space="preserve">2.2.4.1 Activités principales des CM par sexe</w:t>
      </w:r>
    </w:p>
    <w:p>
      <w:pPr>
        <w:pStyle w:val="CaptionedFigure"/>
      </w:pPr>
      <w:r>
        <w:drawing>
          <wp:inline>
            <wp:extent cx="4620126" cy="4340993"/>
            <wp:effectExtent b="0" l="0" r="0" t="0"/>
            <wp:docPr descr="Activités principales des CM par observatoire et sexe" title="" id="109" name="Picture"/>
            <a:graphic>
              <a:graphicData uri="http://schemas.openxmlformats.org/drawingml/2006/picture">
                <pic:pic>
                  <pic:nvPicPr>
                    <pic:cNvPr descr="02_structure_menages_files/figure-docx/fig_cm_act_sex-1.png" id="110" name="Picture"/>
                    <pic:cNvPicPr>
                      <a:picLocks noChangeArrowheads="1" noChangeAspect="1"/>
                    </pic:cNvPicPr>
                  </pic:nvPicPr>
                  <pic:blipFill>
                    <a:blip r:embed="rId108"/>
                    <a:stretch>
                      <a:fillRect/>
                    </a:stretch>
                  </pic:blipFill>
                  <pic:spPr bwMode="auto">
                    <a:xfrm>
                      <a:off x="0" y="0"/>
                      <a:ext cx="4620126" cy="4340993"/>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111"/>
    <w:bookmarkEnd w:id="112"/>
    <w:bookmarkEnd w:id="113"/>
    <w:bookmarkStart w:id="151"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p>
      <w:pPr>
        <w:pStyle w:val="Corpsdetexte"/>
      </w:pPr>
      <w:r>
        <w:t xml:space="preserve">À Marovoay, les autres membres du ménage forment une population majoritairement féminine et jeune. Les indicateurs d’âge révèlent un profil démographique caractéristique des populations rurales en croissance. La prédominance des mariages selon la tradition et du célibat (pour les membres de 12 ans et plus) témoigne du maintien des pratiques matrimoniales coutumières.</w:t>
      </w:r>
    </w:p>
    <w:p>
      <w:pPr>
        <w:pStyle w:val="Corpsdetexte"/>
      </w:pPr>
      <w:r>
        <w:t xml:space="preserve">Dans l’Alaotra, les membres non-CM présentent un profil jeune avec une prédominance féminine, conformément à la structure démographique attendue dans les zones rurales malgaches.</w:t>
      </w:r>
    </w:p>
    <w:bookmarkStart w:id="114"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60%</w:t>
            </w:r>
          </w:p>
        </w:tc>
        <w:tc>
          <w:tcPr/>
          <w:p>
            <w:pPr>
              <w:pStyle w:val="Compact"/>
              <w:jc w:val="right"/>
            </w:pPr>
            <w:r>
              <w:t xml:space="preserve">58.9%</w:t>
            </w:r>
          </w:p>
        </w:tc>
      </w:tr>
      <w:tr>
        <w:tc>
          <w:tcPr/>
          <w:p>
            <w:pPr>
              <w:pStyle w:val="Compact"/>
              <w:jc w:val="left"/>
            </w:pPr>
            <w:r>
              <w:t xml:space="preserve">Homme</w:t>
            </w:r>
          </w:p>
        </w:tc>
        <w:tc>
          <w:tcPr/>
          <w:p>
            <w:pPr>
              <w:pStyle w:val="Compact"/>
              <w:jc w:val="right"/>
            </w:pPr>
            <w:r>
              <w:t xml:space="preserve">40%</w:t>
            </w:r>
          </w:p>
        </w:tc>
        <w:tc>
          <w:tcPr/>
          <w:p>
            <w:pPr>
              <w:pStyle w:val="Compact"/>
              <w:jc w:val="right"/>
            </w:pPr>
            <w:r>
              <w:t xml:space="preserve">41.1%</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15</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19</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93</w:t>
            </w:r>
          </w:p>
        </w:tc>
        <w:tc>
          <w:tcPr/>
          <w:p>
            <w:pPr>
              <w:pStyle w:val="Compact"/>
              <w:jc w:val="right"/>
            </w:pPr>
            <w:r>
              <w:t xml:space="preserve">99</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37.6%</w:t>
            </w:r>
          </w:p>
        </w:tc>
        <w:tc>
          <w:tcPr/>
          <w:p>
            <w:pPr>
              <w:pStyle w:val="Compact"/>
              <w:jc w:val="right"/>
            </w:pPr>
            <w:r>
              <w:t xml:space="preserve">40.9%</w:t>
            </w:r>
          </w:p>
        </w:tc>
      </w:tr>
      <w:tr>
        <w:tc>
          <w:tcPr/>
          <w:p>
            <w:pPr>
              <w:pStyle w:val="Compact"/>
              <w:jc w:val="left"/>
            </w:pPr>
            <w:r>
              <w:t xml:space="preserve">Divorcé(e)</w:t>
            </w:r>
          </w:p>
        </w:tc>
        <w:tc>
          <w:tcPr/>
          <w:p>
            <w:pPr>
              <w:pStyle w:val="Compact"/>
              <w:jc w:val="right"/>
            </w:pPr>
            <w:r>
              <w:t xml:space="preserve">5%</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3.3%</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15.1%</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37%</w:t>
            </w:r>
          </w:p>
        </w:tc>
        <w:tc>
          <w:tcPr/>
          <w:p>
            <w:pPr>
              <w:pStyle w:val="Compact"/>
              <w:jc w:val="right"/>
            </w:pPr>
            <w:r>
              <w:t xml:space="preserve">40.6%</w:t>
            </w:r>
          </w:p>
        </w:tc>
      </w:tr>
      <w:tr>
        <w:tc>
          <w:tcPr/>
          <w:p>
            <w:pPr>
              <w:pStyle w:val="Compact"/>
              <w:jc w:val="left"/>
            </w:pPr>
            <w:r>
              <w:t xml:space="preserve">Veuf(ve)</w:t>
            </w:r>
          </w:p>
        </w:tc>
        <w:tc>
          <w:tcPr/>
          <w:p>
            <w:pPr>
              <w:pStyle w:val="Compact"/>
              <w:jc w:val="right"/>
            </w:pPr>
            <w:r>
              <w:t xml:space="preserve">2%</w:t>
            </w:r>
          </w:p>
        </w:tc>
        <w:tc>
          <w:tcPr/>
          <w:p>
            <w:pPr>
              <w:pStyle w:val="Compact"/>
              <w:jc w:val="right"/>
            </w:pPr>
            <w:r>
              <w:t xml:space="preserve">2.5%</w:t>
            </w:r>
          </w:p>
        </w:tc>
      </w:tr>
      <w:tr>
        <w:tc>
          <w:tcPr>
            <w:gridSpan w:val="3"/>
          </w:tcPr>
          <w:p>
            <w:pPr>
              <w:pStyle w:val="Compact"/>
              <w:jc w:val="left"/>
            </w:pPr>
            <w:r>
              <w:rPr>
                <w:vertAlign w:val="superscript"/>
              </w:rPr>
              <w:t xml:space="preserve">1</w:t>
            </w:r>
            <w:r>
              <w:t xml:space="preserve"> </w:t>
            </w:r>
            <w:r>
              <w:t xml:space="preserve">Sexe et Statut matrimonial : pourcentages (statut matrimonial calculé pour les membres de 12 ans et plus). Âge : statistiques descriptives.</w:t>
            </w:r>
          </w:p>
        </w:tc>
      </w:tr>
      <w:tr>
        <w:tc>
          <w:tcPr>
            <w:gridSpan w:val="3"/>
          </w:tcPr>
          <w:p>
            <w:pPr>
              <w:pStyle w:val="Compact"/>
              <w:jc w:val="left"/>
            </w:pPr>
            <w:r>
              <w:rPr>
                <w:b/>
                <w:bCs/>
              </w:rPr>
              <w:t xml:space="preserve">Source : Enquête auprès des OR 2025</w:t>
            </w:r>
          </w:p>
        </w:tc>
      </w:tr>
    </w:tbl>
    <w:bookmarkEnd w:id="114"/>
    <w:bookmarkStart w:id="132"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18" w:name="niveau-déducation-des-autres-membres"/>
    <w:p>
      <w:pPr>
        <w:pStyle w:val="Titre4"/>
      </w:pPr>
      <w:r>
        <w:t xml:space="preserve">2.3.2.1 Niveau d’éducation des autres membres</w:t>
      </w:r>
    </w:p>
    <w:p>
      <w:pPr>
        <w:pStyle w:val="CaptionedFigure"/>
      </w:pPr>
      <w:r>
        <w:drawing>
          <wp:inline>
            <wp:extent cx="4620126" cy="3696101"/>
            <wp:effectExtent b="0" l="0" r="0" t="0"/>
            <wp:docPr descr="Niveau d’éducation des autres membres" title="" id="116" name="Picture"/>
            <a:graphic>
              <a:graphicData uri="http://schemas.openxmlformats.org/drawingml/2006/picture">
                <pic:pic>
                  <pic:nvPicPr>
                    <pic:cNvPr descr="02_structure_menages_files/figure-docx/fig_other_educ-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w:t>
      </w:r>
    </w:p>
    <w:bookmarkEnd w:id="118"/>
    <w:bookmarkStart w:id="122" w:name="X5230d9ccd8aefad0269f3712b7f434c0dfba0a8"/>
    <w:p>
      <w:pPr>
        <w:pStyle w:val="Titre4"/>
      </w:pPr>
      <w:r>
        <w:t xml:space="preserve">2.3.2.2 Niveau d’éducation des autres membres par sexe</w:t>
      </w:r>
    </w:p>
    <w:p>
      <w:pPr>
        <w:pStyle w:val="CaptionedFigure"/>
      </w:pPr>
      <w:r>
        <w:drawing>
          <wp:inline>
            <wp:extent cx="4620126" cy="3696101"/>
            <wp:effectExtent b="0" l="0" r="0" t="0"/>
            <wp:docPr descr="Niveau d’éducation des autres membres par sexe" title="" id="120" name="Picture"/>
            <a:graphic>
              <a:graphicData uri="http://schemas.openxmlformats.org/drawingml/2006/picture">
                <pic:pic>
                  <pic:nvPicPr>
                    <pic:cNvPr descr="02_structure_menages_files/figure-docx/fig_other_educ_sex-1.png" id="121" name="Picture"/>
                    <pic:cNvPicPr>
                      <a:picLocks noChangeArrowheads="1" noChangeAspect="1"/>
                    </pic:cNvPicPr>
                  </pic:nvPicPr>
                  <pic:blipFill>
                    <a:blip r:embed="rId11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122"/>
    <w:bookmarkStart w:id="131" w:name="alphabétisation-des-autres-membres"/>
    <w:p>
      <w:pPr>
        <w:pStyle w:val="Titre4"/>
      </w:pPr>
      <w:r>
        <w:t xml:space="preserve">2.3.2.3 Alphabétisation des autres membres</w:t>
      </w:r>
    </w:p>
    <w:bookmarkStart w:id="126" w:name="savoir-lire-1"/>
    <w:p>
      <w:pPr>
        <w:pStyle w:val="Titre5"/>
      </w:pPr>
      <w:r>
        <w:t xml:space="preserve">2.3.2.3.1 Savoir lire</w:t>
      </w:r>
    </w:p>
    <w:p>
      <w:pPr>
        <w:pStyle w:val="CaptionedFigure"/>
      </w:pPr>
      <w:r>
        <w:drawing>
          <wp:inline>
            <wp:extent cx="4620126" cy="3696101"/>
            <wp:effectExtent b="0" l="0" r="0" t="0"/>
            <wp:docPr descr="Aptitude à la lecture des autres membres selon le sexe" title="" id="124" name="Picture"/>
            <a:graphic>
              <a:graphicData uri="http://schemas.openxmlformats.org/drawingml/2006/picture">
                <pic:pic>
                  <pic:nvPicPr>
                    <pic:cNvPr descr="02_structure_menages_files/figure-docx/fig_other_read_sex-1.png" id="125" name="Picture"/>
                    <pic:cNvPicPr>
                      <a:picLocks noChangeArrowheads="1" noChangeAspect="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26"/>
    <w:bookmarkStart w:id="130" w:name="savoir-écrire-1"/>
    <w:p>
      <w:pPr>
        <w:pStyle w:val="Titre5"/>
      </w:pPr>
      <w:r>
        <w:t xml:space="preserve">2.3.2.3.2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8.2%</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28.3%</w:t>
            </w:r>
          </w:p>
        </w:tc>
      </w:tr>
      <w:tr>
        <w:tc>
          <w:tcPr>
            <w:gridSpan w:val="3"/>
          </w:tcPr>
          <w:p>
            <w:pPr>
              <w:pStyle w:val="Compact"/>
              <w:jc w:val="center"/>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28" name="Picture"/>
            <a:graphic>
              <a:graphicData uri="http://schemas.openxmlformats.org/drawingml/2006/picture">
                <pic:pic>
                  <pic:nvPicPr>
                    <pic:cNvPr descr="02_structure_menages_files/figure-docx/fig_other_write_sex-1.png" id="129" name="Picture"/>
                    <pic:cNvPicPr>
                      <a:picLocks noChangeArrowheads="1" noChangeAspect="1"/>
                    </pic:cNvPicPr>
                  </pic:nvPicPr>
                  <pic:blipFill>
                    <a:blip r:embed="rId1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30"/>
    <w:bookmarkEnd w:id="131"/>
    <w:bookmarkEnd w:id="132"/>
    <w:bookmarkStart w:id="140"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l’Alaotra, le taux de scolarisation s’élève à 93.7 %.</w:t>
      </w:r>
    </w:p>
    <w:p>
      <w:pPr>
        <w:pStyle w:val="Corpsdetexte"/>
      </w:pPr>
      <w:r>
        <w:t xml:space="preserve">Dans Marovoay, le taux de scolarisation s’élève à 81.7 %.</w:t>
      </w:r>
    </w:p>
    <w:bookmarkStart w:id="133"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par observatoire</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Alaotra</w:t>
            </w:r>
          </w:p>
        </w:tc>
      </w:tr>
      <w:tr>
        <w:tc>
          <w:tcPr/>
          <w:p>
            <w:pPr>
              <w:pStyle w:val="Compact"/>
              <w:jc w:val="right"/>
            </w:pPr>
            <w:r>
              <w:t xml:space="preserve">6.3</w:t>
            </w:r>
          </w:p>
        </w:tc>
        <w:tc>
          <w:tcPr/>
          <w:p>
            <w:pPr>
              <w:pStyle w:val="Compact"/>
              <w:jc w:val="right"/>
            </w:pPr>
            <w:r>
              <w:t xml:space="preserve">93.7</w:t>
            </w:r>
          </w:p>
        </w:tc>
      </w:tr>
      <w:tr>
        <w:tc>
          <w:tcPr>
            <w:gridSpan w:val="2"/>
          </w:tcPr>
          <w:p>
            <w:pPr>
              <w:pStyle w:val="Compact"/>
              <w:jc w:val="left"/>
            </w:pPr>
            <w:r>
              <w:t xml:space="preserve">Marovoay</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133"/>
    <w:bookmarkStart w:id="134" w:name="classe-suivie-2024-2025"/>
    <w:p>
      <w:pPr>
        <w:pStyle w:val="Titre4"/>
      </w:pPr>
      <w:r>
        <w:t xml:space="preserve">2.3.3.2 Classe suivie 2024-2025</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c>
          <w:tcPr/>
          <w:p>
            <w:pPr>
              <w:pStyle w:val="Compact"/>
              <w:jc w:val="right"/>
            </w:pPr>
            <w:r>
              <w:t xml:space="preserve">Inconnu</w:t>
            </w:r>
          </w:p>
        </w:tc>
      </w:tr>
      <w:tr>
        <w:tc>
          <w:tcPr>
            <w:gridSpan w:val="5"/>
          </w:tcPr>
          <w:p>
            <w:pPr>
              <w:pStyle w:val="Compact"/>
              <w:jc w:val="left"/>
            </w:pPr>
            <w:r>
              <w:t xml:space="preserve">Alaotra</w:t>
            </w:r>
          </w:p>
        </w:tc>
      </w:tr>
      <w:tr>
        <w:tc>
          <w:tcPr/>
          <w:p>
            <w:pPr>
              <w:pStyle w:val="Compact"/>
              <w:jc w:val="left"/>
            </w:pPr>
            <w:r>
              <w:t xml:space="preserve">11-14 ans</w:t>
            </w:r>
          </w:p>
        </w:tc>
        <w:tc>
          <w:tcPr/>
          <w:p>
            <w:pPr>
              <w:pStyle w:val="Compact"/>
              <w:jc w:val="right"/>
            </w:pPr>
            <w:r>
              <w:t xml:space="preserve">70.4</w:t>
            </w:r>
          </w:p>
        </w:tc>
        <w:tc>
          <w:tcPr/>
          <w:p>
            <w:pPr>
              <w:pStyle w:val="Compact"/>
              <w:jc w:val="right"/>
            </w:pPr>
            <w:r>
              <w:t xml:space="preserve">29.0</w:t>
            </w:r>
          </w:p>
        </w:tc>
        <w:tc>
          <w:tcPr/>
          <w:p>
            <w:pPr>
              <w:pStyle w:val="Compact"/>
              <w:jc w:val="right"/>
            </w:pPr>
            <w:r>
              <w:t xml:space="preserve">0.6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49.5</w:t>
            </w:r>
          </w:p>
        </w:tc>
        <w:tc>
          <w:tcPr/>
          <w:p>
            <w:pPr>
              <w:pStyle w:val="Compact"/>
              <w:jc w:val="right"/>
            </w:pPr>
            <w:r>
              <w:t xml:space="preserve">41.2</w:t>
            </w:r>
          </w:p>
        </w:tc>
        <w:tc>
          <w:tcPr/>
          <w:p>
            <w:pPr>
              <w:pStyle w:val="Compact"/>
              <w:jc w:val="right"/>
            </w:pPr>
            <w:r>
              <w:t xml:space="preserve">9.3</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46.3</w:t>
            </w:r>
          </w:p>
        </w:tc>
        <w:tc>
          <w:tcPr/>
          <w:p>
            <w:pPr>
              <w:pStyle w:val="Compact"/>
              <w:jc w:val="right"/>
            </w:pPr>
            <w:r>
              <w:t xml:space="preserve">34.5</w:t>
            </w:r>
          </w:p>
        </w:tc>
        <w:tc>
          <w:tcPr/>
          <w:p>
            <w:pPr>
              <w:pStyle w:val="Compact"/>
              <w:jc w:val="right"/>
            </w:pPr>
            <w:r>
              <w:t xml:space="preserve">19.2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43.6</w:t>
            </w:r>
          </w:p>
        </w:tc>
        <w:tc>
          <w:tcPr/>
          <w:p>
            <w:pPr>
              <w:pStyle w:val="Compact"/>
              <w:jc w:val="right"/>
            </w:pPr>
            <w:r>
              <w:t xml:space="preserve">2.6</w:t>
            </w:r>
          </w:p>
        </w:tc>
        <w:tc>
          <w:tcPr/>
          <w:p>
            <w:pPr>
              <w:pStyle w:val="Compact"/>
              <w:jc w:val="right"/>
            </w:pPr>
            <w:r>
              <w:t xml:space="preserve">53.8</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85.3</w:t>
            </w:r>
          </w:p>
        </w:tc>
        <w:tc>
          <w:tcPr/>
          <w:p>
            <w:pPr>
              <w:pStyle w:val="Compact"/>
              <w:jc w:val="right"/>
            </w:pPr>
            <w:r>
              <w:t xml:space="preserve">1.8</w:t>
            </w:r>
          </w:p>
        </w:tc>
        <w:tc>
          <w:tcPr/>
          <w:p>
            <w:pPr>
              <w:pStyle w:val="Compact"/>
              <w:jc w:val="right"/>
            </w:pPr>
            <w:r>
              <w:t xml:space="preserve">12.0</w:t>
            </w:r>
          </w:p>
        </w:tc>
        <w:tc>
          <w:tcPr/>
          <w:p>
            <w:pPr>
              <w:pStyle w:val="Compact"/>
              <w:jc w:val="right"/>
            </w:pPr>
            <w:r>
              <w:t xml:space="preserve">0.9</w:t>
            </w:r>
          </w:p>
        </w:tc>
      </w:tr>
      <w:tr>
        <w:tc>
          <w:tcPr>
            <w:gridSpan w:val="5"/>
          </w:tcPr>
          <w:p>
            <w:pPr>
              <w:pStyle w:val="Compact"/>
              <w:jc w:val="left"/>
            </w:pPr>
            <w:r>
              <w:t xml:space="preserve">Marovoay</w:t>
            </w:r>
          </w:p>
        </w:tc>
      </w:tr>
      <w:tr>
        <w:tc>
          <w:tcPr/>
          <w:p>
            <w:pPr>
              <w:pStyle w:val="Compact"/>
              <w:jc w:val="left"/>
            </w:pPr>
            <w:r>
              <w:t xml:space="preserve">11-14 ans</w:t>
            </w:r>
          </w:p>
        </w:tc>
        <w:tc>
          <w:tcPr/>
          <w:p>
            <w:pPr>
              <w:pStyle w:val="Compact"/>
              <w:jc w:val="right"/>
            </w:pPr>
            <w:r>
              <w:t xml:space="preserve">84.1</w:t>
            </w:r>
          </w:p>
        </w:tc>
        <w:tc>
          <w:tcPr/>
          <w:p>
            <w:pPr>
              <w:pStyle w:val="Compact"/>
              <w:jc w:val="right"/>
            </w:pPr>
            <w:r>
              <w:t xml:space="preserve">13.6</w:t>
            </w:r>
          </w:p>
        </w:tc>
        <w:tc>
          <w:tcPr/>
          <w:p>
            <w:pPr>
              <w:pStyle w:val="Compact"/>
              <w:jc w:val="right"/>
            </w:pPr>
            <w:r>
              <w:t xml:space="preserve">1.4</w:t>
            </w:r>
          </w:p>
        </w:tc>
        <w:tc>
          <w:tcPr/>
          <w:p>
            <w:pPr>
              <w:pStyle w:val="Compact"/>
              <w:jc w:val="right"/>
            </w:pPr>
            <w:r>
              <w:t xml:space="preserve">0.9</w:t>
            </w:r>
          </w:p>
        </w:tc>
      </w:tr>
      <w:tr>
        <w:tc>
          <w:tcPr/>
          <w:p>
            <w:pPr>
              <w:pStyle w:val="Compact"/>
              <w:jc w:val="left"/>
            </w:pPr>
            <w:r>
              <w:t xml:space="preserve">15-17 ans</w:t>
            </w:r>
          </w:p>
        </w:tc>
        <w:tc>
          <w:tcPr/>
          <w:p>
            <w:pPr>
              <w:pStyle w:val="Compact"/>
              <w:jc w:val="right"/>
            </w:pPr>
            <w:r>
              <w:t xml:space="preserve">58.5</w:t>
            </w:r>
          </w:p>
        </w:tc>
        <w:tc>
          <w:tcPr/>
          <w:p>
            <w:pPr>
              <w:pStyle w:val="Compact"/>
              <w:jc w:val="right"/>
            </w:pPr>
            <w:r>
              <w:t xml:space="preserve">36.6</w:t>
            </w:r>
          </w:p>
        </w:tc>
        <w:tc>
          <w:tcPr/>
          <w:p>
            <w:pPr>
              <w:pStyle w:val="Compact"/>
              <w:jc w:val="right"/>
            </w:pPr>
            <w:r>
              <w:t xml:space="preserve">4.9</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51.1</w:t>
            </w:r>
          </w:p>
        </w:tc>
        <w:tc>
          <w:tcPr/>
          <w:p>
            <w:pPr>
              <w:pStyle w:val="Compact"/>
              <w:jc w:val="right"/>
            </w:pPr>
            <w:r>
              <w:t xml:space="preserve">33.8</w:t>
            </w:r>
          </w:p>
        </w:tc>
        <w:tc>
          <w:tcPr/>
          <w:p>
            <w:pPr>
              <w:pStyle w:val="Compact"/>
              <w:jc w:val="right"/>
            </w:pPr>
            <w:r>
              <w:t xml:space="preserve">15.1</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44.4</w:t>
            </w:r>
          </w:p>
        </w:tc>
        <w:tc>
          <w:tcPr/>
          <w:p>
            <w:pPr>
              <w:pStyle w:val="Compact"/>
              <w:jc w:val="right"/>
            </w:pPr>
            <w:r>
              <w:t xml:space="preserve">0.0</w:t>
            </w:r>
          </w:p>
        </w:tc>
        <w:tc>
          <w:tcPr/>
          <w:p>
            <w:pPr>
              <w:pStyle w:val="Compact"/>
              <w:jc w:val="right"/>
            </w:pPr>
            <w:r>
              <w:t xml:space="preserve">51.9</w:t>
            </w:r>
          </w:p>
        </w:tc>
        <w:tc>
          <w:tcPr/>
          <w:p>
            <w:pPr>
              <w:pStyle w:val="Compact"/>
              <w:jc w:val="right"/>
            </w:pPr>
            <w:r>
              <w:t xml:space="preserve">3.7</w:t>
            </w:r>
          </w:p>
        </w:tc>
      </w:tr>
      <w:tr>
        <w:tc>
          <w:tcPr/>
          <w:p>
            <w:pPr>
              <w:pStyle w:val="Compact"/>
              <w:jc w:val="left"/>
            </w:pPr>
            <w:r>
              <w:t xml:space="preserve">6-10 ans</w:t>
            </w:r>
          </w:p>
        </w:tc>
        <w:tc>
          <w:tcPr/>
          <w:p>
            <w:pPr>
              <w:pStyle w:val="Compact"/>
              <w:jc w:val="right"/>
            </w:pPr>
            <w:r>
              <w:t xml:space="preserve">85.2</w:t>
            </w:r>
          </w:p>
        </w:tc>
        <w:tc>
          <w:tcPr/>
          <w:p>
            <w:pPr>
              <w:pStyle w:val="Compact"/>
              <w:jc w:val="right"/>
            </w:pPr>
            <w:r>
              <w:t xml:space="preserve">0.7</w:t>
            </w:r>
          </w:p>
        </w:tc>
        <w:tc>
          <w:tcPr/>
          <w:p>
            <w:pPr>
              <w:pStyle w:val="Compact"/>
              <w:jc w:val="right"/>
            </w:pPr>
            <w:r>
              <w:t xml:space="preserve">12.6</w:t>
            </w:r>
          </w:p>
        </w:tc>
        <w:tc>
          <w:tcPr/>
          <w:p>
            <w:pPr>
              <w:pStyle w:val="Compact"/>
              <w:jc w:val="right"/>
            </w:pPr>
            <w:r>
              <w:t xml:space="preserve">1.4</w:t>
            </w:r>
          </w:p>
        </w:tc>
      </w:tr>
      <w:tr>
        <w:tc>
          <w:tcPr>
            <w:gridSpan w:val="5"/>
          </w:tcPr>
          <w:p>
            <w:pPr>
              <w:pStyle w:val="Compact"/>
              <w:jc w:val="left"/>
            </w:pPr>
            <w:r>
              <w:rPr>
                <w:b/>
                <w:bCs/>
              </w:rPr>
              <w:t xml:space="preserve">Source : Enquête auprès des OR 2025</w:t>
            </w:r>
          </w:p>
        </w:tc>
      </w:tr>
    </w:tbl>
    <w:bookmarkEnd w:id="134"/>
    <w:bookmarkStart w:id="139" w:name="Xe1cead9d2afb94967e0a6d7bde7feca3037673d"/>
    <w:p>
      <w:pPr>
        <w:pStyle w:val="Titre4"/>
      </w:pPr>
      <w:r>
        <w:t xml:space="preserve">2.3.3.3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Dans l’Alaotra, parmi les enfants de 6 à 15 ans non scolarisés, la première raison invoquée est « Autre » (33.3 %).</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38"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581400"/>
                  <wp:effectExtent b="0" l="0" r="0" t="0"/>
                  <wp:docPr descr="" title="" id="136" name="Picture"/>
                  <a:graphic>
                    <a:graphicData uri="http://schemas.openxmlformats.org/drawingml/2006/picture">
                      <pic:pic>
                        <pic:nvPicPr>
                          <pic:cNvPr descr="02_structure_menages_files/figure-docx/fig-raisons-non-scol-1.png" id="137" name="Picture"/>
                          <pic:cNvPicPr>
                            <a:picLocks noChangeArrowheads="1" noChangeAspect="1"/>
                          </pic:cNvPicPr>
                        </pic:nvPicPr>
                        <pic:blipFill>
                          <a:blip r:embed="rId135"/>
                          <a:stretch>
                            <a:fillRect/>
                          </a:stretch>
                        </pic:blipFill>
                        <pic:spPr bwMode="auto">
                          <a:xfrm>
                            <a:off x="0" y="0"/>
                            <a:ext cx="5969000" cy="3581400"/>
                          </a:xfrm>
                          <a:prstGeom prst="rect">
                            <a:avLst/>
                          </a:prstGeom>
                          <a:noFill/>
                          <a:ln w="9525">
                            <a:noFill/>
                            <a:headEnd/>
                            <a:tailEnd/>
                          </a:ln>
                        </pic:spPr>
                      </pic:pic>
                    </a:graphicData>
                  </a:graphic>
                </wp:inline>
              </w:drawing>
            </w:r>
          </w:p>
          <w:bookmarkEnd w:id="138"/>
        </w:tc>
      </w:tr>
    </w:tbl>
    <w:bookmarkEnd w:id="139"/>
    <w:bookmarkEnd w:id="140"/>
    <w:bookmarkStart w:id="150"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pct" w:w="5000"/>
        <w:tblLayout w:type="fixed"/>
        <w:tblLook w:firstRow="0" w:lastRow="0" w:firstColumn="0" w:lastColumn="0" w:noHBand="0" w:noVBand="0" w:val="0000"/>
      </w:tblPr>
      <w:tblGrid>
        <w:gridCol w:w="7920"/>
      </w:tblGrid>
      <w:tr>
        <w:tc>
          <w:tcPr/>
          <w:bookmarkStart w:id="145" w:name="fig-other-act"/>
          <w:p>
            <w:pPr>
              <w:jc w:val="center"/>
            </w:pPr>
            <w:pPr>
              <w:jc w:val="left"/>
              <w:spacing w:before="200"/>
              <w:pStyle w:val="ImageCaption"/>
            </w:pPr>
            <w:r>
              <w:t xml:space="preserve">Figure 2.3</w:t>
            </w:r>
          </w:p>
          <w:p>
            <w:pPr>
              <w:pStyle w:val="Compact"/>
              <w:jc w:val="center"/>
            </w:pPr>
            <w:bookmarkStart w:id="144" w:name="fig-other-act"/>
            <w:r>
              <w:drawing>
                <wp:inline>
                  <wp:extent cx="4620126" cy="4706753"/>
                  <wp:effectExtent b="0" l="0" r="0" t="0"/>
                  <wp:docPr descr="" title="" id="142" name="Picture"/>
                  <a:graphic>
                    <a:graphicData uri="http://schemas.openxmlformats.org/drawingml/2006/picture">
                      <pic:pic>
                        <pic:nvPicPr>
                          <pic:cNvPr descr="02_structure_menages_files/figure-docx/fig-other-act-1.png" id="143" name="Picture"/>
                          <pic:cNvPicPr>
                            <a:picLocks noChangeArrowheads="1" noChangeAspect="1"/>
                          </pic:cNvPicPr>
                        </pic:nvPicPr>
                        <pic:blipFill>
                          <a:blip r:embed="rId141"/>
                          <a:stretch>
                            <a:fillRect/>
                          </a:stretch>
                        </pic:blipFill>
                        <pic:spPr bwMode="auto">
                          <a:xfrm>
                            <a:off x="0" y="0"/>
                            <a:ext cx="4620126" cy="4706753"/>
                          </a:xfrm>
                          <a:prstGeom prst="rect">
                            <a:avLst/>
                          </a:prstGeom>
                          <a:noFill/>
                          <a:ln w="9525">
                            <a:noFill/>
                            <a:headEnd/>
                            <a:tailEnd/>
                          </a:ln>
                        </pic:spPr>
                      </pic:pic>
                    </a:graphicData>
                  </a:graphic>
                </wp:inline>
              </w:drawing>
            </w:r>
            <w:bookmarkEnd w:id="144"/>
          </w:p>
          <w:bookmarkEnd w:id="145"/>
        </w:tc>
      </w:tr>
    </w:tbl>
    <w:bookmarkStart w:id="149" w:name="X46ff1d61f791f42f47b783b920cfc68895dbbf2"/>
    <w:p>
      <w:pPr>
        <w:pStyle w:val="Titre4"/>
      </w:pPr>
      <w:r>
        <w:t xml:space="preserve">2.3.4.1 Activités principales des autres membres par sexe</w:t>
      </w:r>
    </w:p>
    <w:p>
      <w:pPr>
        <w:pStyle w:val="FirstParagraph"/>
      </w:pPr>
      <w:r>
        <w:drawing>
          <wp:inline>
            <wp:extent cx="4620126" cy="4706753"/>
            <wp:effectExtent b="0" l="0" r="0" t="0"/>
            <wp:docPr descr="" title="" id="147" name="Picture"/>
            <a:graphic>
              <a:graphicData uri="http://schemas.openxmlformats.org/drawingml/2006/picture">
                <pic:pic>
                  <pic:nvPicPr>
                    <pic:cNvPr descr="02_structure_menages_files/figure-docx/fig_other_act_sex-1.png" id="148" name="Picture"/>
                    <pic:cNvPicPr>
                      <a:picLocks noChangeArrowheads="1" noChangeAspect="1"/>
                    </pic:cNvPicPr>
                  </pic:nvPicPr>
                  <pic:blipFill>
                    <a:blip r:embed="rId146"/>
                    <a:stretch>
                      <a:fillRect/>
                    </a:stretch>
                  </pic:blipFill>
                  <pic:spPr bwMode="auto">
                    <a:xfrm>
                      <a:off x="0" y="0"/>
                      <a:ext cx="4620126" cy="4706753"/>
                    </a:xfrm>
                    <a:prstGeom prst="rect">
                      <a:avLst/>
                    </a:prstGeom>
                    <a:noFill/>
                    <a:ln w="9525">
                      <a:noFill/>
                      <a:headEnd/>
                      <a:tailEnd/>
                    </a:ln>
                  </pic:spPr>
                </pic:pic>
              </a:graphicData>
            </a:graphic>
          </wp:inline>
        </w:drawing>
      </w:r>
    </w:p>
    <w:bookmarkEnd w:id="149"/>
    <w:bookmarkEnd w:id="150"/>
    <w:bookmarkEnd w:id="151"/>
    <w:bookmarkStart w:id="167" w:name="sec-demog-multiyear"/>
    <w:p>
      <w:pPr>
        <w:pStyle w:val="Titre2"/>
      </w:pPr>
      <w:r>
        <w:t xml:space="preserve">2.4 Évolution des indicateurs démographiques (1996-2025)</w:t>
      </w:r>
    </w:p>
    <w:p>
      <w:pPr>
        <w:pStyle w:val="FirstParagraph"/>
      </w:pPr>
      <w:r>
        <w:t xml:space="preserve">Les observatoires disposent de données démographiques depuis les années 1990. 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Corpsdetexte"/>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C:\Users\fbede\AppData\Local\Programs\Quarto\share\formats\docx\caution.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Corpsdetexte"/>
            </w:pPr>
            <w:pPr>
              <w:spacing w:before="16" w:after="16"/>
            </w:pPr>
            <w:r>
              <w:t xml:space="preserve">Les tendances présentées dans cette section doivent être interprétées avec prudence. 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 En 2025, après dix ans d’interruption, un</w:t>
            </w:r>
            <w:r>
              <w:t xml:space="preserve"> </w:t>
            </w:r>
            <w:r>
              <w:rPr>
                <w:b/>
                <w:bCs/>
              </w:rPr>
              <w:t xml:space="preserve">nouveau tirage</w:t>
            </w:r>
            <w:r>
              <w:t xml:space="preserve"> </w:t>
            </w:r>
            <w:r>
              <w:t xml:space="preserve">a été effectué à partir du dénombrement. Les évolutions observées reflètent donc à la fois des dynamiques réelles dans les localités et des changements de composition de l’échantillon (vieillissement du panel, attrition sélective, renouvellement complet en 2025).</w:t>
            </w:r>
          </w:p>
          <w:p/>
        </w:tc>
      </w:tr>
    </w:tbl>
    <w:p>
      <w:pPr>
        <w:pStyle w:val="CaptionedFigure"/>
      </w:pPr>
      <w:r>
        <w:drawing>
          <wp:inline>
            <wp:extent cx="5969000" cy="3316111"/>
            <wp:effectExtent b="0" l="0" r="0" t="0"/>
            <wp:docPr descr="Évolution de la taille moyenne des ménages (1996-2025)" title="" id="156" name="Picture"/>
            <a:graphic>
              <a:graphicData uri="http://schemas.openxmlformats.org/drawingml/2006/picture">
                <pic:pic>
                  <pic:nvPicPr>
                    <pic:cNvPr descr="02_structure_menages_files/figure-docx/fig_demog_taille-1.png" id="157" name="Picture"/>
                    <pic:cNvPicPr>
                      <a:picLocks noChangeArrowheads="1" noChangeAspect="1"/>
                    </pic:cNvPicPr>
                  </pic:nvPicPr>
                  <pic:blipFill>
                    <a:blip r:embed="rId155"/>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aptionedFigure"/>
      </w:pPr>
      <w:r>
        <w:drawing>
          <wp:inline>
            <wp:extent cx="5969000" cy="3316111"/>
            <wp:effectExtent b="0" l="0" r="0" t="0"/>
            <wp:docPr descr="Évolution du pourcentage de chefs de ménage femmes (1996-2025)" title="" id="159" name="Picture"/>
            <a:graphic>
              <a:graphicData uri="http://schemas.openxmlformats.org/drawingml/2006/picture">
                <pic:pic>
                  <pic:nvPicPr>
                    <pic:cNvPr descr="02_structure_menages_files/figure-docx/fig_demog_fem_cm-1.png" id="160" name="Picture"/>
                    <pic:cNvPicPr>
                      <a:picLocks noChangeArrowheads="1" noChangeAspect="1"/>
                    </pic:cNvPicPr>
                  </pic:nvPicPr>
                  <pic:blipFill>
                    <a:blip r:embed="rId158"/>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aptionedFigure"/>
      </w:pPr>
      <w:r>
        <w:drawing>
          <wp:inline>
            <wp:extent cx="5969000" cy="3316111"/>
            <wp:effectExtent b="0" l="0" r="0" t="0"/>
            <wp:docPr descr="Évolution du taux de scolarisation des 6-14 ans (1996-2025)" title="" id="162" name="Picture"/>
            <a:graphic>
              <a:graphicData uri="http://schemas.openxmlformats.org/drawingml/2006/picture">
                <pic:pic>
                  <pic:nvPicPr>
                    <pic:cNvPr descr="02_structure_menages_files/figure-docx/fig_demog_scol-1.png" id="163" name="Picture"/>
                    <pic:cNvPicPr>
                      <a:picLocks noChangeArrowheads="1" noChangeAspect="1"/>
                    </pic:cNvPicPr>
                  </pic:nvPicPr>
                  <pic:blipFill>
                    <a:blip r:embed="rId161"/>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aptionedFigure"/>
      </w:pPr>
      <w:r>
        <w:drawing>
          <wp:inline>
            <wp:extent cx="5969000" cy="3316111"/>
            <wp:effectExtent b="0" l="0" r="0" t="0"/>
            <wp:docPr descr="Évolution de l’âge moyen du chef de ménage (1996-2025)" title="" id="165" name="Picture"/>
            <a:graphic>
              <a:graphicData uri="http://schemas.openxmlformats.org/drawingml/2006/picture">
                <pic:pic>
                  <pic:nvPicPr>
                    <pic:cNvPr descr="02_structure_menages_files/figure-docx/fig_demog_age_cm-1.png" id="166" name="Picture"/>
                    <pic:cNvPicPr>
                      <a:picLocks noChangeArrowheads="1" noChangeAspect="1"/>
                    </pic:cNvPicPr>
                  </pic:nvPicPr>
                  <pic:blipFill>
                    <a:blip r:embed="rId164"/>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167"/>
    <w:bookmarkEnd w:id="168"/>
    <w:bookmarkStart w:id="279"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C:\Users\fbede\AppData\Local\Programs\Quarto\share\formats\docx\warning.png" id="17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93"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74"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w:t>
      </w:r>
    </w:p>
    <w:p>
      <w:pPr>
        <w:pStyle w:val="Corpsdetexte"/>
      </w:pPr>
      <w:r>
        <w:t xml:space="preserve">À Marovoay, 88.1 % des ménages occupent un logement en « En propriété », avec des proportions particulièrement élevées dans les localités les plus enclavées. À l’inverse, la location reste plus présente dans les hameaux proches de l’axe routier. Ces disparités traduisent des niveaux différents de sécurité résidentielle selon le positionnement géographique des ménages.</w:t>
      </w:r>
    </w:p>
    <w:p>
      <w:pPr>
        <w:pStyle w:val="Corpsdetexte"/>
      </w:pPr>
      <w:r>
        <w:drawing>
          <wp:inline>
            <wp:extent cx="4620126" cy="2675823"/>
            <wp:effectExtent b="0" l="0" r="0" t="0"/>
            <wp:docPr descr="" title="" id="172" name="Picture"/>
            <a:graphic>
              <a:graphicData uri="http://schemas.openxmlformats.org/drawingml/2006/picture">
                <pic:pic>
                  <pic:nvPicPr>
                    <pic:cNvPr descr="03_habitat_niveau_de_vie_files/figure-docx/unnamed-chunk-1-1.png" id="173" name="Picture"/>
                    <pic:cNvPicPr>
                      <a:picLocks noChangeArrowheads="1" noChangeAspect="1"/>
                    </pic:cNvPicPr>
                  </pic:nvPicPr>
                  <pic:blipFill>
                    <a:blip r:embed="rId171"/>
                    <a:stretch>
                      <a:fillRect/>
                    </a:stretch>
                  </pic:blipFill>
                  <pic:spPr bwMode="auto">
                    <a:xfrm>
                      <a:off x="0" y="0"/>
                      <a:ext cx="4620126" cy="2675823"/>
                    </a:xfrm>
                    <a:prstGeom prst="rect">
                      <a:avLst/>
                    </a:prstGeom>
                    <a:noFill/>
                    <a:ln w="9525">
                      <a:noFill/>
                      <a:headEnd/>
                      <a:tailEnd/>
                    </a:ln>
                  </pic:spPr>
                </pic:pic>
              </a:graphicData>
            </a:graphic>
          </wp:inline>
        </w:drawing>
      </w:r>
    </w:p>
    <w:bookmarkEnd w:id="174"/>
    <w:bookmarkStart w:id="178"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dominant est « Fosse perdue en commun » (67.1 % des ménages).</w:t>
      </w:r>
    </w:p>
    <w:p>
      <w:pPr>
        <w:pStyle w:val="Corpsdetexte"/>
      </w:pPr>
      <w:r>
        <w:t xml:space="preserve">À Marovoay, le type dominant est « Dans la nature » (48.2 % des ménages). L’assainissement se caractérise par une forte prévalence de la défécation à l’air libre et une utilisation limitée des latrines améliorées. De nettes disparités territoriales existent entre les localités, les hameaux les plus éloignés présentant les taux d’accès les plus faibles aux infrastructures sanitaires.</w:t>
      </w:r>
    </w:p>
    <w:p>
      <w:pPr>
        <w:pStyle w:val="Corpsdetexte"/>
      </w:pPr>
      <w:r>
        <w:drawing>
          <wp:inline>
            <wp:extent cx="4620126" cy="3503595"/>
            <wp:effectExtent b="0" l="0" r="0" t="0"/>
            <wp:docPr descr="" title="" id="176" name="Picture"/>
            <a:graphic>
              <a:graphicData uri="http://schemas.openxmlformats.org/drawingml/2006/picture">
                <pic:pic>
                  <pic:nvPicPr>
                    <pic:cNvPr descr="03_habitat_niveau_de_vie_files/figure-docx/unnamed-chunk-2-1.png" id="177" name="Picture"/>
                    <pic:cNvPicPr>
                      <a:picLocks noChangeArrowheads="1" noChangeAspect="1"/>
                    </pic:cNvPicPr>
                  </pic:nvPicPr>
                  <pic:blipFill>
                    <a:blip r:embed="rId175"/>
                    <a:stretch>
                      <a:fillRect/>
                    </a:stretch>
                  </pic:blipFill>
                  <pic:spPr bwMode="auto">
                    <a:xfrm>
                      <a:off x="0" y="0"/>
                      <a:ext cx="4620126" cy="3503595"/>
                    </a:xfrm>
                    <a:prstGeom prst="rect">
                      <a:avLst/>
                    </a:prstGeom>
                    <a:noFill/>
                    <a:ln w="9525">
                      <a:noFill/>
                      <a:headEnd/>
                      <a:tailEnd/>
                    </a:ln>
                  </pic:spPr>
                </pic:pic>
              </a:graphicData>
            </a:graphic>
          </wp:inline>
        </w:drawing>
      </w:r>
    </w:p>
    <w:bookmarkEnd w:id="178"/>
    <w:bookmarkStart w:id="182"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Dans l’Alaotra, La source principale est « Borne fontaine publique » (54.9 %).</w:t>
      </w:r>
    </w:p>
    <w:p>
      <w:pPr>
        <w:pStyle w:val="Corpsdetexte"/>
      </w:pPr>
      <w:r>
        <w:t xml:space="preserve">À Marovoay, la source principale est « Cours d?eau » (37.4 %). Les ménages dépendent fortement des sources naturelles : cours d’eau et puits non aménagés représentent ensemble une part importante de l’approvisionnement. L’accès à l’eau améliorée (bornes fontaines publiques, eau courante) reste limité à l’échelle de l’observatoire, avec des disparités marquées entre localités.</w:t>
      </w:r>
    </w:p>
    <w:p>
      <w:pPr>
        <w:pStyle w:val="Corpsdetexte"/>
      </w:pPr>
      <w:r>
        <w:drawing>
          <wp:inline>
            <wp:extent cx="4620126" cy="4706753"/>
            <wp:effectExtent b="0" l="0" r="0" t="0"/>
            <wp:docPr descr="" title="" id="180" name="Picture"/>
            <a:graphic>
              <a:graphicData uri="http://schemas.openxmlformats.org/drawingml/2006/picture">
                <pic:pic>
                  <pic:nvPicPr>
                    <pic:cNvPr descr="03_habitat_niveau_de_vie_files/figure-docx/unnamed-chunk-3-1.png" id="181" name="Picture"/>
                    <pic:cNvPicPr>
                      <a:picLocks noChangeArrowheads="1" noChangeAspect="1"/>
                    </pic:cNvPicPr>
                  </pic:nvPicPr>
                  <pic:blipFill>
                    <a:blip r:embed="rId179"/>
                    <a:stretch>
                      <a:fillRect/>
                    </a:stretch>
                  </pic:blipFill>
                  <pic:spPr bwMode="auto">
                    <a:xfrm>
                      <a:off x="0" y="0"/>
                      <a:ext cx="4620126" cy="4706753"/>
                    </a:xfrm>
                    <a:prstGeom prst="rect">
                      <a:avLst/>
                    </a:prstGeom>
                    <a:noFill/>
                    <a:ln w="9525">
                      <a:noFill/>
                      <a:headEnd/>
                      <a:tailEnd/>
                    </a:ln>
                  </pic:spPr>
                </pic:pic>
              </a:graphicData>
            </a:graphic>
          </wp:inline>
        </w:drawing>
      </w:r>
    </w:p>
    <w:bookmarkEnd w:id="182"/>
    <w:bookmarkStart w:id="186"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drawing>
          <wp:inline>
            <wp:extent cx="4620126" cy="5168766"/>
            <wp:effectExtent b="0" l="0" r="0" t="0"/>
            <wp:docPr descr="" title="" id="184" name="Picture"/>
            <a:graphic>
              <a:graphicData uri="http://schemas.openxmlformats.org/drawingml/2006/picture">
                <pic:pic>
                  <pic:nvPicPr>
                    <pic:cNvPr descr="03_habitat_niveau_de_vie_files/figure-docx/unnamed-chunk-4-1.png" id="185" name="Picture"/>
                    <pic:cNvPicPr>
                      <a:picLocks noChangeArrowheads="1" noChangeAspect="1"/>
                    </pic:cNvPicPr>
                  </pic:nvPicPr>
                  <pic:blipFill>
                    <a:blip r:embed="rId183"/>
                    <a:stretch>
                      <a:fillRect/>
                    </a:stretch>
                  </pic:blipFill>
                  <pic:spPr bwMode="auto">
                    <a:xfrm>
                      <a:off x="0" y="0"/>
                      <a:ext cx="4620126" cy="5168766"/>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Non</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92.4%</w:t>
            </w:r>
          </w:p>
        </w:tc>
        <w:tc>
          <w:tcPr/>
          <w:p>
            <w:pPr>
              <w:pStyle w:val="Compact"/>
              <w:jc w:val="right"/>
            </w:pPr>
            <w:r>
              <w:t xml:space="preserve">92%</w:t>
            </w:r>
          </w:p>
        </w:tc>
      </w:tr>
      <w:tr>
        <w:tc>
          <w:tcPr>
            <w:gridSpan w:val="3"/>
          </w:tcPr>
          <w:p>
            <w:pPr>
              <w:pStyle w:val="Compact"/>
              <w:jc w:val="left"/>
            </w:pPr>
            <w:r>
              <w:rPr>
                <w:b/>
                <w:bCs/>
              </w:rPr>
              <w:t xml:space="preserve">Source : Enquête auprès des OR 2025</w:t>
            </w:r>
          </w:p>
        </w:tc>
      </w:tr>
    </w:tbl>
    <w:bookmarkEnd w:id="186"/>
    <w:bookmarkStart w:id="192"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pct" w:w="5000"/>
        <w:tblLayout w:type="fixed"/>
        <w:tblLook w:firstRow="0" w:lastRow="0" w:firstColumn="0" w:lastColumn="0" w:noHBand="0" w:noVBand="0" w:val="0000"/>
      </w:tblPr>
      <w:tblGrid>
        <w:gridCol w:w="7920"/>
      </w:tblGrid>
      <w:tr>
        <w:tc>
          <w:tcPr/>
          <w:bookmarkStart w:id="191" w:name="fig-cooking"/>
          <w:p>
            <w:pPr>
              <w:jc w:val="center"/>
            </w:pPr>
            <w:pPr>
              <w:jc w:val="left"/>
              <w:spacing w:before="200"/>
              <w:pStyle w:val="ImageCaption"/>
            </w:pPr>
            <w:r>
              <w:t xml:space="preserve">Figure 3.1</w:t>
            </w:r>
          </w:p>
          <w:p>
            <w:pPr>
              <w:pStyle w:val="Compact"/>
              <w:jc w:val="center"/>
            </w:pPr>
            <w:bookmarkStart w:id="190" w:name="fig-cooking"/>
            <w:r>
              <w:drawing>
                <wp:inline>
                  <wp:extent cx="4620126" cy="3041583"/>
                  <wp:effectExtent b="0" l="0" r="0" t="0"/>
                  <wp:docPr descr="" title="" id="188" name="Picture"/>
                  <a:graphic>
                    <a:graphicData uri="http://schemas.openxmlformats.org/drawingml/2006/picture">
                      <pic:pic>
                        <pic:nvPicPr>
                          <pic:cNvPr descr="03_habitat_niveau_de_vie_files/figure-docx/fig-cooking-1.png" id="189" name="Picture"/>
                          <pic:cNvPicPr>
                            <a:picLocks noChangeArrowheads="1" noChangeAspect="1"/>
                          </pic:cNvPicPr>
                        </pic:nvPicPr>
                        <pic:blipFill>
                          <a:blip r:embed="rId187"/>
                          <a:stretch>
                            <a:fillRect/>
                          </a:stretch>
                        </pic:blipFill>
                        <pic:spPr bwMode="auto">
                          <a:xfrm>
                            <a:off x="0" y="0"/>
                            <a:ext cx="4620126" cy="3041583"/>
                          </a:xfrm>
                          <a:prstGeom prst="rect">
                            <a:avLst/>
                          </a:prstGeom>
                          <a:noFill/>
                          <a:ln w="9525">
                            <a:noFill/>
                            <a:headEnd/>
                            <a:tailEnd/>
                          </a:ln>
                        </pic:spPr>
                      </pic:pic>
                    </a:graphicData>
                  </a:graphic>
                </wp:inline>
              </w:drawing>
            </w:r>
            <w:bookmarkEnd w:id="190"/>
          </w:p>
          <w:bookmarkEnd w:id="191"/>
        </w:tc>
      </w:tr>
    </w:tbl>
    <w:bookmarkEnd w:id="192"/>
    <w:bookmarkEnd w:id="193"/>
    <w:bookmarkStart w:id="212"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99"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pct" w:w="5000"/>
        <w:tblLayout w:type="fixed"/>
        <w:tblLook w:firstRow="0" w:lastRow="0" w:firstColumn="0" w:lastColumn="0" w:noHBand="0" w:noVBand="0" w:val="0000"/>
      </w:tblPr>
      <w:tblGrid>
        <w:gridCol w:w="7920"/>
      </w:tblGrid>
      <w:tr>
        <w:tc>
          <w:tcPr/>
          <w:bookmarkStart w:id="198" w:name="fig-comfort"/>
          <w:p>
            <w:pPr>
              <w:jc w:val="center"/>
            </w:pPr>
            <w:pPr>
              <w:jc w:val="left"/>
              <w:spacing w:before="200"/>
              <w:pStyle w:val="ImageCaption"/>
            </w:pPr>
            <w:r>
              <w:t xml:space="preserve">Figure 3.2</w:t>
            </w:r>
          </w:p>
          <w:p>
            <w:pPr>
              <w:pStyle w:val="Compact"/>
              <w:jc w:val="center"/>
            </w:pPr>
            <w:bookmarkStart w:id="197" w:name="fig-comfort"/>
            <w:r>
              <w:drawing>
                <wp:inline>
                  <wp:extent cx="4620126" cy="6833936"/>
                  <wp:effectExtent b="0" l="0" r="0" t="0"/>
                  <wp:docPr descr="" title="" id="195" name="Picture"/>
                  <a:graphic>
                    <a:graphicData uri="http://schemas.openxmlformats.org/drawingml/2006/picture">
                      <pic:pic>
                        <pic:nvPicPr>
                          <pic:cNvPr descr="03_habitat_niveau_de_vie_files/figure-docx/fig-comfort-1.png" id="196" name="Picture"/>
                          <pic:cNvPicPr>
                            <a:picLocks noChangeArrowheads="1" noChangeAspect="1"/>
                          </pic:cNvPicPr>
                        </pic:nvPicPr>
                        <pic:blipFill>
                          <a:blip r:embed="rId194"/>
                          <a:stretch>
                            <a:fillRect/>
                          </a:stretch>
                        </pic:blipFill>
                        <pic:spPr bwMode="auto">
                          <a:xfrm>
                            <a:off x="0" y="0"/>
                            <a:ext cx="4620126" cy="6833936"/>
                          </a:xfrm>
                          <a:prstGeom prst="rect">
                            <a:avLst/>
                          </a:prstGeom>
                          <a:noFill/>
                          <a:ln w="9525">
                            <a:noFill/>
                            <a:headEnd/>
                            <a:tailEnd/>
                          </a:ln>
                        </pic:spPr>
                      </pic:pic>
                    </a:graphicData>
                  </a:graphic>
                </wp:inline>
              </w:drawing>
            </w:r>
            <w:bookmarkEnd w:id="197"/>
          </w:p>
          <w:bookmarkEnd w:id="198"/>
        </w:tc>
      </w:tr>
    </w:tbl>
    <w:bookmarkEnd w:id="199"/>
    <w:bookmarkStart w:id="205"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pct" w:w="5000"/>
        <w:tblLayout w:type="fixed"/>
        <w:tblLook w:firstRow="0" w:lastRow="0" w:firstColumn="0" w:lastColumn="0" w:noHBand="0" w:noVBand="0" w:val="0000"/>
      </w:tblPr>
      <w:tblGrid>
        <w:gridCol w:w="7920"/>
      </w:tblGrid>
      <w:tr>
        <w:tc>
          <w:tcPr/>
          <w:bookmarkStart w:id="204" w:name="fig-table-equip"/>
          <w:p>
            <w:pPr>
              <w:jc w:val="center"/>
            </w:pPr>
            <w:pPr>
              <w:jc w:val="left"/>
              <w:spacing w:before="200"/>
              <w:pStyle w:val="ImageCaption"/>
            </w:pPr>
            <w:r>
              <w:t xml:space="preserve">Figure 3.3</w:t>
            </w:r>
          </w:p>
          <w:p>
            <w:pPr>
              <w:pStyle w:val="Compact"/>
              <w:jc w:val="center"/>
            </w:pPr>
            <w:bookmarkStart w:id="203" w:name="fig-table-equip"/>
            <w:r>
              <w:drawing>
                <wp:inline>
                  <wp:extent cx="4620126" cy="8037094"/>
                  <wp:effectExtent b="0" l="0" r="0" t="0"/>
                  <wp:docPr descr="" title="" id="201" name="Picture"/>
                  <a:graphic>
                    <a:graphicData uri="http://schemas.openxmlformats.org/drawingml/2006/picture">
                      <pic:pic>
                        <pic:nvPicPr>
                          <pic:cNvPr descr="03_habitat_niveau_de_vie_files/figure-docx/fig-table-equip-1.png" id="202" name="Picture"/>
                          <pic:cNvPicPr>
                            <a:picLocks noChangeArrowheads="1" noChangeAspect="1"/>
                          </pic:cNvPicPr>
                        </pic:nvPicPr>
                        <pic:blipFill>
                          <a:blip r:embed="rId200"/>
                          <a:stretch>
                            <a:fillRect/>
                          </a:stretch>
                        </pic:blipFill>
                        <pic:spPr bwMode="auto">
                          <a:xfrm>
                            <a:off x="0" y="0"/>
                            <a:ext cx="4620126" cy="8037094"/>
                          </a:xfrm>
                          <a:prstGeom prst="rect">
                            <a:avLst/>
                          </a:prstGeom>
                          <a:noFill/>
                          <a:ln w="9525">
                            <a:noFill/>
                            <a:headEnd/>
                            <a:tailEnd/>
                          </a:ln>
                        </pic:spPr>
                      </pic:pic>
                    </a:graphicData>
                  </a:graphic>
                </wp:inline>
              </w:drawing>
            </w:r>
            <w:bookmarkEnd w:id="203"/>
          </w:p>
          <w:bookmarkEnd w:id="204"/>
        </w:tc>
      </w:tr>
    </w:tbl>
    <w:bookmarkEnd w:id="205"/>
    <w:bookmarkStart w:id="211"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pct" w:w="5000"/>
        <w:tblLayout w:type="fixed"/>
        <w:tblLook w:firstRow="0" w:lastRow="0" w:firstColumn="0" w:lastColumn="0" w:noHBand="0" w:noVBand="0" w:val="0000"/>
      </w:tblPr>
      <w:tblGrid>
        <w:gridCol w:w="7920"/>
      </w:tblGrid>
      <w:tr>
        <w:tc>
          <w:tcPr/>
          <w:bookmarkStart w:id="210" w:name="fig-comm"/>
          <w:p>
            <w:pPr>
              <w:jc w:val="center"/>
            </w:pPr>
            <w:pPr>
              <w:jc w:val="left"/>
              <w:spacing w:before="200"/>
              <w:pStyle w:val="ImageCaption"/>
            </w:pPr>
            <w:r>
              <w:t xml:space="preserve">Figure 3.4</w:t>
            </w:r>
          </w:p>
          <w:p>
            <w:pPr>
              <w:pStyle w:val="Compact"/>
              <w:jc w:val="center"/>
            </w:pPr>
            <w:bookmarkStart w:id="209" w:name="fig-comm"/>
            <w:r>
              <w:drawing>
                <wp:inline>
                  <wp:extent cx="4620126" cy="3503595"/>
                  <wp:effectExtent b="0" l="0" r="0" t="0"/>
                  <wp:docPr descr="" title="" id="207" name="Picture"/>
                  <a:graphic>
                    <a:graphicData uri="http://schemas.openxmlformats.org/drawingml/2006/picture">
                      <pic:pic>
                        <pic:nvPicPr>
                          <pic:cNvPr descr="03_habitat_niveau_de_vie_files/figure-docx/fig-comm-1.png" id="208" name="Picture"/>
                          <pic:cNvPicPr>
                            <a:picLocks noChangeArrowheads="1" noChangeAspect="1"/>
                          </pic:cNvPicPr>
                        </pic:nvPicPr>
                        <pic:blipFill>
                          <a:blip r:embed="rId206"/>
                          <a:stretch>
                            <a:fillRect/>
                          </a:stretch>
                        </pic:blipFill>
                        <pic:spPr bwMode="auto">
                          <a:xfrm>
                            <a:off x="0" y="0"/>
                            <a:ext cx="4620126" cy="3503595"/>
                          </a:xfrm>
                          <a:prstGeom prst="rect">
                            <a:avLst/>
                          </a:prstGeom>
                          <a:noFill/>
                          <a:ln w="9525">
                            <a:noFill/>
                            <a:headEnd/>
                            <a:tailEnd/>
                          </a:ln>
                        </pic:spPr>
                      </pic:pic>
                    </a:graphicData>
                  </a:graphic>
                </wp:inline>
              </w:drawing>
            </w:r>
            <w:bookmarkEnd w:id="209"/>
          </w:p>
          <w:bookmarkEnd w:id="210"/>
        </w:tc>
      </w:tr>
    </w:tbl>
    <w:bookmarkEnd w:id="211"/>
    <w:bookmarkEnd w:id="212"/>
    <w:bookmarkStart w:id="222"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216" w:name="fig-transferts-sortants"/>
          <w:p>
            <w:pPr>
              <w:jc w:val="center"/>
            </w:pPr>
            <w:pPr>
              <w:jc w:val="left"/>
              <w:spacing w:before="200"/>
              <w:pStyle w:val="ImageCaption"/>
            </w:pPr>
            <w:r>
              <w:t xml:space="preserve">Figure 3.5: Valeur moyenne des transferts sortants par observatoire et type</w:t>
            </w:r>
          </w:p>
          <w:p>
            <w:pPr>
              <w:pStyle w:val="Compact"/>
              <w:jc w:val="center"/>
            </w:pPr>
            <w:r>
              <w:drawing>
                <wp:inline>
                  <wp:extent cx="5969000" cy="1728522"/>
                  <wp:effectExtent b="0" l="0" r="0" t="0"/>
                  <wp:docPr descr="" title="" id="214" name="Picture"/>
                  <a:graphic>
                    <a:graphicData uri="http://schemas.openxmlformats.org/drawingml/2006/picture">
                      <pic:pic>
                        <pic:nvPicPr>
                          <pic:cNvPr descr="03_habitat_niveau_de_vie_files/figure-docx/fig-transferts-sortants-1.png" id="215" name="Picture"/>
                          <pic:cNvPicPr>
                            <a:picLocks noChangeArrowheads="1" noChangeAspect="1"/>
                          </pic:cNvPicPr>
                        </pic:nvPicPr>
                        <pic:blipFill>
                          <a:blip r:embed="rId213"/>
                          <a:stretch>
                            <a:fillRect/>
                          </a:stretch>
                        </pic:blipFill>
                        <pic:spPr bwMode="auto">
                          <a:xfrm>
                            <a:off x="0" y="0"/>
                            <a:ext cx="5969000" cy="1728522"/>
                          </a:xfrm>
                          <a:prstGeom prst="rect">
                            <a:avLst/>
                          </a:prstGeom>
                          <a:noFill/>
                          <a:ln w="9525">
                            <a:noFill/>
                            <a:headEnd/>
                            <a:tailEnd/>
                          </a:ln>
                        </pic:spPr>
                      </pic:pic>
                    </a:graphicData>
                  </a:graphic>
                </wp:inline>
              </w:drawing>
            </w:r>
          </w:p>
          <w:bookmarkEnd w:id="216"/>
        </w:tc>
      </w:tr>
    </w:tbl>
    <w:tbl>
      <w:tblPr>
        <w:tblStyle w:val="Table"/>
        <w:tblW w:type="pct" w:w="5000"/>
        <w:tblLayout w:type="fixed"/>
        <w:tblLook w:firstRow="0" w:lastRow="0" w:firstColumn="0" w:lastColumn="0" w:noHBand="0" w:noVBand="0" w:val="0000"/>
      </w:tblPr>
      <w:tblGrid>
        <w:gridCol w:w="7920"/>
      </w:tblGrid>
      <w:tr>
        <w:tc>
          <w:tcPr/>
          <w:bookmarkStart w:id="217"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217"/>
          <w:p/>
        </w:tc>
      </w:tr>
    </w:tbl>
    <w:tbl>
      <w:tblPr>
        <w:tblStyle w:val="Table"/>
        <w:tblW w:type="pct" w:w="5000"/>
        <w:tblLayout w:type="fixed"/>
        <w:tblLook w:firstRow="0" w:lastRow="0" w:firstColumn="0" w:lastColumn="0" w:noHBand="0" w:noVBand="0" w:val="0000"/>
      </w:tblPr>
      <w:tblGrid>
        <w:gridCol w:w="7920"/>
      </w:tblGrid>
      <w:tr>
        <w:tc>
          <w:tcPr/>
          <w:bookmarkStart w:id="221" w:name="fig-destination-transferts"/>
          <w:p>
            <w:pPr>
              <w:jc w:val="center"/>
            </w:pPr>
            <w:pPr>
              <w:jc w:val="left"/>
              <w:spacing w:before="200"/>
              <w:pStyle w:val="ImageCaption"/>
            </w:pPr>
            <w:r>
              <w:t xml:space="preserve">Figure 3.6: Lieu de residence des destinataires de transferts</w:t>
            </w:r>
          </w:p>
          <w:p>
            <w:pPr>
              <w:pStyle w:val="Compact"/>
              <w:jc w:val="center"/>
            </w:pPr>
            <w:r>
              <w:drawing>
                <wp:inline>
                  <wp:extent cx="5969000" cy="2183106"/>
                  <wp:effectExtent b="0" l="0" r="0" t="0"/>
                  <wp:docPr descr="" title="" id="219" name="Picture"/>
                  <a:graphic>
                    <a:graphicData uri="http://schemas.openxmlformats.org/drawingml/2006/picture">
                      <pic:pic>
                        <pic:nvPicPr>
                          <pic:cNvPr descr="03_habitat_niveau_de_vie_files/figure-docx/fig-destination-transferts-1.png" id="220" name="Picture"/>
                          <pic:cNvPicPr>
                            <a:picLocks noChangeArrowheads="1" noChangeAspect="1"/>
                          </pic:cNvPicPr>
                        </pic:nvPicPr>
                        <pic:blipFill>
                          <a:blip r:embed="rId218"/>
                          <a:stretch>
                            <a:fillRect/>
                          </a:stretch>
                        </pic:blipFill>
                        <pic:spPr bwMode="auto">
                          <a:xfrm>
                            <a:off x="0" y="0"/>
                            <a:ext cx="5969000" cy="2183106"/>
                          </a:xfrm>
                          <a:prstGeom prst="rect">
                            <a:avLst/>
                          </a:prstGeom>
                          <a:noFill/>
                          <a:ln w="9525">
                            <a:noFill/>
                            <a:headEnd/>
                            <a:tailEnd/>
                          </a:ln>
                        </pic:spPr>
                      </pic:pic>
                    </a:graphicData>
                  </a:graphic>
                </wp:inline>
              </w:drawing>
            </w:r>
          </w:p>
          <w:bookmarkEnd w:id="221"/>
        </w:tc>
      </w:tr>
    </w:tbl>
    <w:bookmarkEnd w:id="222"/>
    <w:bookmarkStart w:id="234" w:name="revenu"/>
    <w:p>
      <w:pPr>
        <w:pStyle w:val="Titre2"/>
      </w:pPr>
      <w:r>
        <w:t xml:space="preserve">3.4 Revenu</w:t>
      </w:r>
    </w:p>
    <w:p>
      <w:pPr>
        <w:pStyle w:val="FirstParagraph"/>
      </w:pPr>
      <w:r>
        <w:t xml:space="preserve">Les revenus presentes ici sont des revenus annuels par menage, calcules sur la periode de reference (PR) de la campagne 2025. Le revenu total (</w:t>
      </w:r>
      <w:r>
        <w:rPr>
          <w:rStyle w:val="VerbatimChar"/>
        </w:rPr>
        <w:t xml:space="preserve">revtot</w:t>
      </w:r>
      <w:r>
        <w:t xml:space="preserve">) se decompose en revenu courant (</w:t>
      </w:r>
      <w:r>
        <w:rPr>
          <w:rStyle w:val="VerbatimChar"/>
        </w:rPr>
        <w:t xml:space="preserve">revcou</w:t>
      </w:r>
      <w:r>
        <w:t xml:space="preserve">) et revenu exceptionnel (</w:t>
      </w:r>
      <w:r>
        <w:rPr>
          <w:rStyle w:val="VerbatimChar"/>
        </w:rPr>
        <w:t xml:space="preserve">revexcept</w:t>
      </w:r>
      <w:r>
        <w:t xml:space="preserve">).</w:t>
      </w:r>
    </w:p>
    <w:p>
      <w:pPr>
        <w:pStyle w:val="Corpsdetexte"/>
      </w:pPr>
      <w:r>
        <w:t xml:space="preserve">Le revenu courant agrege sept composantes :</w:t>
      </w:r>
    </w:p>
    <w:p>
      <w:pPr>
        <w:pStyle w:val="Compact"/>
        <w:numPr>
          <w:ilvl w:val="0"/>
          <w:numId w:val="1003"/>
        </w:numPr>
      </w:pPr>
      <w:r>
        <w:t xml:space="preserve">les</w:t>
      </w:r>
      <w:r>
        <w:t xml:space="preserve"> </w:t>
      </w:r>
      <w:r>
        <w:rPr>
          <w:b/>
          <w:bCs/>
        </w:rPr>
        <w:t xml:space="preserve">salaires agricoles</w:t>
      </w:r>
      <w:r>
        <w:t xml:space="preserve"> </w:t>
      </w:r>
      <w:r>
        <w:t xml:space="preserve">(</w:t>
      </w:r>
      <w:r>
        <w:rPr>
          <w:rStyle w:val="VerbatimChar"/>
        </w:rPr>
        <w:t xml:space="preserve">revsec</w:t>
      </w:r>
      <w:r>
        <w:t xml:space="preserve">) : remuneration du travail salarie agricole ;</w:t>
      </w:r>
    </w:p>
    <w:p>
      <w:pPr>
        <w:pStyle w:val="Compact"/>
        <w:numPr>
          <w:ilvl w:val="0"/>
          <w:numId w:val="1003"/>
        </w:numPr>
      </w:pPr>
      <w:r>
        <w:t xml:space="preserve">les</w:t>
      </w:r>
      <w:r>
        <w:t xml:space="preserve"> </w:t>
      </w:r>
      <w:r>
        <w:rPr>
          <w:b/>
          <w:bCs/>
        </w:rPr>
        <w:t xml:space="preserve">salaires non-agricoles</w:t>
      </w:r>
      <w:r>
        <w:t xml:space="preserve"> </w:t>
      </w:r>
      <w:r>
        <w:t xml:space="preserve">(</w:t>
      </w:r>
      <w:r>
        <w:rPr>
          <w:rStyle w:val="VerbatimChar"/>
        </w:rPr>
        <w:t xml:space="preserve">revppal</w:t>
      </w:r>
      <w:r>
        <w:t xml:space="preserve">) : remuneration du travail salarie hors agriculture ;</w:t>
      </w:r>
    </w:p>
    <w:p>
      <w:pPr>
        <w:pStyle w:val="Compact"/>
        <w:numPr>
          <w:ilvl w:val="0"/>
          <w:numId w:val="1003"/>
        </w:numPr>
      </w:pPr>
      <w:r>
        <w:t xml:space="preserve">les</w:t>
      </w:r>
      <w:r>
        <w:t xml:space="preserve"> </w:t>
      </w:r>
      <w:r>
        <w:rPr>
          <w:b/>
          <w:bCs/>
        </w:rPr>
        <w:t xml:space="preserve">revenus independants</w:t>
      </w:r>
      <w:r>
        <w:t xml:space="preserve"> </w:t>
      </w:r>
      <w:r>
        <w:t xml:space="preserve">(</w:t>
      </w:r>
      <w:r>
        <w:rPr>
          <w:rStyle w:val="VerbatimChar"/>
        </w:rPr>
        <w:t xml:space="preserve">rev_indep</w:t>
      </w:r>
      <w:r>
        <w:t xml:space="preserve">) : revenus des activites liberales et artisanales non-agricoles ;</w:t>
      </w:r>
    </w:p>
    <w:p>
      <w:pPr>
        <w:pStyle w:val="Compact"/>
        <w:numPr>
          <w:ilvl w:val="0"/>
          <w:numId w:val="1003"/>
        </w:numPr>
      </w:pPr>
      <w:r>
        <w:t xml:space="preserve">le</w:t>
      </w:r>
      <w:r>
        <w:t xml:space="preserve"> </w:t>
      </w:r>
      <w:r>
        <w:rPr>
          <w:b/>
          <w:bCs/>
        </w:rPr>
        <w:t xml:space="preserve">revenu net rizicole</w:t>
      </w:r>
      <w:r>
        <w:t xml:space="preserve"> </w:t>
      </w:r>
      <w:r>
        <w:t xml:space="preserve">(</w:t>
      </w:r>
      <w:r>
        <w:rPr>
          <w:rStyle w:val="VerbatimChar"/>
        </w:rPr>
        <w:t xml:space="preserve">rev_riz</w:t>
      </w:r>
      <w:r>
        <w:t xml:space="preserve">) :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w:t>
      </w:r>
      <w:r>
        <w:rPr>
          <w:rStyle w:val="VerbatimChar"/>
        </w:rPr>
        <w:t xml:space="preserve">rev_cu</w:t>
      </w:r>
      <w:r>
        <w:t xml:space="preserve">) : meme logique pour les cultures non-rizicoles ;</w:t>
      </w:r>
    </w:p>
    <w:p>
      <w:pPr>
        <w:pStyle w:val="Compact"/>
        <w:numPr>
          <w:ilvl w:val="0"/>
          <w:numId w:val="1003"/>
        </w:numPr>
      </w:pPr>
      <w:r>
        <w:t xml:space="preserve">le</w:t>
      </w:r>
      <w:r>
        <w:t xml:space="preserve"> </w:t>
      </w:r>
      <w:r>
        <w:rPr>
          <w:b/>
          <w:bCs/>
        </w:rPr>
        <w:t xml:space="preserve">revenu de l’elevage</w:t>
      </w:r>
      <w:r>
        <w:t xml:space="preserve"> </w:t>
      </w:r>
      <w:r>
        <w:t xml:space="preserve">(</w:t>
      </w:r>
      <w:r>
        <w:rPr>
          <w:rStyle w:val="VerbatimChar"/>
        </w:rPr>
        <w:t xml:space="preserve">revel</w:t>
      </w:r>
      <w:r>
        <w:t xml:space="preserve">) : ventes d’animaux et produits d’elevage ;</w:t>
      </w:r>
    </w:p>
    <w:p>
      <w:pPr>
        <w:pStyle w:val="Compact"/>
        <w:numPr>
          <w:ilvl w:val="0"/>
          <w:numId w:val="1003"/>
        </w:numPr>
      </w:pPr>
      <w:r>
        <w:t xml:space="preserve">la</w:t>
      </w:r>
      <w:r>
        <w:t xml:space="preserve"> </w:t>
      </w:r>
      <w:r>
        <w:rPr>
          <w:b/>
          <w:bCs/>
        </w:rPr>
        <w:t xml:space="preserve">peche</w:t>
      </w:r>
      <w:r>
        <w:t xml:space="preserve"> </w:t>
      </w:r>
      <w:r>
        <w:t xml:space="preserve">(</w:t>
      </w:r>
      <w:r>
        <w:rPr>
          <w:rStyle w:val="VerbatimChar"/>
        </w:rPr>
        <w:t xml:space="preserve">revpeche</w:t>
      </w:r>
      <w:r>
        <w:t xml:space="preserve">).</w:t>
      </w:r>
    </w:p>
    <w:p>
      <w:pPr>
        <w:pStyle w:val="FirstParagraph"/>
      </w:pPr>
      <w:r>
        <w:t xml:space="preserve">Le revenu exceptionnel regroupe les rentes foncieres, les autres revenus, le travail HIMO, la decapitalisation et les transferts recus.</w:t>
      </w:r>
    </w:p>
    <w:bookmarkStart w:id="223"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Revenu total annuel par menage et par observatoire (Ar/an)</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menages</w:t>
            </w:r>
          </w:p>
        </w:tc>
        <w:tc>
          <w:tcPr/>
          <w:p>
            <w:pPr>
              <w:pStyle w:val="Compact"/>
              <w:jc w:val="right"/>
            </w:pPr>
            <w:r>
              <w:t xml:space="preserve">Moyenne</w:t>
            </w:r>
          </w:p>
        </w:tc>
        <w:tc>
          <w:tcPr/>
          <w:p>
            <w:pPr>
              <w:pStyle w:val="Compact"/>
              <w:jc w:val="right"/>
            </w:pPr>
            <w:r>
              <w:t xml:space="preserve">Mediane</w:t>
            </w:r>
          </w:p>
        </w:tc>
        <w:tc>
          <w:tcPr/>
          <w:p>
            <w:pPr>
              <w:pStyle w:val="Compact"/>
              <w:jc w:val="right"/>
            </w:pPr>
            <w:r>
              <w:t xml:space="preserve">Ecart-type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rPr>
                <w:b/>
                <w:bCs/>
              </w:rPr>
              <w:t xml:space="preserve">Source : Enquête auprès des OR 2025</w:t>
            </w:r>
          </w:p>
        </w:tc>
      </w:tr>
    </w:tbl>
    <w:bookmarkEnd w:id="223"/>
    <w:bookmarkStart w:id="227" w:name="decomposition-du-revenu-courant"/>
    <w:p>
      <w:pPr>
        <w:pStyle w:val="Titre3"/>
      </w:pPr>
      <w:r>
        <w:t xml:space="preserve">3.4.2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Marovoay</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rPr>
                <w:b/>
                <w:bCs/>
              </w:rPr>
              <w:t xml:space="preserve">Source : Enquête auprès des OR 2025</w:t>
            </w:r>
          </w:p>
        </w:tc>
      </w:tr>
    </w:tbl>
    <w:p>
      <w:pPr>
        <w:pStyle w:val="CaptionedFigure"/>
      </w:pPr>
      <w:r>
        <w:drawing>
          <wp:inline>
            <wp:extent cx="5969000" cy="3730624"/>
            <wp:effectExtent b="0" l="0" r="0" t="0"/>
            <wp:docPr descr="Part des composantes dans le revenu courant moyen par observatoire" title="" id="225" name="Picture"/>
            <a:graphic>
              <a:graphicData uri="http://schemas.openxmlformats.org/drawingml/2006/picture">
                <pic:pic>
                  <pic:nvPicPr>
                    <pic:cNvPr descr="03_habitat_niveau_de_vie_files/figure-docx/fig_revcou_shares-1.png" id="226" name="Picture"/>
                    <pic:cNvPicPr>
                      <a:picLocks noChangeArrowheads="1" noChangeAspect="1"/>
                    </pic:cNvPicPr>
                  </pic:nvPicPr>
                  <pic:blipFill>
                    <a:blip r:embed="rId224"/>
                    <a:stretch>
                      <a:fillRect/>
                    </a:stretch>
                  </pic:blipFill>
                  <pic:spPr bwMode="auto">
                    <a:xfrm>
                      <a:off x="0" y="0"/>
                      <a:ext cx="5969000" cy="3730624"/>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227"/>
    <w:bookmarkStart w:id="231" w:name="distribution-du-revenu-total"/>
    <w:p>
      <w:pPr>
        <w:pStyle w:val="Titre3"/>
      </w:pPr>
      <w:r>
        <w:t xml:space="preserve">3.4.3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aptionedFigure"/>
      </w:pPr>
      <w:r>
        <w:drawing>
          <wp:inline>
            <wp:extent cx="5969000" cy="3730624"/>
            <wp:effectExtent b="0" l="0" r="0" t="0"/>
            <wp:docPr descr="Distribution du revenu total par observatoire (echelle log)" title="" id="229" name="Picture"/>
            <a:graphic>
              <a:graphicData uri="http://schemas.openxmlformats.org/drawingml/2006/picture">
                <pic:pic>
                  <pic:nvPicPr>
                    <pic:cNvPr descr="03_habitat_niveau_de_vie_files/figure-docx/fig_revtot_dist-1.png" id="230" name="Picture"/>
                    <pic:cNvPicPr>
                      <a:picLocks noChangeArrowheads="1" noChangeAspect="1"/>
                    </pic:cNvPicPr>
                  </pic:nvPicPr>
                  <pic:blipFill>
                    <a:blip r:embed="rId228"/>
                    <a:stretch>
                      <a:fillRect/>
                    </a:stretch>
                  </pic:blipFill>
                  <pic:spPr bwMode="auto">
                    <a:xfrm>
                      <a:off x="0" y="0"/>
                      <a:ext cx="5969000" cy="3730624"/>
                    </a:xfrm>
                    <a:prstGeom prst="rect">
                      <a:avLst/>
                    </a:prstGeom>
                    <a:noFill/>
                    <a:ln w="9525">
                      <a:noFill/>
                      <a:headEnd/>
                      <a:tailEnd/>
                    </a:ln>
                  </pic:spPr>
                </pic:pic>
              </a:graphicData>
            </a:graphic>
          </wp:inline>
        </w:drawing>
      </w:r>
    </w:p>
    <w:p>
      <w:pPr>
        <w:pStyle w:val="ImageCaption"/>
      </w:pPr>
      <w:r>
        <w:t xml:space="preserve">Distribution du revenu total par observatoire (echelle log)</w:t>
      </w:r>
    </w:p>
    <w:bookmarkEnd w:id="231"/>
    <w:bookmarkStart w:id="232" w:name="revenu-courant-et-revenu-exceptionnel"/>
    <w:p>
      <w:pPr>
        <w:pStyle w:val="Titre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rPr>
                <w:b/>
                <w:bCs/>
              </w:rPr>
              <w:t xml:space="preserve">Source : Enquête auprès des OR 2025</w:t>
            </w:r>
          </w:p>
        </w:tc>
      </w:tr>
    </w:tbl>
    <w:bookmarkEnd w:id="232"/>
    <w:bookmarkStart w:id="233" w:name="menages-a-revenu-negatif-ou-nul"/>
    <w:p>
      <w:pPr>
        <w:pStyle w:val="Titre3"/>
      </w:pPr>
      <w:r>
        <w:t xml:space="preserve">3.4.5 Menages a revenu negatif ou nul</w:t>
      </w:r>
    </w:p>
    <w:p>
      <w:pPr>
        <w:pStyle w:val="FirstParagraph"/>
      </w:pPr>
      <w:r>
        <w:t xml:space="preserve">Certains menages presentent un revenu courant negatif, principalement en raison de charges agricoles superieures aux produits (mauvaises recoltes, couts d’intrants eleves).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à revenu courant ou total négatif ou nul</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 revenu courant &lt;= 0</w:t>
            </w:r>
          </w:p>
        </w:tc>
        <w:tc>
          <w:tcPr/>
          <w:p>
            <w:pPr>
              <w:pStyle w:val="Compact"/>
              <w:jc w:val="right"/>
            </w:pPr>
            <w:r>
              <w:t xml:space="preserve">% revenu total &lt;= 0</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2.0</w:t>
            </w:r>
          </w:p>
        </w:tc>
        <w:tc>
          <w:tcPr/>
          <w:p>
            <w:pPr>
              <w:pStyle w:val="Compact"/>
              <w:jc w:val="right"/>
            </w:pPr>
            <w:r>
              <w:t xml:space="preserve">1</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1.9</w:t>
            </w:r>
          </w:p>
        </w:tc>
        <w:tc>
          <w:tcPr/>
          <w:p>
            <w:pPr>
              <w:pStyle w:val="Compact"/>
              <w:jc w:val="right"/>
            </w:pPr>
            <w:r>
              <w:t xml:space="preserve">1</w:t>
            </w:r>
          </w:p>
        </w:tc>
      </w:tr>
      <w:tr>
        <w:tc>
          <w:tcPr>
            <w:gridSpan w:val="4"/>
          </w:tcPr>
          <w:p>
            <w:pPr>
              <w:pStyle w:val="Compact"/>
              <w:jc w:val="left"/>
            </w:pPr>
            <w:r>
              <w:rPr>
                <w:b/>
                <w:bCs/>
              </w:rPr>
              <w:t xml:space="preserve">Source : Enquête auprès des OR 2025</w:t>
            </w:r>
          </w:p>
        </w:tc>
      </w:tr>
    </w:tbl>
    <w:bookmarkEnd w:id="233"/>
    <w:bookmarkEnd w:id="234"/>
    <w:bookmarkStart w:id="271"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aptionedFigure"/>
      </w:pPr>
      <w:r>
        <w:drawing>
          <wp:inline>
            <wp:extent cx="5969000" cy="3316111"/>
            <wp:effectExtent b="0" l="0" r="0" t="0"/>
            <wp:docPr descr="Evolution du revenu total moyen par menage (Ar courants)" title="" id="236" name="Picture"/>
            <a:graphic>
              <a:graphicData uri="http://schemas.openxmlformats.org/drawingml/2006/picture">
                <pic:pic>
                  <pic:nvPicPr>
                    <pic:cNvPr descr="03_habitat_niveau_de_vie_files/figure-docx/fig_trends_revtot-1.png" id="237" name="Picture"/>
                    <pic:cNvPicPr>
                      <a:picLocks noChangeArrowheads="1" noChangeAspect="1"/>
                    </pic:cNvPicPr>
                  </pic:nvPicPr>
                  <pic:blipFill>
                    <a:blip r:embed="rId235"/>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aptionedFigure"/>
      </w:pPr>
      <w:r>
        <w:drawing>
          <wp:inline>
            <wp:extent cx="5969000" cy="3316111"/>
            <wp:effectExtent b="0" l="0" r="0" t="0"/>
            <wp:docPr descr="Evolution du revenu courant moyen par menage (Ar courants)" title="" id="239" name="Picture"/>
            <a:graphic>
              <a:graphicData uri="http://schemas.openxmlformats.org/drawingml/2006/picture">
                <pic:pic>
                  <pic:nvPicPr>
                    <pic:cNvPr descr="03_habitat_niveau_de_vie_files/figure-docx/fig_trends_revcou-1.png" id="240" name="Picture"/>
                    <pic:cNvPicPr>
                      <a:picLocks noChangeArrowheads="1" noChangeAspect="1"/>
                    </pic:cNvPicPr>
                  </pic:nvPicPr>
                  <pic:blipFill>
                    <a:blip r:embed="rId238"/>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aptionedFigure"/>
      </w:pPr>
      <w:r>
        <w:drawing>
          <wp:inline>
            <wp:extent cx="5969000" cy="3581400"/>
            <wp:effectExtent b="0" l="0" r="0" t="0"/>
            <wp:docPr descr="Evolution des composantes du revenu courant moyen (Ar courants)" title="" id="242" name="Picture"/>
            <a:graphic>
              <a:graphicData uri="http://schemas.openxmlformats.org/drawingml/2006/picture">
                <pic:pic>
                  <pic:nvPicPr>
                    <pic:cNvPr descr="03_habitat_niveau_de_vie_files/figure-docx/fig_trends_decomp-1.png" id="243" name="Picture"/>
                    <pic:cNvPicPr>
                      <a:picLocks noChangeArrowheads="1" noChangeAspect="1"/>
                    </pic:cNvPicPr>
                  </pic:nvPicPr>
                  <pic:blipFill>
                    <a:blip r:embed="rId241"/>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249"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C:\Users\fbede\AppData\Local\Programs\Quarto\share\formats\docx\note.png" id="24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2652888"/>
            <wp:effectExtent b="0" l="0" r="0" t="0"/>
            <wp:docPr descr="Evolution de l’IPC national Madagascar (base 2010 = 100)" title="" id="247" name="Picture"/>
            <a:graphic>
              <a:graphicData uri="http://schemas.openxmlformats.org/drawingml/2006/picture">
                <pic:pic>
                  <pic:nvPicPr>
                    <pic:cNvPr descr="03_habitat_niveau_de_vie_files/figure-docx/fig_ipc_national-1.png" id="248" name="Picture"/>
                    <pic:cNvPicPr>
                      <a:picLocks noChangeArrowheads="1" noChangeAspect="1"/>
                    </pic:cNvPicPr>
                  </pic:nvPicPr>
                  <pic:blipFill>
                    <a:blip r:embed="rId246"/>
                    <a:stretch>
                      <a:fillRect/>
                    </a:stretch>
                  </pic:blipFill>
                  <pic:spPr bwMode="auto">
                    <a:xfrm>
                      <a:off x="0" y="0"/>
                      <a:ext cx="5969000" cy="2652888"/>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249"/>
    <w:bookmarkStart w:id="256" w:name="X2080cf97900a9cca92f58ce3c98c1c56d700ac1"/>
    <w:p>
      <w:pPr>
        <w:pStyle w:val="Titre3"/>
      </w:pPr>
      <w:r>
        <w:t xml:space="preserve">3.5.2 Prix median du paddy et comparaison avec l’IPC</w:t>
      </w:r>
    </w:p>
    <w:p>
      <w:pPr>
        <w:pStyle w:val="FirstParagraph"/>
      </w:pPr>
      <w:r>
        <w:t xml:space="preserve">Le prix de vente median du paddy, calcule a partir des ventes declarees par les menages (</w:t>
      </w:r>
      <w:r>
        <w:rPr>
          <w:rStyle w:val="VerbatimChar"/>
        </w:rPr>
        <w:t xml:space="preserve">dc24</w:t>
      </w:r>
      <w:r>
        <w:t xml:space="preserve"> </w:t>
      </w:r>
      <w:r>
        <w:t xml:space="preserve">dans</w:t>
      </w:r>
      <w:r>
        <w:t xml:space="preserve"> </w:t>
      </w:r>
      <w:r>
        <w:rPr>
          <w:rStyle w:val="VerbatimChar"/>
        </w:rPr>
        <w:t xml:space="preserve">res_dc21</w:t>
      </w:r>
      <w:r>
        <w:t xml:space="preserve">), fournit un indicateur complementaire de l’inflation locale.</w:t>
      </w:r>
    </w:p>
    <w:p>
      <w:pPr>
        <w:pStyle w:val="CaptionedFigure"/>
      </w:pPr>
      <w:r>
        <w:drawing>
          <wp:inline>
            <wp:extent cx="5969000" cy="3316111"/>
            <wp:effectExtent b="0" l="0" r="0" t="0"/>
            <wp:docPr descr="Evolution du prix median du paddy (Ar/kg)" title="" id="251" name="Picture"/>
            <a:graphic>
              <a:graphicData uri="http://schemas.openxmlformats.org/drawingml/2006/picture">
                <pic:pic>
                  <pic:nvPicPr>
                    <pic:cNvPr descr="03_habitat_niveau_de_vie_files/figure-docx/fig_trends_paddy-1.png" id="252" name="Picture"/>
                    <pic:cNvPicPr>
                      <a:picLocks noChangeArrowheads="1" noChangeAspect="1"/>
                    </pic:cNvPicPr>
                  </pic:nvPicPr>
                  <pic:blipFill>
                    <a:blip r:embed="rId250"/>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aptionedFigure"/>
      </w:pPr>
      <w:r>
        <w:drawing>
          <wp:inline>
            <wp:extent cx="5969000" cy="3316111"/>
            <wp:effectExtent b="0" l="0" r="0" t="0"/>
            <wp:docPr descr="Comparaison de l’IPC national et de l’indice du prix du paddy (base 100 en 2010)" title="" id="254" name="Picture"/>
            <a:graphic>
              <a:graphicData uri="http://schemas.openxmlformats.org/drawingml/2006/picture">
                <pic:pic>
                  <pic:nvPicPr>
                    <pic:cNvPr descr="03_habitat_niveau_de_vie_files/figure-docx/fig_ipc_vs_paddy-1.png" id="255" name="Picture"/>
                    <pic:cNvPicPr>
                      <a:picLocks noChangeArrowheads="1" noChangeAspect="1"/>
                    </pic:cNvPicPr>
                  </pic:nvPicPr>
                  <pic:blipFill>
                    <a:blip r:embed="rId25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256"/>
    <w:bookmarkStart w:id="263"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aptionedFigure"/>
      </w:pPr>
      <w:r>
        <w:drawing>
          <wp:inline>
            <wp:extent cx="5969000" cy="3316111"/>
            <wp:effectExtent b="0" l="0" r="0" t="0"/>
            <wp:docPr descr="Evolution du revenu total reel moyen par menage (Ar constants 2010, IPC)" title="" id="258" name="Picture"/>
            <a:graphic>
              <a:graphicData uri="http://schemas.openxmlformats.org/drawingml/2006/picture">
                <pic:pic>
                  <pic:nvPicPr>
                    <pic:cNvPr descr="03_habitat_niveau_de_vie_files/figure-docx/fig_trends_revtot_real-1.png" id="259" name="Picture"/>
                    <pic:cNvPicPr>
                      <a:picLocks noChangeArrowheads="1" noChangeAspect="1"/>
                    </pic:cNvPicPr>
                  </pic:nvPicPr>
                  <pic:blipFill>
                    <a:blip r:embed="rId257"/>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969000" cy="3316111"/>
            <wp:effectExtent b="0" l="0" r="0" t="0"/>
            <wp:docPr descr="Evolution du revenu courant reel moyen par menage (Ar constants 2010, IPC)" title="" id="261" name="Picture"/>
            <a:graphic>
              <a:graphicData uri="http://schemas.openxmlformats.org/drawingml/2006/picture">
                <pic:pic>
                  <pic:nvPicPr>
                    <pic:cNvPr descr="03_habitat_niveau_de_vie_files/figure-docx/fig_trends_revcou_real-1.png" id="262" name="Picture"/>
                    <pic:cNvPicPr>
                      <a:picLocks noChangeArrowheads="1" noChangeAspect="1"/>
                    </pic:cNvPicPr>
                  </pic:nvPicPr>
                  <pic:blipFill>
                    <a:blip r:embed="rId260"/>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bookmarkEnd w:id="263"/>
    <w:bookmarkStart w:id="270"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deflateur alternatif plus proche de la realite locale que l’IPC national. Les revenus sont ici exprimes en equivalent-paddy a prix 2010, c’est-a-dire divises par l’indice du prix median du paddy de chaque observatoire (base 2010 = 1). Ce deflateur est propre a chaque observatoire.</w:t>
      </w:r>
    </w:p>
    <w:p>
      <w:pPr>
        <w:pStyle w:val="CaptionedFigure"/>
      </w:pPr>
      <w:r>
        <w:drawing>
          <wp:inline>
            <wp:extent cx="5969000" cy="3316111"/>
            <wp:effectExtent b="0" l="0" r="0" t="0"/>
            <wp:docPr descr="Evolution du revenu total reel moyen par menage (Ar constants paddy 2010)" title="" id="265" name="Picture"/>
            <a:graphic>
              <a:graphicData uri="http://schemas.openxmlformats.org/drawingml/2006/picture">
                <pic:pic>
                  <pic:nvPicPr>
                    <pic:cNvPr descr="03_habitat_niveau_de_vie_files/figure-docx/fig_trends_revtot_paddy-1.png" id="266" name="Picture"/>
                    <pic:cNvPicPr>
                      <a:picLocks noChangeArrowheads="1" noChangeAspect="1"/>
                    </pic:cNvPicPr>
                  </pic:nvPicPr>
                  <pic:blipFill>
                    <a:blip r:embed="rId264"/>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aptionedFigure"/>
      </w:pPr>
      <w:r>
        <w:drawing>
          <wp:inline>
            <wp:extent cx="5969000" cy="3316111"/>
            <wp:effectExtent b="0" l="0" r="0" t="0"/>
            <wp:docPr descr="Evolution du revenu courant reel moyen par menage (Ar constants paddy 2010)" title="" id="268" name="Picture"/>
            <a:graphic>
              <a:graphicData uri="http://schemas.openxmlformats.org/drawingml/2006/picture">
                <pic:pic>
                  <pic:nvPicPr>
                    <pic:cNvPr descr="03_habitat_niveau_de_vie_files/figure-docx/fig_trends_revcou_paddy-1.png" id="269" name="Picture"/>
                    <pic:cNvPicPr>
                      <a:picLocks noChangeArrowheads="1" noChangeAspect="1"/>
                    </pic:cNvPicPr>
                  </pic:nvPicPr>
                  <pic:blipFill>
                    <a:blip r:embed="rId267"/>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270"/>
    <w:bookmarkEnd w:id="271"/>
    <w:bookmarkStart w:id="278" w:name="sec-habitat-multiyear"/>
    <w:p>
      <w:pPr>
        <w:pStyle w:val="Titre2"/>
      </w:pPr>
      <w:r>
        <w:t xml:space="preserve">3.6 Evolution des conditions d’habitat (1997-2025)</w:t>
      </w:r>
    </w:p>
    <w:p>
      <w:pPr>
        <w:pStyle w:val="FirstParagraph"/>
      </w:pPr>
      <w:r>
        <w:t xml:space="preserve">Les donnees sur l’habitat permettent de suivre l’evolution de la source d’eclairage (acces a l’electricite) et de la source d’eau principale sur la periode couverte.</w:t>
      </w:r>
    </w:p>
    <w:p>
      <w:pPr>
        <w:pStyle w:val="CaptionedFigure"/>
      </w:pPr>
      <w:r>
        <w:drawing>
          <wp:inline>
            <wp:extent cx="5969000" cy="3316111"/>
            <wp:effectExtent b="0" l="0" r="0" t="0"/>
            <wp:docPr descr="Evolution de l’acces a l’electricite (1997-2025)" title="" id="273" name="Picture"/>
            <a:graphic>
              <a:graphicData uri="http://schemas.openxmlformats.org/drawingml/2006/picture">
                <pic:pic>
                  <pic:nvPicPr>
                    <pic:cNvPr descr="03_habitat_niveau_de_vie_files/figure-docx/fig_habitat_elec-1.png" id="274" name="Picture"/>
                    <pic:cNvPicPr>
                      <a:picLocks noChangeArrowheads="1" noChangeAspect="1"/>
                    </pic:cNvPicPr>
                  </pic:nvPicPr>
                  <pic:blipFill>
                    <a:blip r:embed="rId272"/>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de l’acces a l’electricite (1997-2025)</w:t>
      </w:r>
    </w:p>
    <w:p>
      <w:pPr>
        <w:pStyle w:val="CaptionedFigure"/>
      </w:pPr>
      <w:r>
        <w:drawing>
          <wp:inline>
            <wp:extent cx="5969000" cy="3316111"/>
            <wp:effectExtent b="0" l="0" r="0" t="0"/>
            <wp:docPr descr="Evolution de l’acces a une source d’eau amelioree (1997-2025)" title="" id="276" name="Picture"/>
            <a:graphic>
              <a:graphicData uri="http://schemas.openxmlformats.org/drawingml/2006/picture">
                <pic:pic>
                  <pic:nvPicPr>
                    <pic:cNvPr descr="03_habitat_niveau_de_vie_files/figure-docx/fig_habitat_water-1.png" id="277" name="Picture"/>
                    <pic:cNvPicPr>
                      <a:picLocks noChangeArrowheads="1" noChangeAspect="1"/>
                    </pic:cNvPicPr>
                  </pic:nvPicPr>
                  <pic:blipFill>
                    <a:blip r:embed="rId275"/>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278"/>
    <w:bookmarkEnd w:id="279"/>
    <w:bookmarkStart w:id="367"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C:\Users\fbede\AppData\Local\Programs\Quarto\share\formats\docx\warning.png" id="28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316" w:name="sec-patrimoine"/>
    <w:p>
      <w:pPr>
        <w:pStyle w:val="Titre2"/>
      </w:pPr>
      <w:r>
        <w:t xml:space="preserve">4.1 Patrimoine foncier</w:t>
      </w:r>
    </w:p>
    <w:bookmarkStart w:id="287"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p>
      <w:pPr>
        <w:pStyle w:val="Corpsdetexte"/>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285"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283" name="Picture"/>
                  <a:graphic>
                    <a:graphicData uri="http://schemas.openxmlformats.org/drawingml/2006/picture">
                      <pic:pic>
                        <pic:nvPicPr>
                          <pic:cNvPr descr="04_foncier_files/figure-docx/fig-nb-parcelles-1.png" id="284" name="Picture"/>
                          <pic:cNvPicPr>
                            <a:picLocks noChangeArrowheads="1" noChangeAspect="1"/>
                          </pic:cNvPicPr>
                        </pic:nvPicPr>
                        <pic:blipFill>
                          <a:blip r:embed="rId282"/>
                          <a:stretch>
                            <a:fillRect/>
                          </a:stretch>
                        </pic:blipFill>
                        <pic:spPr bwMode="auto">
                          <a:xfrm>
                            <a:off x="0" y="0"/>
                            <a:ext cx="5969000" cy="3730624"/>
                          </a:xfrm>
                          <a:prstGeom prst="rect">
                            <a:avLst/>
                          </a:prstGeom>
                          <a:noFill/>
                          <a:ln w="9525">
                            <a:noFill/>
                            <a:headEnd/>
                            <a:tailEnd/>
                          </a:ln>
                        </pic:spPr>
                      </pic:pic>
                    </a:graphicData>
                  </a:graphic>
                </wp:inline>
              </w:drawing>
            </w:r>
          </w:p>
          <w:bookmarkEnd w:id="285"/>
        </w:tc>
      </w:tr>
    </w:tbl>
    <w:tbl>
      <w:tblPr>
        <w:tblStyle w:val="Table"/>
        <w:tblW w:type="pct" w:w="5000"/>
        <w:tblLayout w:type="fixed"/>
        <w:tblLook w:firstRow="0" w:lastRow="0" w:firstColumn="0" w:lastColumn="0" w:noHBand="0" w:noVBand="0" w:val="0000"/>
      </w:tblPr>
      <w:tblGrid>
        <w:gridCol w:w="7920"/>
      </w:tblGrid>
      <w:tr>
        <w:tc>
          <w:tcPr/>
          <w:bookmarkStart w:id="286"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286"/>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287"/>
    <w:bookmarkStart w:id="296"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Les rizières représentent 52.3 % des parcelles possédées et les champs 40.4 %.</w:t>
      </w:r>
    </w:p>
    <w:p>
      <w:pPr>
        <w:pStyle w:val="Corpsdetexte"/>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291" w:name="fig-type-parcelle"/>
          <w:p>
            <w:pPr>
              <w:jc w:val="center"/>
            </w:pPr>
            <w:pPr>
              <w:jc w:val="left"/>
              <w:spacing w:before="200"/>
              <w:pStyle w:val="ImageCaption"/>
            </w:pPr>
            <w:r>
              <w:t xml:space="preserve">Figure 4.2: Type des parcelles possédées</w:t>
            </w:r>
          </w:p>
          <w:p>
            <w:pPr>
              <w:pStyle w:val="Compact"/>
              <w:jc w:val="center"/>
            </w:pPr>
            <w:r>
              <w:drawing>
                <wp:inline>
                  <wp:extent cx="5969000" cy="2514717"/>
                  <wp:effectExtent b="0" l="0" r="0" t="0"/>
                  <wp:docPr descr="" title="" id="289" name="Picture"/>
                  <a:graphic>
                    <a:graphicData uri="http://schemas.openxmlformats.org/drawingml/2006/picture">
                      <pic:pic>
                        <pic:nvPicPr>
                          <pic:cNvPr descr="04_foncier_files/figure-docx/fig-type-parcelle-1.png" id="290" name="Picture"/>
                          <pic:cNvPicPr>
                            <a:picLocks noChangeArrowheads="1" noChangeAspect="1"/>
                          </pic:cNvPicPr>
                        </pic:nvPicPr>
                        <pic:blipFill>
                          <a:blip r:embed="rId288"/>
                          <a:stretch>
                            <a:fillRect/>
                          </a:stretch>
                        </pic:blipFill>
                        <pic:spPr bwMode="auto">
                          <a:xfrm>
                            <a:off x="0" y="0"/>
                            <a:ext cx="5969000" cy="2514717"/>
                          </a:xfrm>
                          <a:prstGeom prst="rect">
                            <a:avLst/>
                          </a:prstGeom>
                          <a:noFill/>
                          <a:ln w="9525">
                            <a:noFill/>
                            <a:headEnd/>
                            <a:tailEnd/>
                          </a:ln>
                        </pic:spPr>
                      </pic:pic>
                    </a:graphicData>
                  </a:graphic>
                </wp:inline>
              </w:drawing>
            </w:r>
          </w:p>
          <w:bookmarkEnd w:id="291"/>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w:t>
      </w:r>
    </w:p>
    <w:p>
      <w:pPr>
        <w:pStyle w:val="Corpsdetexte"/>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295"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2514717"/>
                  <wp:effectExtent b="0" l="0" r="0" t="0"/>
                  <wp:docPr descr="" title="" id="293" name="Picture"/>
                  <a:graphic>
                    <a:graphicData uri="http://schemas.openxmlformats.org/drawingml/2006/picture">
                      <pic:pic>
                        <pic:nvPicPr>
                          <pic:cNvPr descr="04_foncier_files/figure-docx/fig-localisation-parcelle-1.png" id="294" name="Picture"/>
                          <pic:cNvPicPr>
                            <a:picLocks noChangeArrowheads="1" noChangeAspect="1"/>
                          </pic:cNvPicPr>
                        </pic:nvPicPr>
                        <pic:blipFill>
                          <a:blip r:embed="rId292"/>
                          <a:stretch>
                            <a:fillRect/>
                          </a:stretch>
                        </pic:blipFill>
                        <pic:spPr bwMode="auto">
                          <a:xfrm>
                            <a:off x="0" y="0"/>
                            <a:ext cx="5969000" cy="2514717"/>
                          </a:xfrm>
                          <a:prstGeom prst="rect">
                            <a:avLst/>
                          </a:prstGeom>
                          <a:noFill/>
                          <a:ln w="9525">
                            <a:noFill/>
                            <a:headEnd/>
                            <a:tailEnd/>
                          </a:ln>
                        </pic:spPr>
                      </pic:pic>
                    </a:graphicData>
                  </a:graphic>
                </wp:inline>
              </w:drawing>
            </w:r>
          </w:p>
          <w:bookmarkEnd w:id="295"/>
        </w:tc>
      </w:tr>
    </w:tbl>
    <w:bookmarkEnd w:id="296"/>
    <w:bookmarkStart w:id="301"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w:t>
      </w:r>
    </w:p>
    <w:p>
      <w:pPr>
        <w:pStyle w:val="Corpsdetexte"/>
      </w:pPr>
      <w:r>
        <w:t xml:space="preserve">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300"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2263245"/>
                  <wp:effectExtent b="0" l="0" r="0" t="0"/>
                  <wp:docPr descr="" title="" id="298" name="Picture"/>
                  <a:graphic>
                    <a:graphicData uri="http://schemas.openxmlformats.org/drawingml/2006/picture">
                      <pic:pic>
                        <pic:nvPicPr>
                          <pic:cNvPr descr="04_foncier_files/figure-docx/fig-irrigation-possedee-1.png" id="299" name="Picture"/>
                          <pic:cNvPicPr>
                            <a:picLocks noChangeArrowheads="1" noChangeAspect="1"/>
                          </pic:cNvPicPr>
                        </pic:nvPicPr>
                        <pic:blipFill>
                          <a:blip r:embed="rId297"/>
                          <a:stretch>
                            <a:fillRect/>
                          </a:stretch>
                        </pic:blipFill>
                        <pic:spPr bwMode="auto">
                          <a:xfrm>
                            <a:off x="0" y="0"/>
                            <a:ext cx="5969000" cy="2263245"/>
                          </a:xfrm>
                          <a:prstGeom prst="rect">
                            <a:avLst/>
                          </a:prstGeom>
                          <a:noFill/>
                          <a:ln w="9525">
                            <a:noFill/>
                            <a:headEnd/>
                            <a:tailEnd/>
                          </a:ln>
                        </pic:spPr>
                      </pic:pic>
                    </a:graphicData>
                  </a:graphic>
                </wp:inline>
              </w:drawing>
            </w:r>
          </w:p>
          <w:bookmarkEnd w:id="300"/>
        </w:tc>
      </w:tr>
    </w:tbl>
    <w:bookmarkEnd w:id="301"/>
    <w:bookmarkStart w:id="310"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w:t>
      </w:r>
    </w:p>
    <w:p>
      <w:pPr>
        <w:pStyle w:val="Corpsdetexte"/>
      </w:pPr>
      <w:r>
        <w:rPr>
          <w:b/>
          <w:bCs/>
        </w:rPr>
        <w:t xml:space="preserve">Alaotra.</w:t>
      </w:r>
      <w:r>
        <w:t xml:space="preserve"> </w:t>
      </w:r>
      <w:r>
        <w:t xml:space="preserve">L’héritage concerne 46.5 % des parcelles, l’achat 49.1 % et la mise en valeur 1.1 %.</w:t>
      </w:r>
    </w:p>
    <w:p>
      <w:pPr>
        <w:pStyle w:val="Corpsdetexte"/>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305"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2505736"/>
                  <wp:effectExtent b="0" l="0" r="0" t="0"/>
                  <wp:docPr descr="" title="" id="303" name="Picture"/>
                  <a:graphic>
                    <a:graphicData uri="http://schemas.openxmlformats.org/drawingml/2006/picture">
                      <pic:pic>
                        <pic:nvPicPr>
                          <pic:cNvPr descr="04_foncier_files/figure-docx/fig-acquisition-1.png" id="304" name="Picture"/>
                          <pic:cNvPicPr>
                            <a:picLocks noChangeArrowheads="1" noChangeAspect="1"/>
                          </pic:cNvPicPr>
                        </pic:nvPicPr>
                        <pic:blipFill>
                          <a:blip r:embed="rId302"/>
                          <a:stretch>
                            <a:fillRect/>
                          </a:stretch>
                        </pic:blipFill>
                        <pic:spPr bwMode="auto">
                          <a:xfrm>
                            <a:off x="0" y="0"/>
                            <a:ext cx="5969000" cy="2505736"/>
                          </a:xfrm>
                          <a:prstGeom prst="rect">
                            <a:avLst/>
                          </a:prstGeom>
                          <a:noFill/>
                          <a:ln w="9525">
                            <a:noFill/>
                            <a:headEnd/>
                            <a:tailEnd/>
                          </a:ln>
                        </pic:spPr>
                      </pic:pic>
                    </a:graphicData>
                  </a:graphic>
                </wp:inline>
              </w:drawing>
            </w:r>
          </w:p>
          <w:bookmarkEnd w:id="305"/>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309"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307" name="Picture"/>
                  <a:graphic>
                    <a:graphicData uri="http://schemas.openxmlformats.org/drawingml/2006/picture">
                      <pic:pic>
                        <pic:nvPicPr>
                          <pic:cNvPr descr="04_foncier_files/figure-docx/fig-anciennete-1.png" id="308" name="Picture"/>
                          <pic:cNvPicPr>
                            <a:picLocks noChangeArrowheads="1" noChangeAspect="1"/>
                          </pic:cNvPicPr>
                        </pic:nvPicPr>
                        <pic:blipFill>
                          <a:blip r:embed="rId306"/>
                          <a:stretch>
                            <a:fillRect/>
                          </a:stretch>
                        </pic:blipFill>
                        <pic:spPr bwMode="auto">
                          <a:xfrm>
                            <a:off x="0" y="0"/>
                            <a:ext cx="5969000" cy="3316111"/>
                          </a:xfrm>
                          <a:prstGeom prst="rect">
                            <a:avLst/>
                          </a:prstGeom>
                          <a:noFill/>
                          <a:ln w="9525">
                            <a:noFill/>
                            <a:headEnd/>
                            <a:tailEnd/>
                          </a:ln>
                        </pic:spPr>
                      </pic:pic>
                    </a:graphicData>
                  </a:graphic>
                </wp:inline>
              </w:drawing>
            </w:r>
          </w:p>
          <w:bookmarkEnd w:id="309"/>
        </w:tc>
      </w:tr>
    </w:tbl>
    <w:bookmarkEnd w:id="310"/>
    <w:bookmarkStart w:id="315"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Le chef de ménage est déclaré propriétaire de la majorité des parcelles, ce qui illustre les inégalités d’accès au foncier.</w:t>
      </w:r>
    </w:p>
    <w:p>
      <w:pPr>
        <w:pStyle w:val="Corpsdetexte"/>
      </w:pPr>
      <w:r>
        <w:rPr>
          <w:b/>
          <w:bCs/>
        </w:rPr>
        <w:t xml:space="preserve">Alaotra.</w:t>
      </w:r>
      <w:r>
        <w:t xml:space="preserve"> </w:t>
      </w:r>
      <w:r>
        <w:t xml:space="preserve">Le chef de ménage est propriétaire de 63.5 % des parcelles ; le ou la conjoint(e) n’apparaît que dans 15.6 % des cas.</w:t>
      </w:r>
    </w:p>
    <w:p>
      <w:pPr>
        <w:pStyle w:val="Corpsdetexte"/>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314"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3338909"/>
                  <wp:effectExtent b="0" l="0" r="0" t="0"/>
                  <wp:docPr descr="" title="" id="312" name="Picture"/>
                  <a:graphic>
                    <a:graphicData uri="http://schemas.openxmlformats.org/drawingml/2006/picture">
                      <pic:pic>
                        <pic:nvPicPr>
                          <pic:cNvPr descr="04_foncier_files/figure-docx/fig-proprietaire-1.png" id="313" name="Picture"/>
                          <pic:cNvPicPr>
                            <a:picLocks noChangeArrowheads="1" noChangeAspect="1"/>
                          </pic:cNvPicPr>
                        </pic:nvPicPr>
                        <pic:blipFill>
                          <a:blip r:embed="rId311"/>
                          <a:stretch>
                            <a:fillRect/>
                          </a:stretch>
                        </pic:blipFill>
                        <pic:spPr bwMode="auto">
                          <a:xfrm>
                            <a:off x="0" y="0"/>
                            <a:ext cx="5969000" cy="3338909"/>
                          </a:xfrm>
                          <a:prstGeom prst="rect">
                            <a:avLst/>
                          </a:prstGeom>
                          <a:noFill/>
                          <a:ln w="9525">
                            <a:noFill/>
                            <a:headEnd/>
                            <a:tailEnd/>
                          </a:ln>
                        </pic:spPr>
                      </pic:pic>
                    </a:graphicData>
                  </a:graphic>
                </wp:inline>
              </w:drawing>
            </w:r>
          </w:p>
          <w:bookmarkEnd w:id="314"/>
        </w:tc>
      </w:tr>
    </w:tbl>
    <w:bookmarkEnd w:id="315"/>
    <w:bookmarkEnd w:id="316"/>
    <w:bookmarkStart w:id="325"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fig-securisation">
        <w:r>
          <w:rPr>
            <w:rStyle w:val="Lienhypertexte"/>
          </w:rPr>
          <w:t xml:space="preserve">Figure 4.8</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320"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3696101"/>
                  <wp:effectExtent b="0" l="0" r="0" t="0"/>
                  <wp:docPr descr="" title="" id="318" name="Picture"/>
                  <a:graphic>
                    <a:graphicData uri="http://schemas.openxmlformats.org/drawingml/2006/picture">
                      <pic:pic>
                        <pic:nvPicPr>
                          <pic:cNvPr descr="04_foncier_files/figure-docx/fig-securisation-1.png" id="319" name="Picture"/>
                          <pic:cNvPicPr>
                            <a:picLocks noChangeArrowheads="1" noChangeAspect="1"/>
                          </pic:cNvPicPr>
                        </pic:nvPicPr>
                        <pic:blipFill>
                          <a:blip r:embed="rId317"/>
                          <a:stretch>
                            <a:fillRect/>
                          </a:stretch>
                        </pic:blipFill>
                        <pic:spPr bwMode="auto">
                          <a:xfrm>
                            <a:off x="0" y="0"/>
                            <a:ext cx="4620126" cy="3696101"/>
                          </a:xfrm>
                          <a:prstGeom prst="rect">
                            <a:avLst/>
                          </a:prstGeom>
                          <a:noFill/>
                          <a:ln w="9525">
                            <a:noFill/>
                            <a:headEnd/>
                            <a:tailEnd/>
                          </a:ln>
                        </pic:spPr>
                      </pic:pic>
                    </a:graphicData>
                  </a:graphic>
                </wp:inline>
              </w:drawing>
            </w:r>
          </w:p>
          <w:bookmarkEnd w:id="320"/>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324"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2804186"/>
                  <wp:effectExtent b="0" l="0" r="0" t="0"/>
                  <wp:docPr descr="" title="" id="322" name="Picture"/>
                  <a:graphic>
                    <a:graphicData uri="http://schemas.openxmlformats.org/drawingml/2006/picture">
                      <pic:pic>
                        <pic:nvPicPr>
                          <pic:cNvPr descr="04_foncier_files/figure-docx/fig-papiers-1.png" id="323" name="Picture"/>
                          <pic:cNvPicPr>
                            <a:picLocks noChangeArrowheads="1" noChangeAspect="1"/>
                          </pic:cNvPicPr>
                        </pic:nvPicPr>
                        <pic:blipFill>
                          <a:blip r:embed="rId321"/>
                          <a:stretch>
                            <a:fillRect/>
                          </a:stretch>
                        </pic:blipFill>
                        <pic:spPr bwMode="auto">
                          <a:xfrm>
                            <a:off x="0" y="0"/>
                            <a:ext cx="5969000" cy="2804186"/>
                          </a:xfrm>
                          <a:prstGeom prst="rect">
                            <a:avLst/>
                          </a:prstGeom>
                          <a:noFill/>
                          <a:ln w="9525">
                            <a:noFill/>
                            <a:headEnd/>
                            <a:tailEnd/>
                          </a:ln>
                        </pic:spPr>
                      </pic:pic>
                    </a:graphicData>
                  </a:graphic>
                </wp:inline>
              </w:drawing>
            </w:r>
          </w:p>
          <w:bookmarkEnd w:id="324"/>
        </w:tc>
      </w:tr>
    </w:tbl>
    <w:bookmarkEnd w:id="325"/>
    <w:bookmarkStart w:id="339"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326" w:name="tbl-cession-pratique"/>
          <w:p>
            <w:pPr>
              <w:jc w:val="center"/>
            </w:pPr>
            <w:pPr>
              <w:jc w:val="left"/>
              <w:spacing w:before="200"/>
              <w:pStyle w:val="ImageCaption"/>
            </w:pPr>
            <w:r>
              <w:t xml:space="preserve">Table 4.2: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326"/>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330"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969000" cy="2514717"/>
                  <wp:effectExtent b="0" l="0" r="0" t="0"/>
                  <wp:docPr descr="" title="" id="328" name="Picture"/>
                  <a:graphic>
                    <a:graphicData uri="http://schemas.openxmlformats.org/drawingml/2006/picture">
                      <pic:pic>
                        <pic:nvPicPr>
                          <pic:cNvPr descr="04_foncier_files/figure-docx/fig-mode-cession-1.png" id="329" name="Picture"/>
                          <pic:cNvPicPr>
                            <a:picLocks noChangeArrowheads="1" noChangeAspect="1"/>
                          </pic:cNvPicPr>
                        </pic:nvPicPr>
                        <pic:blipFill>
                          <a:blip r:embed="rId327"/>
                          <a:stretch>
                            <a:fillRect/>
                          </a:stretch>
                        </pic:blipFill>
                        <pic:spPr bwMode="auto">
                          <a:xfrm>
                            <a:off x="0" y="0"/>
                            <a:ext cx="5969000" cy="2514717"/>
                          </a:xfrm>
                          <a:prstGeom prst="rect">
                            <a:avLst/>
                          </a:prstGeom>
                          <a:noFill/>
                          <a:ln w="9525">
                            <a:noFill/>
                            <a:headEnd/>
                            <a:tailEnd/>
                          </a:ln>
                        </pic:spPr>
                      </pic:pic>
                    </a:graphicData>
                  </a:graphic>
                </wp:inline>
              </w:drawing>
            </w:r>
          </w:p>
          <w:bookmarkEnd w:id="330"/>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334"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4414572"/>
                  <wp:effectExtent b="0" l="0" r="0" t="0"/>
                  <wp:docPr descr="" title="" id="332" name="Picture"/>
                  <a:graphic>
                    <a:graphicData uri="http://schemas.openxmlformats.org/drawingml/2006/picture">
                      <pic:pic>
                        <pic:nvPicPr>
                          <pic:cNvPr descr="04_foncier_files/figure-docx/fig-motif-cession-1.png" id="333" name="Picture"/>
                          <pic:cNvPicPr>
                            <a:picLocks noChangeArrowheads="1" noChangeAspect="1"/>
                          </pic:cNvPicPr>
                        </pic:nvPicPr>
                        <pic:blipFill>
                          <a:blip r:embed="rId331"/>
                          <a:stretch>
                            <a:fillRect/>
                          </a:stretch>
                        </pic:blipFill>
                        <pic:spPr bwMode="auto">
                          <a:xfrm>
                            <a:off x="0" y="0"/>
                            <a:ext cx="5969000" cy="4414572"/>
                          </a:xfrm>
                          <a:prstGeom prst="rect">
                            <a:avLst/>
                          </a:prstGeom>
                          <a:noFill/>
                          <a:ln w="9525">
                            <a:noFill/>
                            <a:headEnd/>
                            <a:tailEnd/>
                          </a:ln>
                        </pic:spPr>
                      </pic:pic>
                    </a:graphicData>
                  </a:graphic>
                </wp:inline>
              </w:drawing>
            </w:r>
          </w:p>
          <w:bookmarkEnd w:id="334"/>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338"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3338909"/>
                  <wp:effectExtent b="0" l="0" r="0" t="0"/>
                  <wp:docPr descr="" title="" id="336" name="Picture"/>
                  <a:graphic>
                    <a:graphicData uri="http://schemas.openxmlformats.org/drawingml/2006/picture">
                      <pic:pic>
                        <pic:nvPicPr>
                          <pic:cNvPr descr="04_foncier_files/figure-docx/fig-cedee-a-qui-1.png" id="337" name="Picture"/>
                          <pic:cNvPicPr>
                            <a:picLocks noChangeArrowheads="1" noChangeAspect="1"/>
                          </pic:cNvPicPr>
                        </pic:nvPicPr>
                        <pic:blipFill>
                          <a:blip r:embed="rId335"/>
                          <a:stretch>
                            <a:fillRect/>
                          </a:stretch>
                        </pic:blipFill>
                        <pic:spPr bwMode="auto">
                          <a:xfrm>
                            <a:off x="0" y="0"/>
                            <a:ext cx="5969000" cy="3338909"/>
                          </a:xfrm>
                          <a:prstGeom prst="rect">
                            <a:avLst/>
                          </a:prstGeom>
                          <a:noFill/>
                          <a:ln w="9525">
                            <a:noFill/>
                            <a:headEnd/>
                            <a:tailEnd/>
                          </a:ln>
                        </pic:spPr>
                      </pic:pic>
                    </a:graphicData>
                  </a:graphic>
                </wp:inline>
              </w:drawing>
            </w:r>
          </w:p>
          <w:bookmarkEnd w:id="338"/>
        </w:tc>
      </w:tr>
    </w:tbl>
    <w:bookmarkEnd w:id="339"/>
    <w:bookmarkStart w:id="358"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340" w:name="tbl-exploitation-autres"/>
          <w:p>
            <w:pPr>
              <w:jc w:val="center"/>
            </w:pPr>
            <w:pPr>
              <w:jc w:val="left"/>
              <w:spacing w:before="200"/>
              <w:pStyle w:val="ImageCaption"/>
            </w:pPr>
            <w:r>
              <w:t xml:space="preserve">Table 4.3: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340"/>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344" w:name="fig-type-exploitee"/>
          <w:p>
            <w:pPr>
              <w:jc w:val="center"/>
            </w:pPr>
            <w:pPr>
              <w:jc w:val="left"/>
              <w:spacing w:before="200"/>
              <w:pStyle w:val="ImageCaption"/>
            </w:pPr>
            <w:r>
              <w:t xml:space="preserve">Figure 4.13: Type des parcelles exploitées (non possédées)</w:t>
            </w:r>
          </w:p>
          <w:p>
            <w:pPr>
              <w:pStyle w:val="Compact"/>
              <w:jc w:val="center"/>
            </w:pPr>
            <w:r>
              <w:drawing>
                <wp:inline>
                  <wp:extent cx="5969000" cy="2514717"/>
                  <wp:effectExtent b="0" l="0" r="0" t="0"/>
                  <wp:docPr descr="" title="" id="342" name="Picture"/>
                  <a:graphic>
                    <a:graphicData uri="http://schemas.openxmlformats.org/drawingml/2006/picture">
                      <pic:pic>
                        <pic:nvPicPr>
                          <pic:cNvPr descr="04_foncier_files/figure-docx/fig-type-exploitee-1.png" id="343" name="Picture"/>
                          <pic:cNvPicPr>
                            <a:picLocks noChangeArrowheads="1" noChangeAspect="1"/>
                          </pic:cNvPicPr>
                        </pic:nvPicPr>
                        <pic:blipFill>
                          <a:blip r:embed="rId341"/>
                          <a:stretch>
                            <a:fillRect/>
                          </a:stretch>
                        </pic:blipFill>
                        <pic:spPr bwMode="auto">
                          <a:xfrm>
                            <a:off x="0" y="0"/>
                            <a:ext cx="5969000" cy="2514717"/>
                          </a:xfrm>
                          <a:prstGeom prst="rect">
                            <a:avLst/>
                          </a:prstGeom>
                          <a:noFill/>
                          <a:ln w="9525">
                            <a:noFill/>
                            <a:headEnd/>
                            <a:tailEnd/>
                          </a:ln>
                        </pic:spPr>
                      </pic:pic>
                    </a:graphicData>
                  </a:graphic>
                </wp:inline>
              </w:drawing>
            </w:r>
          </w:p>
          <w:bookmarkEnd w:id="344"/>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348" w:name="fig-fv-exploitee"/>
          <w:p>
            <w:pPr>
              <w:jc w:val="center"/>
            </w:pPr>
            <w:pPr>
              <w:jc w:val="left"/>
              <w:spacing w:before="200"/>
              <w:pStyle w:val="ImageCaption"/>
            </w:pPr>
            <w:r>
              <w:t xml:space="preserve">Figure 4.14: Mode de faire-valoir des parcelles exploitées</w:t>
            </w:r>
          </w:p>
          <w:p>
            <w:pPr>
              <w:pStyle w:val="Compact"/>
              <w:jc w:val="center"/>
            </w:pPr>
            <w:r>
              <w:drawing>
                <wp:inline>
                  <wp:extent cx="5969000" cy="2514717"/>
                  <wp:effectExtent b="0" l="0" r="0" t="0"/>
                  <wp:docPr descr="" title="" id="346" name="Picture"/>
                  <a:graphic>
                    <a:graphicData uri="http://schemas.openxmlformats.org/drawingml/2006/picture">
                      <pic:pic>
                        <pic:nvPicPr>
                          <pic:cNvPr descr="04_foncier_files/figure-docx/fig-fv-exploitee-1.png" id="347" name="Picture"/>
                          <pic:cNvPicPr>
                            <a:picLocks noChangeArrowheads="1" noChangeAspect="1"/>
                          </pic:cNvPicPr>
                        </pic:nvPicPr>
                        <pic:blipFill>
                          <a:blip r:embed="rId345"/>
                          <a:stretch>
                            <a:fillRect/>
                          </a:stretch>
                        </pic:blipFill>
                        <pic:spPr bwMode="auto">
                          <a:xfrm>
                            <a:off x="0" y="0"/>
                            <a:ext cx="5969000" cy="2514717"/>
                          </a:xfrm>
                          <a:prstGeom prst="rect">
                            <a:avLst/>
                          </a:prstGeom>
                          <a:noFill/>
                          <a:ln w="9525">
                            <a:noFill/>
                            <a:headEnd/>
                            <a:tailEnd/>
                          </a:ln>
                        </pic:spPr>
                      </pic:pic>
                    </a:graphicData>
                  </a:graphic>
                </wp:inline>
              </w:drawing>
            </w:r>
          </w:p>
          <w:bookmarkEnd w:id="348"/>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352"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3817672"/>
                  <wp:effectExtent b="0" l="0" r="0" t="0"/>
                  <wp:docPr descr="" title="" id="350" name="Picture"/>
                  <a:graphic>
                    <a:graphicData uri="http://schemas.openxmlformats.org/drawingml/2006/picture">
                      <pic:pic>
                        <pic:nvPicPr>
                          <pic:cNvPr descr="04_foncier_files/figure-docx/fig-proprietaire-exploitee-1.png" id="351" name="Picture"/>
                          <pic:cNvPicPr>
                            <a:picLocks noChangeArrowheads="1" noChangeAspect="1"/>
                          </pic:cNvPicPr>
                        </pic:nvPicPr>
                        <pic:blipFill>
                          <a:blip r:embed="rId349"/>
                          <a:stretch>
                            <a:fillRect/>
                          </a:stretch>
                        </pic:blipFill>
                        <pic:spPr bwMode="auto">
                          <a:xfrm>
                            <a:off x="0" y="0"/>
                            <a:ext cx="5969000" cy="3817672"/>
                          </a:xfrm>
                          <a:prstGeom prst="rect">
                            <a:avLst/>
                          </a:prstGeom>
                          <a:noFill/>
                          <a:ln w="9525">
                            <a:noFill/>
                            <a:headEnd/>
                            <a:tailEnd/>
                          </a:ln>
                        </pic:spPr>
                      </pic:pic>
                    </a:graphicData>
                  </a:graphic>
                </wp:inline>
              </w:drawing>
            </w:r>
          </w:p>
          <w:bookmarkEnd w:id="352"/>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356" w:name="fig-irrigation-exploitee"/>
          <w:p>
            <w:pPr>
              <w:jc w:val="center"/>
            </w:pPr>
            <w:pPr>
              <w:jc w:val="left"/>
              <w:spacing w:before="200"/>
              <w:pStyle w:val="ImageCaption"/>
            </w:pPr>
            <w:r>
              <w:t xml:space="preserve">Figure 4.16: Mode d’irrigation des parcelles exploitées</w:t>
            </w:r>
          </w:p>
          <w:p>
            <w:pPr>
              <w:pStyle w:val="Compact"/>
              <w:jc w:val="center"/>
            </w:pPr>
            <w:r>
              <w:drawing>
                <wp:inline>
                  <wp:extent cx="5969000" cy="2263245"/>
                  <wp:effectExtent b="0" l="0" r="0" t="0"/>
                  <wp:docPr descr="" title="" id="354" name="Picture"/>
                  <a:graphic>
                    <a:graphicData uri="http://schemas.openxmlformats.org/drawingml/2006/picture">
                      <pic:pic>
                        <pic:nvPicPr>
                          <pic:cNvPr descr="04_foncier_files/figure-docx/fig-irrigation-exploitee-1.png" id="355" name="Picture"/>
                          <pic:cNvPicPr>
                            <a:picLocks noChangeArrowheads="1" noChangeAspect="1"/>
                          </pic:cNvPicPr>
                        </pic:nvPicPr>
                        <pic:blipFill>
                          <a:blip r:embed="rId353"/>
                          <a:stretch>
                            <a:fillRect/>
                          </a:stretch>
                        </pic:blipFill>
                        <pic:spPr bwMode="auto">
                          <a:xfrm>
                            <a:off x="0" y="0"/>
                            <a:ext cx="5969000" cy="2263245"/>
                          </a:xfrm>
                          <a:prstGeom prst="rect">
                            <a:avLst/>
                          </a:prstGeom>
                          <a:noFill/>
                          <a:ln w="9525">
                            <a:noFill/>
                            <a:headEnd/>
                            <a:tailEnd/>
                          </a:ln>
                        </pic:spPr>
                      </pic:pic>
                    </a:graphicData>
                  </a:graphic>
                </wp:inline>
              </w:drawing>
            </w:r>
          </w:p>
          <w:bookmarkEnd w:id="356"/>
        </w:tc>
      </w:tr>
    </w:tbl>
    <w:p>
      <w:pPr>
        <w:pStyle w:val="Corpsdetexte"/>
      </w:pPr>
      <w:r>
        <w:t xml:space="preserve">Le coût de l’exploitation de terres d’autrui varie selon le mode de faire-valoir (</w:t>
      </w:r>
      <w:hyperlink w:anchor="tbl-rente-exploitee">
        <w:r>
          <w:rPr>
            <w:rStyle w:val="Lienhypertexte"/>
          </w:rPr>
          <w:t xml:space="preserve">Table 4.4</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357" w:name="tbl-rente-exploitee"/>
          <w:p>
            <w:pPr>
              <w:jc w:val="center"/>
            </w:pPr>
            <w:pPr>
              <w:jc w:val="left"/>
              <w:spacing w:before="200"/>
              <w:pStyle w:val="ImageCaption"/>
            </w:pPr>
            <w:r>
              <w:t xml:space="preserve">Table 4.4: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357"/>
          <w:p/>
        </w:tc>
      </w:tr>
    </w:tbl>
    <w:bookmarkEnd w:id="358"/>
    <w:bookmarkStart w:id="360"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4.5</w:t>
        </w:r>
      </w:hyperlink>
      <w:r>
        <w:t xml:space="preserve">).</w:t>
      </w:r>
    </w:p>
    <w:p>
      <w:pPr>
        <w:pStyle w:val="Corpsdetexte"/>
      </w:pPr>
      <w:r>
        <w:rPr>
          <w:b/>
          <w:bCs/>
        </w:rPr>
        <w:t xml:space="preserve">Alaotra.</w:t>
      </w:r>
      <w:r>
        <w:t xml:space="preserve"> </w:t>
      </w:r>
      <w:r>
        <w:t xml:space="preserve">Cette pratique touche 18.9 % des ménages.</w:t>
      </w:r>
    </w:p>
    <w:p>
      <w:pPr>
        <w:pStyle w:val="Corpsdetexte"/>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359" w:name="tbl-abandon"/>
          <w:p>
            <w:pPr>
              <w:jc w:val="center"/>
            </w:pPr>
            <w:pPr>
              <w:jc w:val="left"/>
              <w:spacing w:before="200"/>
              <w:pStyle w:val="ImageCaption"/>
            </w:pPr>
            <w:r>
              <w:t xml:space="preserve">Table 4.5: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359"/>
          <w:p/>
        </w:tc>
      </w:tr>
    </w:tbl>
    <w:bookmarkEnd w:id="360"/>
    <w:bookmarkStart w:id="365"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w:t>
      </w:r>
    </w:p>
    <w:p>
      <w:pPr>
        <w:pStyle w:val="Corpsdetexte"/>
      </w:pPr>
      <w:r>
        <w:rPr>
          <w:b/>
          <w:bCs/>
        </w:rPr>
        <w:t xml:space="preserve">Alaotra.</w:t>
      </w:r>
      <w:r>
        <w:t xml:space="preserve"> </w:t>
      </w:r>
      <w:r>
        <w:t xml:space="preserve">29.2 % des ménages jugent leur surface insuffisante ou très insuffisante. Seuls 70.8 % estiment leur dotation suffisante.</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364"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3316111"/>
                  <wp:effectExtent b="0" l="0" r="0" t="0"/>
                  <wp:docPr descr="" title="" id="362" name="Picture"/>
                  <a:graphic>
                    <a:graphicData uri="http://schemas.openxmlformats.org/drawingml/2006/picture">
                      <pic:pic>
                        <pic:nvPicPr>
                          <pic:cNvPr descr="04_foncier_files/figure-docx/fig-satisfaction-1.png" id="363" name="Picture"/>
                          <pic:cNvPicPr>
                            <a:picLocks noChangeArrowheads="1" noChangeAspect="1"/>
                          </pic:cNvPicPr>
                        </pic:nvPicPr>
                        <pic:blipFill>
                          <a:blip r:embed="rId361"/>
                          <a:stretch>
                            <a:fillRect/>
                          </a:stretch>
                        </pic:blipFill>
                        <pic:spPr bwMode="auto">
                          <a:xfrm>
                            <a:off x="0" y="0"/>
                            <a:ext cx="5969000" cy="3316111"/>
                          </a:xfrm>
                          <a:prstGeom prst="rect">
                            <a:avLst/>
                          </a:prstGeom>
                          <a:noFill/>
                          <a:ln w="9525">
                            <a:noFill/>
                            <a:headEnd/>
                            <a:tailEnd/>
                          </a:ln>
                        </pic:spPr>
                      </pic:pic>
                    </a:graphicData>
                  </a:graphic>
                </wp:inline>
              </w:drawing>
            </w:r>
          </w:p>
          <w:bookmarkEnd w:id="364"/>
        </w:tc>
      </w:tr>
    </w:tbl>
    <w:bookmarkEnd w:id="365"/>
    <w:bookmarkStart w:id="366" w:name="sec-pistes-foncier"/>
    <w:p>
      <w:pPr>
        <w:pStyle w:val="Titre2"/>
      </w:pPr>
      <w:r>
        <w:t xml:space="preserve">4.7 Pistes d’analyse complémentaires</w:t>
      </w:r>
    </w:p>
    <w:p>
      <w:pPr>
        <w:pStyle w:val="FirstParagraph"/>
      </w:pPr>
      <w:r>
        <w:t xml:space="preserve">Les données foncières offrent d’autres possibilités d’analyse qui n’ont pas été développées ici :</w:t>
      </w:r>
    </w:p>
    <w:p>
      <w:pPr>
        <w:pStyle w:val="Compact"/>
        <w:numPr>
          <w:ilvl w:val="0"/>
          <w:numId w:val="1004"/>
        </w:numPr>
      </w:pPr>
      <w:r>
        <w:rPr>
          <w:b/>
          <w:bCs/>
        </w:rPr>
        <w:t xml:space="preserve">Raisons de l’abandon de parcelles</w:t>
      </w:r>
      <w:r>
        <w:t xml:space="preserve"> </w:t>
      </w:r>
      <w:r>
        <w:t xml:space="preserve">(</w:t>
      </w:r>
      <w:r>
        <w:rPr>
          <w:rStyle w:val="VerbatimChar"/>
        </w:rPr>
        <w:t xml:space="preserve">fr30q_a</w:t>
      </w:r>
      <w:r>
        <w:t xml:space="preserve"> </w:t>
      </w:r>
      <w:r>
        <w:t xml:space="preserve">à</w:t>
      </w:r>
      <w:r>
        <w:t xml:space="preserve"> </w:t>
      </w:r>
      <w:r>
        <w:rPr>
          <w:rStyle w:val="VerbatimChar"/>
        </w:rPr>
        <w:t xml:space="preserve">fr30q_e</w:t>
      </w:r>
      <w:r>
        <w:t xml:space="preserve">) : cinq variables binaires dont les libellés exacts restent à confirmer dans le questionnaire.</w:t>
      </w:r>
    </w:p>
    <w:p>
      <w:pPr>
        <w:pStyle w:val="Compact"/>
        <w:numPr>
          <w:ilvl w:val="0"/>
          <w:numId w:val="1004"/>
        </w:numPr>
      </w:pPr>
      <w:r>
        <w:rPr>
          <w:b/>
          <w:bCs/>
        </w:rPr>
        <w:t xml:space="preserve">Croisement sécurisation × mode d’acquisition</w:t>
      </w:r>
      <w:r>
        <w:t xml:space="preserve"> </w:t>
      </w:r>
      <w:r>
        <w:t xml:space="preserve">: les parcelles héritées sont-elles moins souvent titrées que les parcelles achetées ?</w:t>
      </w:r>
    </w:p>
    <w:p>
      <w:pPr>
        <w:pStyle w:val="Compact"/>
        <w:numPr>
          <w:ilvl w:val="0"/>
          <w:numId w:val="1004"/>
        </w:numPr>
      </w:pPr>
      <w:r>
        <w:rPr>
          <w:b/>
          <w:bCs/>
        </w:rPr>
        <w:t xml:space="preserve">Superficie possédée vs. superficie exploitée</w:t>
      </w:r>
      <w:r>
        <w:t xml:space="preserve"> </w:t>
      </w:r>
      <w:r>
        <w:t xml:space="preserve">: reconstituer la surface effectivement cultivée par le ménage en combinant</w:t>
      </w:r>
      <w:r>
        <w:t xml:space="preserve"> </w:t>
      </w:r>
      <w:r>
        <w:rPr>
          <w:rStyle w:val="VerbatimChar"/>
        </w:rPr>
        <w:t xml:space="preserve">res_fr30</w:t>
      </w:r>
      <w:r>
        <w:t xml:space="preserve"> </w:t>
      </w:r>
      <w:r>
        <w:t xml:space="preserve">et</w:t>
      </w:r>
      <w:r>
        <w:t xml:space="preserve"> </w:t>
      </w:r>
      <w:r>
        <w:rPr>
          <w:rStyle w:val="VerbatimChar"/>
        </w:rPr>
        <w:t xml:space="preserve">res_fr34</w:t>
      </w:r>
      <w:r>
        <w:t xml:space="preserve">.</w:t>
      </w:r>
    </w:p>
    <w:p>
      <w:pPr>
        <w:pStyle w:val="Compact"/>
        <w:numPr>
          <w:ilvl w:val="0"/>
          <w:numId w:val="1004"/>
        </w:numPr>
      </w:pPr>
      <w:r>
        <w:rPr>
          <w:b/>
          <w:bCs/>
        </w:rPr>
        <w:t xml:space="preserve">Rentes perçues sur les parcelles cédées</w:t>
      </w:r>
      <w:r>
        <w:t xml:space="preserve"> </w:t>
      </w:r>
      <w:r>
        <w:t xml:space="preserve">(</w:t>
      </w:r>
      <w:r>
        <w:rPr>
          <w:rStyle w:val="VerbatimChar"/>
        </w:rPr>
        <w:t xml:space="preserve">fr33m1</w:t>
      </w:r>
      <w:r>
        <w:t xml:space="preserve">,</w:t>
      </w:r>
      <w:r>
        <w:t xml:space="preserve"> </w:t>
      </w:r>
      <w:r>
        <w:rPr>
          <w:rStyle w:val="VerbatimChar"/>
        </w:rPr>
        <w:t xml:space="preserve">fr33m2</w:t>
      </w:r>
      <w:r>
        <w:t xml:space="preserve">,</w:t>
      </w:r>
      <w:r>
        <w:t xml:space="preserve"> </w:t>
      </w:r>
      <w:r>
        <w:rPr>
          <w:rStyle w:val="VerbatimChar"/>
        </w:rPr>
        <w:t xml:space="preserve">fr33n</w:t>
      </w:r>
      <w:r>
        <w:t xml:space="preserve">) : montants moyens des loyers et parts de métayage perçus.</w:t>
      </w:r>
    </w:p>
    <w:p>
      <w:pPr>
        <w:pStyle w:val="Compact"/>
        <w:numPr>
          <w:ilvl w:val="0"/>
          <w:numId w:val="1004"/>
        </w:numPr>
      </w:pPr>
      <w:r>
        <w:rPr>
          <w:b/>
          <w:bCs/>
        </w:rPr>
        <w:t xml:space="preserve">Nom sur le titre/certificat</w:t>
      </w:r>
      <w:r>
        <w:t xml:space="preserve"> </w:t>
      </w:r>
      <w:r>
        <w:t xml:space="preserve">(</w:t>
      </w:r>
      <w:r>
        <w:rPr>
          <w:rStyle w:val="VerbatimChar"/>
        </w:rPr>
        <w:t xml:space="preserve">fr30k</w:t>
      </w:r>
      <w:r>
        <w:t xml:space="preserve">,</w:t>
      </w:r>
      <w:r>
        <w:t xml:space="preserve"> </w:t>
      </w:r>
      <w:r>
        <w:rPr>
          <w:rStyle w:val="VerbatimChar"/>
        </w:rPr>
        <w:t xml:space="preserve">fr30m</w:t>
      </w:r>
      <w:r>
        <w:t xml:space="preserve">) : la correspondance entre le titulaire du document et le propriétaire déclaré mériterait une analyse genrée.</w:t>
      </w:r>
    </w:p>
    <w:bookmarkEnd w:id="366"/>
    <w:bookmarkEnd w:id="367"/>
    <w:bookmarkStart w:id="529"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68" name="Picture"/>
                  <a:graphic>
                    <a:graphicData uri="http://schemas.openxmlformats.org/drawingml/2006/picture">
                      <pic:pic>
                        <pic:nvPicPr>
                          <pic:cNvPr descr="C:\Users\fbede\AppData\Local\Programs\Quarto\share\formats\docx\warning.png" id="3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62" w:name="sec-agriculture"/>
    <w:p>
      <w:pPr>
        <w:pStyle w:val="Titre2"/>
      </w:pPr>
      <w:r>
        <w:t xml:space="preserve">5.1 Agriculture</w:t>
      </w:r>
    </w:p>
    <w:bookmarkStart w:id="431" w:name="sec-riziculture"/>
    <w:p>
      <w:pPr>
        <w:pStyle w:val="Titre3"/>
      </w:pPr>
      <w:r>
        <w:t xml:space="preserve">5.1.1 Riziculture</w:t>
      </w:r>
    </w:p>
    <w:p>
      <w:pPr>
        <w:pStyle w:val="FirstParagraph"/>
      </w:pPr>
      <w:r>
        <w:t xml:space="preserve">La riziculture est l’activité agricole dominante.</w:t>
      </w:r>
    </w:p>
    <w:p>
      <w:pPr>
        <w:pStyle w:val="Corpsdetexte"/>
      </w:pPr>
      <w:r>
        <w:t xml:space="preserve">Dans l’Alaotra, 58.3 % des ménages pratiquent la riziculture. Les riziculteurs exploitent en moyenne 1.4 parcelles (superficie moyenne de 57 ares).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370"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370"/>
          <w:p/>
        </w:tc>
      </w:tr>
    </w:tbl>
    <w:bookmarkStart w:id="379"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Dans l’Alaotra, le mode de faire valoir dominant est le faire valoir direct (59.7 % des parcelles).</w:t>
      </w:r>
    </w:p>
    <w:p>
      <w:pPr>
        <w:pStyle w:val="Corpsdetexte"/>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374"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3979333"/>
                  <wp:effectExtent b="0" l="0" r="0" t="0"/>
                  <wp:docPr descr="" title="" id="372" name="Picture"/>
                  <a:graphic>
                    <a:graphicData uri="http://schemas.openxmlformats.org/drawingml/2006/picture">
                      <pic:pic>
                        <pic:nvPicPr>
                          <pic:cNvPr descr="05_agriculture_files/figure-docx/fig-tenure-riz-1.png" id="373" name="Picture"/>
                          <pic:cNvPicPr>
                            <a:picLocks noChangeArrowheads="1" noChangeAspect="1"/>
                          </pic:cNvPicPr>
                        </pic:nvPicPr>
                        <pic:blipFill>
                          <a:blip r:embed="rId371"/>
                          <a:stretch>
                            <a:fillRect/>
                          </a:stretch>
                        </pic:blipFill>
                        <pic:spPr bwMode="auto">
                          <a:xfrm>
                            <a:off x="0" y="0"/>
                            <a:ext cx="5969000" cy="3979333"/>
                          </a:xfrm>
                          <a:prstGeom prst="rect">
                            <a:avLst/>
                          </a:prstGeom>
                          <a:noFill/>
                          <a:ln w="9525">
                            <a:noFill/>
                            <a:headEnd/>
                            <a:tailEnd/>
                          </a:ln>
                        </pic:spPr>
                      </pic:pic>
                    </a:graphicData>
                  </a:graphic>
                </wp:inline>
              </w:drawing>
            </w:r>
          </w:p>
          <w:bookmarkEnd w:id="374"/>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378"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2784151"/>
                  <wp:effectExtent b="0" l="0" r="0" t="0"/>
                  <wp:docPr descr="" title="" id="376" name="Picture"/>
                  <a:graphic>
                    <a:graphicData uri="http://schemas.openxmlformats.org/drawingml/2006/picture">
                      <pic:pic>
                        <pic:nvPicPr>
                          <pic:cNvPr descr="05_agriculture_files/figure-docx/fig-eau-riz-1.png" id="377" name="Picture"/>
                          <pic:cNvPicPr>
                            <a:picLocks noChangeArrowheads="1" noChangeAspect="1"/>
                          </pic:cNvPicPr>
                        </pic:nvPicPr>
                        <pic:blipFill>
                          <a:blip r:embed="rId375"/>
                          <a:stretch>
                            <a:fillRect/>
                          </a:stretch>
                        </pic:blipFill>
                        <pic:spPr bwMode="auto">
                          <a:xfrm>
                            <a:off x="0" y="0"/>
                            <a:ext cx="5969000" cy="2784151"/>
                          </a:xfrm>
                          <a:prstGeom prst="rect">
                            <a:avLst/>
                          </a:prstGeom>
                          <a:noFill/>
                          <a:ln w="9525">
                            <a:noFill/>
                            <a:headEnd/>
                            <a:tailEnd/>
                          </a:ln>
                        </pic:spPr>
                      </pic:pic>
                    </a:graphicData>
                  </a:graphic>
                </wp:inline>
              </w:drawing>
            </w:r>
          </w:p>
          <w:bookmarkEnd w:id="378"/>
        </w:tc>
      </w:tr>
    </w:tbl>
    <w:bookmarkEnd w:id="379"/>
    <w:bookmarkStart w:id="391"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la technique culturale prédominante est le repiquage traditionnel (56 % des parcelles).</w:t>
      </w:r>
    </w:p>
    <w:p>
      <w:pPr>
        <w:pStyle w:val="Corpsdetexte"/>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383"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3378288"/>
                  <wp:effectExtent b="0" l="0" r="0" t="0"/>
                  <wp:docPr descr="" title="" id="381" name="Picture"/>
                  <a:graphic>
                    <a:graphicData uri="http://schemas.openxmlformats.org/drawingml/2006/picture">
                      <pic:pic>
                        <pic:nvPicPr>
                          <pic:cNvPr descr="05_agriculture_files/figure-docx/fig-technique-riz-1.png" id="382" name="Picture"/>
                          <pic:cNvPicPr>
                            <a:picLocks noChangeArrowheads="1" noChangeAspect="1"/>
                          </pic:cNvPicPr>
                        </pic:nvPicPr>
                        <pic:blipFill>
                          <a:blip r:embed="rId380"/>
                          <a:stretch>
                            <a:fillRect/>
                          </a:stretch>
                        </pic:blipFill>
                        <pic:spPr bwMode="auto">
                          <a:xfrm>
                            <a:off x="0" y="0"/>
                            <a:ext cx="5969000" cy="3378288"/>
                          </a:xfrm>
                          <a:prstGeom prst="rect">
                            <a:avLst/>
                          </a:prstGeom>
                          <a:noFill/>
                          <a:ln w="9525">
                            <a:noFill/>
                            <a:headEnd/>
                            <a:tailEnd/>
                          </a:ln>
                        </pic:spPr>
                      </pic:pic>
                    </a:graphicData>
                  </a:graphic>
                </wp:inline>
              </w:drawing>
            </w:r>
          </w:p>
          <w:bookmarkEnd w:id="383"/>
        </w:tc>
      </w:tr>
    </w:tbl>
    <w:tbl>
      <w:tblPr>
        <w:tblStyle w:val="Table"/>
        <w:tblW w:type="pct" w:w="5000"/>
        <w:tblLayout w:type="fixed"/>
        <w:tblLook w:firstRow="0" w:lastRow="0" w:firstColumn="0" w:lastColumn="0" w:noHBand="0" w:noVBand="0" w:val="0000"/>
      </w:tblPr>
      <w:tblGrid>
        <w:gridCol w:w="7920"/>
      </w:tblGrid>
      <w:tr>
        <w:tc>
          <w:tcPr/>
          <w:bookmarkStart w:id="387"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3338909"/>
                  <wp:effectExtent b="0" l="0" r="0" t="0"/>
                  <wp:docPr descr="" title="" id="385" name="Picture"/>
                  <a:graphic>
                    <a:graphicData uri="http://schemas.openxmlformats.org/drawingml/2006/picture">
                      <pic:pic>
                        <pic:nvPicPr>
                          <pic:cNvPr descr="05_agriculture_files/figure-docx/fig-engrais-riz-1.png" id="386" name="Picture"/>
                          <pic:cNvPicPr>
                            <a:picLocks noChangeArrowheads="1" noChangeAspect="1"/>
                          </pic:cNvPicPr>
                        </pic:nvPicPr>
                        <pic:blipFill>
                          <a:blip r:embed="rId384"/>
                          <a:stretch>
                            <a:fillRect/>
                          </a:stretch>
                        </pic:blipFill>
                        <pic:spPr bwMode="auto">
                          <a:xfrm>
                            <a:off x="0" y="0"/>
                            <a:ext cx="5969000" cy="3338909"/>
                          </a:xfrm>
                          <a:prstGeom prst="rect">
                            <a:avLst/>
                          </a:prstGeom>
                          <a:noFill/>
                          <a:ln w="9525">
                            <a:noFill/>
                            <a:headEnd/>
                            <a:tailEnd/>
                          </a:ln>
                        </pic:spPr>
                      </pic:pic>
                    </a:graphicData>
                  </a:graphic>
                </wp:inline>
              </w:drawing>
            </w:r>
          </w:p>
          <w:bookmarkEnd w:id="387"/>
        </w:tc>
      </w:tr>
    </w:tbl>
    <w:p>
      <w:pPr>
        <w:pStyle w:val="CaptionedFigure"/>
      </w:pPr>
      <w:r>
        <w:drawing>
          <wp:inline>
            <wp:extent cx="4620126" cy="4340993"/>
            <wp:effectExtent b="0" l="0" r="0" t="0"/>
            <wp:docPr descr="Mode de travail du sol sur les parcelles rizicoles" title="" id="389" name="Picture"/>
            <a:graphic>
              <a:graphicData uri="http://schemas.openxmlformats.org/drawingml/2006/picture">
                <pic:pic>
                  <pic:nvPicPr>
                    <pic:cNvPr descr="05_agriculture_files/figure-docx/fig_semences_labour-1.png" id="390" name="Picture"/>
                    <pic:cNvPicPr>
                      <a:picLocks noChangeArrowheads="1" noChangeAspect="1"/>
                    </pic:cNvPicPr>
                  </pic:nvPicPr>
                  <pic:blipFill>
                    <a:blip r:embed="rId388"/>
                    <a:stretch>
                      <a:fillRect/>
                    </a:stretch>
                  </pic:blipFill>
                  <pic:spPr bwMode="auto">
                    <a:xfrm>
                      <a:off x="0" y="0"/>
                      <a:ext cx="4620126" cy="4340993"/>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391"/>
    <w:bookmarkStart w:id="403"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w:t>
      </w:r>
    </w:p>
    <w:p>
      <w:pPr>
        <w:pStyle w:val="Corpsdetexte"/>
      </w:pPr>
      <w:r>
        <w:t xml:space="preserve">A Marovoay, le rendement rizicole médian s’établit à 1.2 t/ha (hors 5 % des valeurs extrêmes).</w:t>
      </w:r>
    </w:p>
    <w:p>
      <w:pPr>
        <w:pStyle w:val="CaptionedFigure"/>
      </w:pPr>
      <w:r>
        <w:drawing>
          <wp:inline>
            <wp:extent cx="4620126" cy="3696101"/>
            <wp:effectExtent b="0" l="0" r="0" t="0"/>
            <wp:docPr descr="Perception des rendements rizicoles" title="" id="393" name="Picture"/>
            <a:graphic>
              <a:graphicData uri="http://schemas.openxmlformats.org/drawingml/2006/picture">
                <pic:pic>
                  <pic:nvPicPr>
                    <pic:cNvPr descr="05_agriculture_files/figure-docx/fig_rendement_perception-1.png" id="394" name="Picture"/>
                    <pic:cNvPicPr>
                      <a:picLocks noChangeArrowheads="1" noChangeAspect="1"/>
                    </pic:cNvPicPr>
                  </pic:nvPicPr>
                  <pic:blipFill>
                    <a:blip r:embed="rId39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Perception des rendements rizicoles</w:t>
      </w:r>
    </w:p>
    <w:tbl>
      <w:tblPr>
        <w:tblStyle w:val="Table"/>
        <w:tblW w:type="pct" w:w="5000"/>
        <w:tblLayout w:type="fixed"/>
        <w:tblLook w:firstRow="0" w:lastRow="0" w:firstColumn="0" w:lastColumn="0" w:noHBand="0" w:noVBand="0" w:val="0000"/>
      </w:tblPr>
      <w:tblGrid>
        <w:gridCol w:w="7920"/>
      </w:tblGrid>
      <w:tr>
        <w:tc>
          <w:tcPr/>
          <w:bookmarkStart w:id="398"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396" name="Picture"/>
                  <a:graphic>
                    <a:graphicData uri="http://schemas.openxmlformats.org/drawingml/2006/picture">
                      <pic:pic>
                        <pic:nvPicPr>
                          <pic:cNvPr descr="05_agriculture_files/figure-docx/fig-rendement-riz-tha-1.png" id="397" name="Picture"/>
                          <pic:cNvPicPr>
                            <a:picLocks noChangeArrowheads="1" noChangeAspect="1"/>
                          </pic:cNvPicPr>
                        </pic:nvPicPr>
                        <pic:blipFill>
                          <a:blip r:embed="rId395"/>
                          <a:stretch>
                            <a:fillRect/>
                          </a:stretch>
                        </pic:blipFill>
                        <pic:spPr bwMode="auto">
                          <a:xfrm>
                            <a:off x="0" y="0"/>
                            <a:ext cx="5969000" cy="3316111"/>
                          </a:xfrm>
                          <a:prstGeom prst="rect">
                            <a:avLst/>
                          </a:prstGeom>
                          <a:noFill/>
                          <a:ln w="9525">
                            <a:noFill/>
                            <a:headEnd/>
                            <a:tailEnd/>
                          </a:ln>
                        </pic:spPr>
                      </pic:pic>
                    </a:graphicData>
                  </a:graphic>
                </wp:inline>
              </w:drawing>
            </w:r>
          </w:p>
          <w:bookmarkEnd w:id="398"/>
        </w:tc>
      </w:tr>
    </w:tbl>
    <w:tbl>
      <w:tblPr>
        <w:tblStyle w:val="Table"/>
        <w:tblW w:type="pct" w:w="5000"/>
        <w:tblLayout w:type="fixed"/>
        <w:tblLook w:firstRow="0" w:lastRow="0" w:firstColumn="0" w:lastColumn="0" w:noHBand="0" w:noVBand="0" w:val="0000"/>
      </w:tblPr>
      <w:tblGrid>
        <w:gridCol w:w="7920"/>
      </w:tblGrid>
      <w:tr>
        <w:tc>
          <w:tcPr/>
          <w:bookmarkStart w:id="402"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400" name="Picture"/>
                  <a:graphic>
                    <a:graphicData uri="http://schemas.openxmlformats.org/drawingml/2006/picture">
                      <pic:pic>
                        <pic:nvPicPr>
                          <pic:cNvPr descr="05_agriculture_files/figure-docx/fig-production-riz-1.png" id="401" name="Picture"/>
                          <pic:cNvPicPr>
                            <a:picLocks noChangeArrowheads="1" noChangeAspect="1"/>
                          </pic:cNvPicPr>
                        </pic:nvPicPr>
                        <pic:blipFill>
                          <a:blip r:embed="rId399"/>
                          <a:stretch>
                            <a:fillRect/>
                          </a:stretch>
                        </pic:blipFill>
                        <pic:spPr bwMode="auto">
                          <a:xfrm>
                            <a:off x="0" y="0"/>
                            <a:ext cx="5969000" cy="3730624"/>
                          </a:xfrm>
                          <a:prstGeom prst="rect">
                            <a:avLst/>
                          </a:prstGeom>
                          <a:noFill/>
                          <a:ln w="9525">
                            <a:noFill/>
                            <a:headEnd/>
                            <a:tailEnd/>
                          </a:ln>
                        </pic:spPr>
                      </pic:pic>
                    </a:graphicData>
                  </a:graphic>
                </wp:inline>
              </w:drawing>
            </w:r>
          </w:p>
          <w:bookmarkEnd w:id="402"/>
        </w:tc>
      </w:tr>
    </w:tbl>
    <w:bookmarkEnd w:id="403"/>
    <w:bookmarkStart w:id="416"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407"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2804186"/>
                  <wp:effectExtent b="0" l="0" r="0" t="0"/>
                  <wp:docPr descr="" title="" id="405" name="Picture"/>
                  <a:graphic>
                    <a:graphicData uri="http://schemas.openxmlformats.org/drawingml/2006/picture">
                      <pic:pic>
                        <pic:nvPicPr>
                          <pic:cNvPr descr="05_agriculture_files/figure-docx/fig-topographie-riz-1.png" id="406" name="Picture"/>
                          <pic:cNvPicPr>
                            <a:picLocks noChangeArrowheads="1" noChangeAspect="1"/>
                          </pic:cNvPicPr>
                        </pic:nvPicPr>
                        <pic:blipFill>
                          <a:blip r:embed="rId404"/>
                          <a:stretch>
                            <a:fillRect/>
                          </a:stretch>
                        </pic:blipFill>
                        <pic:spPr bwMode="auto">
                          <a:xfrm>
                            <a:off x="0" y="0"/>
                            <a:ext cx="5969000" cy="2804186"/>
                          </a:xfrm>
                          <a:prstGeom prst="rect">
                            <a:avLst/>
                          </a:prstGeom>
                          <a:noFill/>
                          <a:ln w="9525">
                            <a:noFill/>
                            <a:headEnd/>
                            <a:tailEnd/>
                          </a:ln>
                        </pic:spPr>
                      </pic:pic>
                    </a:graphicData>
                  </a:graphic>
                </wp:inline>
              </w:drawing>
            </w:r>
          </w:p>
          <w:bookmarkEnd w:id="407"/>
        </w:tc>
      </w:tr>
    </w:tbl>
    <w:tbl>
      <w:tblPr>
        <w:tblStyle w:val="Table"/>
        <w:tblW w:type="pct" w:w="5000"/>
        <w:tblLayout w:type="fixed"/>
        <w:tblLook w:firstRow="0" w:lastRow="0" w:firstColumn="0" w:lastColumn="0" w:noHBand="0" w:noVBand="0" w:val="0000"/>
      </w:tblPr>
      <w:tblGrid>
        <w:gridCol w:w="7920"/>
      </w:tblGrid>
      <w:tr>
        <w:tc>
          <w:tcPr/>
          <w:bookmarkStart w:id="411"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409" name="Picture"/>
                  <a:graphic>
                    <a:graphicData uri="http://schemas.openxmlformats.org/drawingml/2006/picture">
                      <pic:pic>
                        <pic:nvPicPr>
                          <pic:cNvPr descr="05_agriculture_files/figure-docx/fig-saison-riz-1.png" id="410" name="Picture"/>
                          <pic:cNvPicPr>
                            <a:picLocks noChangeArrowheads="1" noChangeAspect="1"/>
                          </pic:cNvPicPr>
                        </pic:nvPicPr>
                        <pic:blipFill>
                          <a:blip r:embed="rId408"/>
                          <a:stretch>
                            <a:fillRect/>
                          </a:stretch>
                        </pic:blipFill>
                        <pic:spPr bwMode="auto">
                          <a:xfrm>
                            <a:off x="0" y="0"/>
                            <a:ext cx="5969000" cy="2984500"/>
                          </a:xfrm>
                          <a:prstGeom prst="rect">
                            <a:avLst/>
                          </a:prstGeom>
                          <a:noFill/>
                          <a:ln w="9525">
                            <a:noFill/>
                            <a:headEnd/>
                            <a:tailEnd/>
                          </a:ln>
                        </pic:spPr>
                      </pic:pic>
                    </a:graphicData>
                  </a:graphic>
                </wp:inline>
              </w:drawing>
            </w:r>
          </w:p>
          <w:bookmarkEnd w:id="411"/>
        </w:tc>
      </w:tr>
    </w:tbl>
    <w:tbl>
      <w:tblPr>
        <w:tblStyle w:val="Table"/>
        <w:tblW w:type="pct" w:w="5000"/>
        <w:tblLayout w:type="fixed"/>
        <w:tblLook w:firstRow="0" w:lastRow="0" w:firstColumn="0" w:lastColumn="0" w:noHBand="0" w:noVBand="0" w:val="0000"/>
      </w:tblPr>
      <w:tblGrid>
        <w:gridCol w:w="7920"/>
      </w:tblGrid>
      <w:tr>
        <w:tc>
          <w:tcPr/>
          <w:bookmarkStart w:id="415" w:name="fig-origine-semence"/>
          <w:p>
            <w:pPr>
              <w:jc w:val="center"/>
            </w:pPr>
            <w:pPr>
              <w:jc w:val="left"/>
              <w:spacing w:before="200"/>
              <w:pStyle w:val="ImageCaption"/>
            </w:pPr>
            <w:r>
              <w:t xml:space="preserve">Figure 5.9: Origine des semences de riz</w:t>
            </w:r>
          </w:p>
          <w:p>
            <w:pPr>
              <w:pStyle w:val="Compact"/>
              <w:jc w:val="center"/>
            </w:pPr>
            <w:r>
              <w:drawing>
                <wp:inline>
                  <wp:extent cx="5969000" cy="3040459"/>
                  <wp:effectExtent b="0" l="0" r="0" t="0"/>
                  <wp:docPr descr="" title="" id="413" name="Picture"/>
                  <a:graphic>
                    <a:graphicData uri="http://schemas.openxmlformats.org/drawingml/2006/picture">
                      <pic:pic>
                        <pic:nvPicPr>
                          <pic:cNvPr descr="05_agriculture_files/figure-docx/fig-origine-semence-1.png" id="414" name="Picture"/>
                          <pic:cNvPicPr>
                            <a:picLocks noChangeArrowheads="1" noChangeAspect="1"/>
                          </pic:cNvPicPr>
                        </pic:nvPicPr>
                        <pic:blipFill>
                          <a:blip r:embed="rId412"/>
                          <a:stretch>
                            <a:fillRect/>
                          </a:stretch>
                        </pic:blipFill>
                        <pic:spPr bwMode="auto">
                          <a:xfrm>
                            <a:off x="0" y="0"/>
                            <a:ext cx="5969000" cy="3040459"/>
                          </a:xfrm>
                          <a:prstGeom prst="rect">
                            <a:avLst/>
                          </a:prstGeom>
                          <a:noFill/>
                          <a:ln w="9525">
                            <a:noFill/>
                            <a:headEnd/>
                            <a:tailEnd/>
                          </a:ln>
                        </pic:spPr>
                      </pic:pic>
                    </a:graphicData>
                  </a:graphic>
                </wp:inline>
              </w:drawing>
            </w:r>
          </w:p>
          <w:bookmarkEnd w:id="415"/>
        </w:tc>
      </w:tr>
    </w:tbl>
    <w:bookmarkEnd w:id="416"/>
    <w:bookmarkStart w:id="426"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417" w:name="tbl-ventes-riz-taux"/>
          <w:p>
            <w:pPr>
              <w:jc w:val="center"/>
            </w:pPr>
            <w:pPr>
              <w:jc w:val="left"/>
              <w:spacing w:before="200"/>
              <w:pStyle w:val="ImageCaption"/>
            </w:pPr>
            <w:r>
              <w:t xml:space="preserve">Table 5.2: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417"/>
          <w:p/>
        </w:tc>
      </w:tr>
    </w:tbl>
    <w:tbl>
      <w:tblPr>
        <w:tblStyle w:val="Table"/>
        <w:tblW w:type="pct" w:w="5000"/>
        <w:tblLayout w:type="fixed"/>
        <w:tblLook w:firstRow="0" w:lastRow="0" w:firstColumn="0" w:lastColumn="0" w:noHBand="0" w:noVBand="0" w:val="0000"/>
      </w:tblPr>
      <w:tblGrid>
        <w:gridCol w:w="7920"/>
      </w:tblGrid>
      <w:tr>
        <w:tc>
          <w:tcPr/>
          <w:bookmarkStart w:id="421"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419" name="Picture"/>
                  <a:graphic>
                    <a:graphicData uri="http://schemas.openxmlformats.org/drawingml/2006/picture">
                      <pic:pic>
                        <pic:nvPicPr>
                          <pic:cNvPr descr="05_agriculture_files/figure-docx/fig-ventes-riz-mois-1.png" id="420" name="Picture"/>
                          <pic:cNvPicPr>
                            <a:picLocks noChangeArrowheads="1" noChangeAspect="1"/>
                          </pic:cNvPicPr>
                        </pic:nvPicPr>
                        <pic:blipFill>
                          <a:blip r:embed="rId418"/>
                          <a:stretch>
                            <a:fillRect/>
                          </a:stretch>
                        </pic:blipFill>
                        <pic:spPr bwMode="auto">
                          <a:xfrm>
                            <a:off x="0" y="0"/>
                            <a:ext cx="5969000" cy="3316111"/>
                          </a:xfrm>
                          <a:prstGeom prst="rect">
                            <a:avLst/>
                          </a:prstGeom>
                          <a:noFill/>
                          <a:ln w="9525">
                            <a:noFill/>
                            <a:headEnd/>
                            <a:tailEnd/>
                          </a:ln>
                        </pic:spPr>
                      </pic:pic>
                    </a:graphicData>
                  </a:graphic>
                </wp:inline>
              </w:drawing>
            </w:r>
          </w:p>
          <w:bookmarkEnd w:id="421"/>
        </w:tc>
      </w:tr>
    </w:tbl>
    <w:tbl>
      <w:tblPr>
        <w:tblStyle w:val="Table"/>
        <w:tblW w:type="pct" w:w="5000"/>
        <w:tblLayout w:type="fixed"/>
        <w:tblLook w:firstRow="0" w:lastRow="0" w:firstColumn="0" w:lastColumn="0" w:noHBand="0" w:noVBand="0" w:val="0000"/>
      </w:tblPr>
      <w:tblGrid>
        <w:gridCol w:w="7920"/>
      </w:tblGrid>
      <w:tr>
        <w:tc>
          <w:tcPr/>
          <w:bookmarkStart w:id="425"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423" name="Picture"/>
                  <a:graphic>
                    <a:graphicData uri="http://schemas.openxmlformats.org/drawingml/2006/picture">
                      <pic:pic>
                        <pic:nvPicPr>
                          <pic:cNvPr descr="05_agriculture_files/figure-docx/fig-prix-paddy-1.png" id="424" name="Picture"/>
                          <pic:cNvPicPr>
                            <a:picLocks noChangeArrowheads="1" noChangeAspect="1"/>
                          </pic:cNvPicPr>
                        </pic:nvPicPr>
                        <pic:blipFill>
                          <a:blip r:embed="rId422"/>
                          <a:stretch>
                            <a:fillRect/>
                          </a:stretch>
                        </pic:blipFill>
                        <pic:spPr bwMode="auto">
                          <a:xfrm>
                            <a:off x="0" y="0"/>
                            <a:ext cx="5969000" cy="3730624"/>
                          </a:xfrm>
                          <a:prstGeom prst="rect">
                            <a:avLst/>
                          </a:prstGeom>
                          <a:noFill/>
                          <a:ln w="9525">
                            <a:noFill/>
                            <a:headEnd/>
                            <a:tailEnd/>
                          </a:ln>
                        </pic:spPr>
                      </pic:pic>
                    </a:graphicData>
                  </a:graphic>
                </wp:inline>
              </w:drawing>
            </w:r>
          </w:p>
          <w:bookmarkEnd w:id="425"/>
        </w:tc>
      </w:tr>
    </w:tbl>
    <w:bookmarkEnd w:id="426"/>
    <w:bookmarkStart w:id="430"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aptionedFigure"/>
      </w:pPr>
      <w:r>
        <w:drawing>
          <wp:inline>
            <wp:extent cx="4620126" cy="3696101"/>
            <wp:effectExtent b="0" l="0" r="0" t="0"/>
            <wp:docPr descr="Bilan rizicole moyen par ménage (kg de paddy)" title="" id="428" name="Picture"/>
            <a:graphic>
              <a:graphicData uri="http://schemas.openxmlformats.org/drawingml/2006/picture">
                <pic:pic>
                  <pic:nvPicPr>
                    <pic:cNvPr descr="05_agriculture_files/figure-docx/fig_bilan_riz-1.png" id="429" name="Picture"/>
                    <pic:cNvPicPr>
                      <a:picLocks noChangeArrowheads="1" noChangeAspect="1"/>
                    </pic:cNvPicPr>
                  </pic:nvPicPr>
                  <pic:blipFill>
                    <a:blip r:embed="rId4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430"/>
    <w:bookmarkEnd w:id="431"/>
    <w:bookmarkStart w:id="450"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Dans l’Alaotra, au-delà du riz, 52 % des ménages pratiquent au moins une culture non rizicole.</w:t>
      </w:r>
    </w:p>
    <w:p>
      <w:pPr>
        <w:pStyle w:val="Corpsdetexte"/>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432" w:name="tbl-pratique-autres"/>
          <w:p>
            <w:pPr>
              <w:jc w:val="center"/>
            </w:pPr>
            <w:pPr>
              <w:jc w:val="left"/>
              <w:spacing w:before="200"/>
              <w:pStyle w:val="ImageCaption"/>
            </w:pPr>
            <w:r>
              <w:t xml:space="preserve">Table 5.3: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432"/>
          <w:p/>
        </w:tc>
      </w:tr>
    </w:tbl>
    <w:bookmarkStart w:id="441"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Dans l’Alaotra, les ménages cultivent un nombre médian de 1 cultures non rizicoles.</w:t>
      </w:r>
    </w:p>
    <w:p>
      <w:pPr>
        <w:pStyle w:val="Corpsdetexte"/>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436"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434" name="Picture"/>
                  <a:graphic>
                    <a:graphicData uri="http://schemas.openxmlformats.org/drawingml/2006/picture">
                      <pic:pic>
                        <pic:nvPicPr>
                          <pic:cNvPr descr="05_agriculture_files/figure-docx/fig-diversification-1.png" id="435" name="Picture"/>
                          <pic:cNvPicPr>
                            <a:picLocks noChangeArrowheads="1" noChangeAspect="1"/>
                          </pic:cNvPicPr>
                        </pic:nvPicPr>
                        <pic:blipFill>
                          <a:blip r:embed="rId433"/>
                          <a:stretch>
                            <a:fillRect/>
                          </a:stretch>
                        </pic:blipFill>
                        <pic:spPr bwMode="auto">
                          <a:xfrm>
                            <a:off x="0" y="0"/>
                            <a:ext cx="5969000" cy="3730624"/>
                          </a:xfrm>
                          <a:prstGeom prst="rect">
                            <a:avLst/>
                          </a:prstGeom>
                          <a:noFill/>
                          <a:ln w="9525">
                            <a:noFill/>
                            <a:headEnd/>
                            <a:tailEnd/>
                          </a:ln>
                        </pic:spPr>
                      </pic:pic>
                    </a:graphicData>
                  </a:graphic>
                </wp:inline>
              </w:drawing>
            </w:r>
          </w:p>
          <w:bookmarkEnd w:id="436"/>
        </w:tc>
      </w:tr>
    </w:tbl>
    <w:tbl>
      <w:tblPr>
        <w:tblStyle w:val="Table"/>
        <w:tblW w:type="pct" w:w="5000"/>
        <w:tblLayout w:type="fixed"/>
        <w:tblLook w:firstRow="0" w:lastRow="0" w:firstColumn="0" w:lastColumn="0" w:noHBand="0" w:noVBand="0" w:val="0000"/>
      </w:tblPr>
      <w:tblGrid>
        <w:gridCol w:w="7920"/>
      </w:tblGrid>
      <w:tr>
        <w:tc>
          <w:tcPr/>
          <w:bookmarkStart w:id="440"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10265436"/>
                  <wp:effectExtent b="0" l="0" r="0" t="0"/>
                  <wp:docPr descr="" title="" id="438" name="Picture"/>
                  <a:graphic>
                    <a:graphicData uri="http://schemas.openxmlformats.org/drawingml/2006/picture">
                      <pic:pic>
                        <pic:nvPicPr>
                          <pic:cNvPr descr="05_agriculture_files/figure-docx/fig-top-cultures-1.png" id="439" name="Picture"/>
                          <pic:cNvPicPr>
                            <a:picLocks noChangeArrowheads="1" noChangeAspect="1"/>
                          </pic:cNvPicPr>
                        </pic:nvPicPr>
                        <pic:blipFill>
                          <a:blip r:embed="rId437"/>
                          <a:stretch>
                            <a:fillRect/>
                          </a:stretch>
                        </pic:blipFill>
                        <pic:spPr bwMode="auto">
                          <a:xfrm>
                            <a:off x="0" y="0"/>
                            <a:ext cx="5969000" cy="10265436"/>
                          </a:xfrm>
                          <a:prstGeom prst="rect">
                            <a:avLst/>
                          </a:prstGeom>
                          <a:noFill/>
                          <a:ln w="9525">
                            <a:noFill/>
                            <a:headEnd/>
                            <a:tailEnd/>
                          </a:ln>
                        </pic:spPr>
                      </pic:pic>
                    </a:graphicData>
                  </a:graphic>
                </wp:inline>
              </w:drawing>
            </w:r>
          </w:p>
          <w:bookmarkEnd w:id="440"/>
        </w:tc>
      </w:tr>
    </w:tbl>
    <w:bookmarkEnd w:id="441"/>
    <w:bookmarkStart w:id="447"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445"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2804186"/>
                  <wp:effectExtent b="0" l="0" r="0" t="0"/>
                  <wp:docPr descr="" title="" id="443" name="Picture"/>
                  <a:graphic>
                    <a:graphicData uri="http://schemas.openxmlformats.org/drawingml/2006/picture">
                      <pic:pic>
                        <pic:nvPicPr>
                          <pic:cNvPr descr="05_agriculture_files/figure-docx/fig-engrais-autres-1.png" id="444" name="Picture"/>
                          <pic:cNvPicPr>
                            <a:picLocks noChangeArrowheads="1" noChangeAspect="1"/>
                          </pic:cNvPicPr>
                        </pic:nvPicPr>
                        <pic:blipFill>
                          <a:blip r:embed="rId442"/>
                          <a:stretch>
                            <a:fillRect/>
                          </a:stretch>
                        </pic:blipFill>
                        <pic:spPr bwMode="auto">
                          <a:xfrm>
                            <a:off x="0" y="0"/>
                            <a:ext cx="5969000" cy="2804186"/>
                          </a:xfrm>
                          <a:prstGeom prst="rect">
                            <a:avLst/>
                          </a:prstGeom>
                          <a:noFill/>
                          <a:ln w="9525">
                            <a:noFill/>
                            <a:headEnd/>
                            <a:tailEnd/>
                          </a:ln>
                        </pic:spPr>
                      </pic:pic>
                    </a:graphicData>
                  </a:graphic>
                </wp:inline>
              </w:drawing>
            </w:r>
          </w:p>
          <w:bookmarkEnd w:id="445"/>
        </w:tc>
      </w:tr>
    </w:tbl>
    <w:tbl>
      <w:tblPr>
        <w:tblStyle w:val="Table"/>
        <w:tblW w:type="pct" w:w="5000"/>
        <w:tblLayout w:type="fixed"/>
        <w:tblLook w:firstRow="0" w:lastRow="0" w:firstColumn="0" w:lastColumn="0" w:noHBand="0" w:noVBand="0" w:val="0000"/>
      </w:tblPr>
      <w:tblGrid>
        <w:gridCol w:w="7920"/>
      </w:tblGrid>
      <w:tr>
        <w:tc>
          <w:tcPr/>
          <w:bookmarkStart w:id="446" w:name="tbl-production-autres"/>
          <w:p>
            <w:pPr>
              <w:jc w:val="center"/>
            </w:pPr>
            <w:pPr>
              <w:jc w:val="left"/>
              <w:spacing w:before="200"/>
              <w:pStyle w:val="ImageCaption"/>
            </w:pPr>
            <w:r>
              <w:t xml:space="preserve">Table 5.4: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446"/>
          <w:p/>
        </w:tc>
      </w:tr>
    </w:tbl>
    <w:bookmarkEnd w:id="447"/>
    <w:bookmarkStart w:id="449"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448" w:name="tbl-rendement-autres"/>
          <w:p>
            <w:pPr>
              <w:jc w:val="center"/>
            </w:pPr>
            <w:pPr>
              <w:jc w:val="left"/>
              <w:spacing w:before="200"/>
              <w:pStyle w:val="ImageCaption"/>
            </w:pPr>
            <w:r>
              <w:t xml:space="preserve">Table 5.5: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448"/>
          <w:p/>
        </w:tc>
      </w:tr>
    </w:tbl>
    <w:bookmarkEnd w:id="449"/>
    <w:bookmarkEnd w:id="450"/>
    <w:bookmarkStart w:id="456"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451" w:name="tbl-jardin-pratique"/>
          <w:p>
            <w:pPr>
              <w:jc w:val="center"/>
            </w:pPr>
            <w:pPr>
              <w:jc w:val="left"/>
              <w:spacing w:before="200"/>
              <w:pStyle w:val="ImageCaption"/>
            </w:pPr>
            <w:r>
              <w:t xml:space="preserve">Table 5.6: Pratique du jardin potager et de la cueillette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36</w:t>
                  </w:r>
                </w:p>
              </w:tc>
              <w:tc>
                <w:tcPr/>
                <w:p>
                  <w:pPr>
                    <w:pStyle w:val="Compact"/>
                    <w:jc w:val="right"/>
                    <w:jc w:val="center"/>
                  </w:pPr>
                  <w:r>
                    <w:t xml:space="preserve">45</w:t>
                  </w:r>
                </w:p>
              </w:tc>
            </w:tr>
          </w:tbl>
          <w:bookmarkEnd w:id="451"/>
          <w:p/>
        </w:tc>
      </w:tr>
    </w:tbl>
    <w:tbl>
      <w:tblPr>
        <w:tblStyle w:val="Table"/>
        <w:tblW w:type="pct" w:w="5000"/>
        <w:tblLayout w:type="fixed"/>
        <w:tblLook w:firstRow="0" w:lastRow="0" w:firstColumn="0" w:lastColumn="0" w:noHBand="0" w:noVBand="0" w:val="0000"/>
      </w:tblPr>
      <w:tblGrid>
        <w:gridCol w:w="7920"/>
      </w:tblGrid>
      <w:tr>
        <w:tc>
          <w:tcPr/>
          <w:bookmarkStart w:id="455"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6565900"/>
                  <wp:effectExtent b="0" l="0" r="0" t="0"/>
                  <wp:docPr descr="" title="" id="453" name="Picture"/>
                  <a:graphic>
                    <a:graphicData uri="http://schemas.openxmlformats.org/drawingml/2006/picture">
                      <pic:pic>
                        <pic:nvPicPr>
                          <pic:cNvPr descr="05_agriculture_files/figure-docx/fig-top-jardin-1.png" id="454" name="Picture"/>
                          <pic:cNvPicPr>
                            <a:picLocks noChangeArrowheads="1" noChangeAspect="1"/>
                          </pic:cNvPicPr>
                        </pic:nvPicPr>
                        <pic:blipFill>
                          <a:blip r:embed="rId452"/>
                          <a:stretch>
                            <a:fillRect/>
                          </a:stretch>
                        </pic:blipFill>
                        <pic:spPr bwMode="auto">
                          <a:xfrm>
                            <a:off x="0" y="0"/>
                            <a:ext cx="5969000" cy="6565900"/>
                          </a:xfrm>
                          <a:prstGeom prst="rect">
                            <a:avLst/>
                          </a:prstGeom>
                          <a:noFill/>
                          <a:ln w="9525">
                            <a:noFill/>
                            <a:headEnd/>
                            <a:tailEnd/>
                          </a:ln>
                        </pic:spPr>
                      </pic:pic>
                    </a:graphicData>
                  </a:graphic>
                </wp:inline>
              </w:drawing>
            </w:r>
          </w:p>
          <w:bookmarkEnd w:id="455"/>
        </w:tc>
      </w:tr>
    </w:tbl>
    <w:bookmarkEnd w:id="456"/>
    <w:bookmarkStart w:id="461"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460"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2183106"/>
                  <wp:effectExtent b="0" l="0" r="0" t="0"/>
                  <wp:docPr descr="" title="" id="458" name="Picture"/>
                  <a:graphic>
                    <a:graphicData uri="http://schemas.openxmlformats.org/drawingml/2006/picture">
                      <pic:pic>
                        <pic:nvPicPr>
                          <pic:cNvPr descr="05_agriculture_files/figure-docx/fig-produits-foret-1.png" id="459" name="Picture"/>
                          <pic:cNvPicPr>
                            <a:picLocks noChangeArrowheads="1" noChangeAspect="1"/>
                          </pic:cNvPicPr>
                        </pic:nvPicPr>
                        <pic:blipFill>
                          <a:blip r:embed="rId457"/>
                          <a:stretch>
                            <a:fillRect/>
                          </a:stretch>
                        </pic:blipFill>
                        <pic:spPr bwMode="auto">
                          <a:xfrm>
                            <a:off x="0" y="0"/>
                            <a:ext cx="5969000" cy="2183106"/>
                          </a:xfrm>
                          <a:prstGeom prst="rect">
                            <a:avLst/>
                          </a:prstGeom>
                          <a:noFill/>
                          <a:ln w="9525">
                            <a:noFill/>
                            <a:headEnd/>
                            <a:tailEnd/>
                          </a:ln>
                        </pic:spPr>
                      </pic:pic>
                    </a:graphicData>
                  </a:graphic>
                </wp:inline>
              </w:drawing>
            </w:r>
          </w:p>
          <w:bookmarkEnd w:id="460"/>
        </w:tc>
      </w:tr>
    </w:tbl>
    <w:bookmarkEnd w:id="461"/>
    <w:bookmarkEnd w:id="462"/>
    <w:bookmarkStart w:id="485" w:name="sec-elevage"/>
    <w:p>
      <w:pPr>
        <w:pStyle w:val="Titre2"/>
      </w:pPr>
      <w:r>
        <w:t xml:space="preserve">5.2 Élevage</w:t>
      </w:r>
    </w:p>
    <w:bookmarkStart w:id="464"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463" w:name="tbl-elevage-pratique"/>
          <w:p>
            <w:pPr>
              <w:jc w:val="center"/>
            </w:pPr>
            <w:pPr>
              <w:jc w:val="left"/>
              <w:spacing w:before="200"/>
              <w:pStyle w:val="ImageCaption"/>
            </w:pPr>
            <w:r>
              <w:t xml:space="preserve">Table 5.7: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463"/>
          <w:p/>
        </w:tc>
      </w:tr>
    </w:tbl>
    <w:bookmarkEnd w:id="464"/>
    <w:bookmarkStart w:id="469"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Dans l’Alaotra, L’espèce la plus élevée est le Kisoa.</w:t>
      </w:r>
    </w:p>
    <w:p>
      <w:pPr>
        <w:pStyle w:val="Corpsdetexte"/>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468"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3817672"/>
                  <wp:effectExtent b="0" l="0" r="0" t="0"/>
                  <wp:docPr descr="" title="" id="466" name="Picture"/>
                  <a:graphic>
                    <a:graphicData uri="http://schemas.openxmlformats.org/drawingml/2006/picture">
                      <pic:pic>
                        <pic:nvPicPr>
                          <pic:cNvPr descr="05_agriculture_files/figure-docx/fig-especes-elevage-1.png" id="467" name="Picture"/>
                          <pic:cNvPicPr>
                            <a:picLocks noChangeArrowheads="1" noChangeAspect="1"/>
                          </pic:cNvPicPr>
                        </pic:nvPicPr>
                        <pic:blipFill>
                          <a:blip r:embed="rId465"/>
                          <a:stretch>
                            <a:fillRect/>
                          </a:stretch>
                        </pic:blipFill>
                        <pic:spPr bwMode="auto">
                          <a:xfrm>
                            <a:off x="0" y="0"/>
                            <a:ext cx="5969000" cy="3817672"/>
                          </a:xfrm>
                          <a:prstGeom prst="rect">
                            <a:avLst/>
                          </a:prstGeom>
                          <a:noFill/>
                          <a:ln w="9525">
                            <a:noFill/>
                            <a:headEnd/>
                            <a:tailEnd/>
                          </a:ln>
                        </pic:spPr>
                      </pic:pic>
                    </a:graphicData>
                  </a:graphic>
                </wp:inline>
              </w:drawing>
            </w:r>
          </w:p>
          <w:bookmarkEnd w:id="468"/>
        </w:tc>
      </w:tr>
    </w:tbl>
    <w:bookmarkEnd w:id="469"/>
    <w:bookmarkStart w:id="474"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473"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471" name="Picture"/>
                  <a:graphic>
                    <a:graphicData uri="http://schemas.openxmlformats.org/drawingml/2006/picture">
                      <pic:pic>
                        <pic:nvPicPr>
                          <pic:cNvPr descr="05_agriculture_files/figure-docx/fig-objectifs-elevage-1.png" id="472" name="Picture"/>
                          <pic:cNvPicPr>
                            <a:picLocks noChangeArrowheads="1" noChangeAspect="1"/>
                          </pic:cNvPicPr>
                        </pic:nvPicPr>
                        <pic:blipFill>
                          <a:blip r:embed="rId470"/>
                          <a:stretch>
                            <a:fillRect/>
                          </a:stretch>
                        </pic:blipFill>
                        <pic:spPr bwMode="auto">
                          <a:xfrm>
                            <a:off x="0" y="0"/>
                            <a:ext cx="5969000" cy="3581400"/>
                          </a:xfrm>
                          <a:prstGeom prst="rect">
                            <a:avLst/>
                          </a:prstGeom>
                          <a:noFill/>
                          <a:ln w="9525">
                            <a:noFill/>
                            <a:headEnd/>
                            <a:tailEnd/>
                          </a:ln>
                        </pic:spPr>
                      </pic:pic>
                    </a:graphicData>
                  </a:graphic>
                </wp:inline>
              </w:drawing>
            </w:r>
          </w:p>
          <w:bookmarkEnd w:id="473"/>
        </w:tc>
      </w:tr>
    </w:tbl>
    <w:bookmarkEnd w:id="474"/>
    <w:bookmarkStart w:id="480"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475" w:name="tbl-ventes-elevage"/>
          <w:p>
            <w:pPr>
              <w:jc w:val="center"/>
            </w:pPr>
            <w:pPr>
              <w:jc w:val="left"/>
              <w:spacing w:before="200"/>
              <w:pStyle w:val="ImageCaption"/>
            </w:pPr>
            <w:r>
              <w:t xml:space="preserve">Table 5.8: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475"/>
          <w:p/>
        </w:tc>
      </w:tr>
    </w:tbl>
    <w:tbl>
      <w:tblPr>
        <w:tblStyle w:val="Table"/>
        <w:tblW w:type="pct" w:w="5000"/>
        <w:tblLayout w:type="fixed"/>
        <w:tblLook w:firstRow="0" w:lastRow="0" w:firstColumn="0" w:lastColumn="0" w:noHBand="0" w:noVBand="0" w:val="0000"/>
      </w:tblPr>
      <w:tblGrid>
        <w:gridCol w:w="7920"/>
      </w:tblGrid>
      <w:tr>
        <w:tc>
          <w:tcPr/>
          <w:bookmarkStart w:id="479"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3979333"/>
                  <wp:effectExtent b="0" l="0" r="0" t="0"/>
                  <wp:docPr descr="" title="" id="477" name="Picture"/>
                  <a:graphic>
                    <a:graphicData uri="http://schemas.openxmlformats.org/drawingml/2006/picture">
                      <pic:pic>
                        <pic:nvPicPr>
                          <pic:cNvPr descr="05_agriculture_files/figure-docx/fig-pertes-elevage-1.png" id="478" name="Picture"/>
                          <pic:cNvPicPr>
                            <a:picLocks noChangeArrowheads="1" noChangeAspect="1"/>
                          </pic:cNvPicPr>
                        </pic:nvPicPr>
                        <pic:blipFill>
                          <a:blip r:embed="rId476"/>
                          <a:stretch>
                            <a:fillRect/>
                          </a:stretch>
                        </pic:blipFill>
                        <pic:spPr bwMode="auto">
                          <a:xfrm>
                            <a:off x="0" y="0"/>
                            <a:ext cx="5969000" cy="3979333"/>
                          </a:xfrm>
                          <a:prstGeom prst="rect">
                            <a:avLst/>
                          </a:prstGeom>
                          <a:noFill/>
                          <a:ln w="9525">
                            <a:noFill/>
                            <a:headEnd/>
                            <a:tailEnd/>
                          </a:ln>
                        </pic:spPr>
                      </pic:pic>
                    </a:graphicData>
                  </a:graphic>
                </wp:inline>
              </w:drawing>
            </w:r>
          </w:p>
          <w:bookmarkEnd w:id="479"/>
        </w:tc>
      </w:tr>
    </w:tbl>
    <w:bookmarkEnd w:id="480"/>
    <w:bookmarkStart w:id="484"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aptionedFigure"/>
      </w:pPr>
      <w:r>
        <w:drawing>
          <wp:inline>
            <wp:extent cx="4620126" cy="5544151"/>
            <wp:effectExtent b="0" l="0" r="0" t="0"/>
            <wp:docPr descr="Produits de l’élevage déclarés par les ménages" title="" id="482" name="Picture"/>
            <a:graphic>
              <a:graphicData uri="http://schemas.openxmlformats.org/drawingml/2006/picture">
                <pic:pic>
                  <pic:nvPicPr>
                    <pic:cNvPr descr="05_agriculture_files/figure-docx/fig_produits_elevage-1.png" id="483" name="Picture"/>
                    <pic:cNvPicPr>
                      <a:picLocks noChangeArrowheads="1" noChangeAspect="1"/>
                    </pic:cNvPicPr>
                  </pic:nvPicPr>
                  <pic:blipFill>
                    <a:blip r:embed="rId481"/>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484"/>
    <w:bookmarkEnd w:id="485"/>
    <w:bookmarkStart w:id="504"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Dans l’Alaotra, Ces activités sont pratiquées par 18.3 % des ménages.</w:t>
      </w:r>
    </w:p>
    <w:p>
      <w:pPr>
        <w:pStyle w:val="Corpsdetexte"/>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486" w:name="tbl-chasse-peche-pratique"/>
          <w:p>
            <w:pPr>
              <w:jc w:val="center"/>
            </w:pPr>
            <w:pPr>
              <w:jc w:val="left"/>
              <w:spacing w:before="200"/>
              <w:pStyle w:val="ImageCaption"/>
            </w:pPr>
            <w:r>
              <w:t xml:space="preserve">Table 5.9: Taux de pratique de la chasse et de la pêche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34</w:t>
                  </w:r>
                </w:p>
              </w:tc>
              <w:tc>
                <w:tcPr/>
                <w:p>
                  <w:pPr>
                    <w:pStyle w:val="Compact"/>
                    <w:jc w:val="right"/>
                    <w:jc w:val="center"/>
                  </w:pPr>
                  <w:r>
                    <w:t xml:space="preserve">27</w:t>
                  </w:r>
                </w:p>
              </w:tc>
            </w:tr>
          </w:tbl>
          <w:bookmarkEnd w:id="486"/>
          <w:p/>
        </w:tc>
      </w:tr>
    </w:tbl>
    <w:tbl>
      <w:tblPr>
        <w:tblStyle w:val="Table"/>
        <w:tblW w:type="pct" w:w="5000"/>
        <w:tblLayout w:type="fixed"/>
        <w:tblLook w:firstRow="0" w:lastRow="0" w:firstColumn="0" w:lastColumn="0" w:noHBand="0" w:noVBand="0" w:val="0000"/>
      </w:tblPr>
      <w:tblGrid>
        <w:gridCol w:w="7920"/>
      </w:tblGrid>
      <w:tr>
        <w:tc>
          <w:tcPr/>
          <w:bookmarkStart w:id="490"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10265436"/>
                  <wp:effectExtent b="0" l="0" r="0" t="0"/>
                  <wp:docPr descr="" title="" id="488" name="Picture"/>
                  <a:graphic>
                    <a:graphicData uri="http://schemas.openxmlformats.org/drawingml/2006/picture">
                      <pic:pic>
                        <pic:nvPicPr>
                          <pic:cNvPr descr="05_agriculture_files/figure-docx/fig-chasse-especes-1.png" id="489" name="Picture"/>
                          <pic:cNvPicPr>
                            <a:picLocks noChangeArrowheads="1" noChangeAspect="1"/>
                          </pic:cNvPicPr>
                        </pic:nvPicPr>
                        <pic:blipFill>
                          <a:blip r:embed="rId487"/>
                          <a:stretch>
                            <a:fillRect/>
                          </a:stretch>
                        </pic:blipFill>
                        <pic:spPr bwMode="auto">
                          <a:xfrm>
                            <a:off x="0" y="0"/>
                            <a:ext cx="5969000" cy="10265436"/>
                          </a:xfrm>
                          <a:prstGeom prst="rect">
                            <a:avLst/>
                          </a:prstGeom>
                          <a:noFill/>
                          <a:ln w="9525">
                            <a:noFill/>
                            <a:headEnd/>
                            <a:tailEnd/>
                          </a:ln>
                        </pic:spPr>
                      </pic:pic>
                    </a:graphicData>
                  </a:graphic>
                </wp:inline>
              </w:drawing>
            </w:r>
          </w:p>
          <w:bookmarkEnd w:id="490"/>
        </w:tc>
      </w:tr>
    </w:tbl>
    <w:tbl>
      <w:tblPr>
        <w:tblStyle w:val="Table"/>
        <w:tblW w:type="pct" w:w="5000"/>
        <w:tblLayout w:type="fixed"/>
        <w:tblLook w:firstRow="0" w:lastRow="0" w:firstColumn="0" w:lastColumn="0" w:noHBand="0" w:noVBand="0" w:val="0000"/>
      </w:tblPr>
      <w:tblGrid>
        <w:gridCol w:w="7920"/>
      </w:tblGrid>
      <w:tr>
        <w:tc>
          <w:tcPr/>
          <w:bookmarkStart w:id="494"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2829057"/>
                  <wp:effectExtent b="0" l="0" r="0" t="0"/>
                  <wp:docPr descr="" title="" id="492" name="Picture"/>
                  <a:graphic>
                    <a:graphicData uri="http://schemas.openxmlformats.org/drawingml/2006/picture">
                      <pic:pic>
                        <pic:nvPicPr>
                          <pic:cNvPr descr="05_agriculture_files/figure-docx/fig-chasse-raison-1.png" id="493" name="Picture"/>
                          <pic:cNvPicPr>
                            <a:picLocks noChangeArrowheads="1" noChangeAspect="1"/>
                          </pic:cNvPicPr>
                        </pic:nvPicPr>
                        <pic:blipFill>
                          <a:blip r:embed="rId491"/>
                          <a:stretch>
                            <a:fillRect/>
                          </a:stretch>
                        </pic:blipFill>
                        <pic:spPr bwMode="auto">
                          <a:xfrm>
                            <a:off x="0" y="0"/>
                            <a:ext cx="5969000" cy="2829057"/>
                          </a:xfrm>
                          <a:prstGeom prst="rect">
                            <a:avLst/>
                          </a:prstGeom>
                          <a:noFill/>
                          <a:ln w="9525">
                            <a:noFill/>
                            <a:headEnd/>
                            <a:tailEnd/>
                          </a:ln>
                        </pic:spPr>
                      </pic:pic>
                    </a:graphicData>
                  </a:graphic>
                </wp:inline>
              </w:drawing>
            </w:r>
          </w:p>
          <w:bookmarkEnd w:id="494"/>
        </w:tc>
      </w:tr>
    </w:tbl>
    <w:bookmarkStart w:id="503" w:name="fréquence-et-saisonnalité"/>
    <w:p>
      <w:pPr>
        <w:pStyle w:val="Titre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tbl>
      <w:tblPr>
        <w:tblStyle w:val="Table"/>
        <w:tblW w:type="pct" w:w="5000"/>
        <w:tblLayout w:type="fixed"/>
        <w:tblLook w:firstRow="0" w:lastRow="0" w:firstColumn="0" w:lastColumn="0" w:noHBand="0" w:noVBand="0" w:val="0000"/>
      </w:tblPr>
      <w:tblGrid>
        <w:gridCol w:w="7920"/>
      </w:tblGrid>
      <w:tr>
        <w:tc>
          <w:tcPr/>
          <w:bookmarkStart w:id="498" w:name="fig-frequence-peche"/>
          <w:p>
            <w:pPr>
              <w:jc w:val="center"/>
            </w:pPr>
            <w:pPr>
              <w:jc w:val="left"/>
              <w:spacing w:before="200"/>
              <w:pStyle w:val="ImageCaption"/>
            </w:pPr>
            <w:r>
              <w:t xml:space="preserve">Figure 5.22: Fréquence de la chasse/pêche</w:t>
            </w:r>
          </w:p>
          <w:p>
            <w:pPr>
              <w:pStyle w:val="Compact"/>
              <w:jc w:val="center"/>
            </w:pPr>
            <w:r>
              <w:drawing>
                <wp:inline>
                  <wp:extent cx="5969000" cy="3115762"/>
                  <wp:effectExtent b="0" l="0" r="0" t="0"/>
                  <wp:docPr descr="" title="" id="496" name="Picture"/>
                  <a:graphic>
                    <a:graphicData uri="http://schemas.openxmlformats.org/drawingml/2006/picture">
                      <pic:pic>
                        <pic:nvPicPr>
                          <pic:cNvPr descr="05_agriculture_files/figure-docx/fig-frequence-peche-1.png" id="497" name="Picture"/>
                          <pic:cNvPicPr>
                            <a:picLocks noChangeArrowheads="1" noChangeAspect="1"/>
                          </pic:cNvPicPr>
                        </pic:nvPicPr>
                        <pic:blipFill>
                          <a:blip r:embed="rId495"/>
                          <a:stretch>
                            <a:fillRect/>
                          </a:stretch>
                        </pic:blipFill>
                        <pic:spPr bwMode="auto">
                          <a:xfrm>
                            <a:off x="0" y="0"/>
                            <a:ext cx="5969000" cy="3115762"/>
                          </a:xfrm>
                          <a:prstGeom prst="rect">
                            <a:avLst/>
                          </a:prstGeom>
                          <a:noFill/>
                          <a:ln w="9525">
                            <a:noFill/>
                            <a:headEnd/>
                            <a:tailEnd/>
                          </a:ln>
                        </pic:spPr>
                      </pic:pic>
                    </a:graphicData>
                  </a:graphic>
                </wp:inline>
              </w:drawing>
            </w:r>
          </w:p>
          <w:bookmarkEnd w:id="498"/>
        </w:tc>
      </w:tr>
    </w:tbl>
    <w:tbl>
      <w:tblPr>
        <w:tblStyle w:val="Table"/>
        <w:tblW w:type="pct" w:w="5000"/>
        <w:tblLayout w:type="fixed"/>
        <w:tblLook w:firstRow="0" w:lastRow="0" w:firstColumn="0" w:lastColumn="0" w:noHBand="0" w:noVBand="0" w:val="0000"/>
      </w:tblPr>
      <w:tblGrid>
        <w:gridCol w:w="7920"/>
      </w:tblGrid>
      <w:tr>
        <w:tc>
          <w:tcPr/>
          <w:bookmarkStart w:id="502" w:name="fig-saisonnalite-peche"/>
          <w:p>
            <w:pPr>
              <w:jc w:val="center"/>
            </w:pPr>
            <w:pPr>
              <w:jc w:val="left"/>
              <w:spacing w:before="200"/>
              <w:pStyle w:val="ImageCaption"/>
            </w:pPr>
            <w:r>
              <w:t xml:space="preserve">Figure 5.23: Saisonnalité de la chasse/pêche (% de mentions par mois)</w:t>
            </w:r>
          </w:p>
          <w:p>
            <w:pPr>
              <w:pStyle w:val="Compact"/>
              <w:jc w:val="center"/>
            </w:pPr>
            <w:r>
              <w:drawing>
                <wp:inline>
                  <wp:extent cx="5969000" cy="2984500"/>
                  <wp:effectExtent b="0" l="0" r="0" t="0"/>
                  <wp:docPr descr="" title="" id="500" name="Picture"/>
                  <a:graphic>
                    <a:graphicData uri="http://schemas.openxmlformats.org/drawingml/2006/picture">
                      <pic:pic>
                        <pic:nvPicPr>
                          <pic:cNvPr descr="05_agriculture_files/figure-docx/fig-saisonnalite-peche-1.png" id="501" name="Picture"/>
                          <pic:cNvPicPr>
                            <a:picLocks noChangeArrowheads="1" noChangeAspect="1"/>
                          </pic:cNvPicPr>
                        </pic:nvPicPr>
                        <pic:blipFill>
                          <a:blip r:embed="rId499"/>
                          <a:stretch>
                            <a:fillRect/>
                          </a:stretch>
                        </pic:blipFill>
                        <pic:spPr bwMode="auto">
                          <a:xfrm>
                            <a:off x="0" y="0"/>
                            <a:ext cx="5969000" cy="2984500"/>
                          </a:xfrm>
                          <a:prstGeom prst="rect">
                            <a:avLst/>
                          </a:prstGeom>
                          <a:noFill/>
                          <a:ln w="9525">
                            <a:noFill/>
                            <a:headEnd/>
                            <a:tailEnd/>
                          </a:ln>
                        </pic:spPr>
                      </pic:pic>
                    </a:graphicData>
                  </a:graphic>
                </wp:inline>
              </w:drawing>
            </w:r>
          </w:p>
          <w:bookmarkEnd w:id="502"/>
        </w:tc>
      </w:tr>
    </w:tbl>
    <w:bookmarkEnd w:id="503"/>
    <w:bookmarkEnd w:id="504"/>
    <w:bookmarkStart w:id="517" w:name="sec-main-oeuvre"/>
    <w:p>
      <w:pPr>
        <w:pStyle w:val="Titre2"/>
      </w:pPr>
      <w:r>
        <w:t xml:space="preserve">5.4 Main d’oeuvre agricole</w:t>
      </w:r>
    </w:p>
    <w:bookmarkStart w:id="506"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Dans l’Alaotra, Le recours à la main d’œuvre extérieure (salariée ou par entraide) concerne 46.8 % des ménages.</w:t>
      </w:r>
    </w:p>
    <w:p>
      <w:pPr>
        <w:pStyle w:val="Corpsdetexte"/>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505" w:name="tbl-main-oeuvre-pratique"/>
          <w:p>
            <w:pPr>
              <w:jc w:val="center"/>
            </w:pPr>
            <w:pPr>
              <w:jc w:val="left"/>
              <w:spacing w:before="200"/>
              <w:pStyle w:val="ImageCaption"/>
            </w:pPr>
            <w:r>
              <w:t xml:space="preserve">Table 5.10: Recours à la main d’oeuvre agricole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5</w:t>
                  </w:r>
                </w:p>
              </w:tc>
            </w:tr>
          </w:tbl>
          <w:bookmarkEnd w:id="505"/>
          <w:p/>
        </w:tc>
      </w:tr>
    </w:tbl>
    <w:bookmarkEnd w:id="506"/>
    <w:bookmarkStart w:id="508"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507" w:name="tbl-operations-mo"/>
          <w:p>
            <w:pPr>
              <w:jc w:val="center"/>
            </w:pPr>
            <w:pPr>
              <w:jc w:val="left"/>
              <w:spacing w:before="200"/>
              <w:pStyle w:val="ImageCaption"/>
            </w:pPr>
            <w:r>
              <w:t xml:space="preserve">Table 5.11: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507"/>
          <w:p/>
        </w:tc>
      </w:tr>
    </w:tbl>
    <w:bookmarkEnd w:id="508"/>
    <w:bookmarkStart w:id="510"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509" w:name="tbl-main-oeuvre-perm"/>
          <w:p>
            <w:pPr>
              <w:jc w:val="center"/>
            </w:pPr>
            <w:pPr>
              <w:jc w:val="left"/>
              <w:spacing w:before="200"/>
              <w:pStyle w:val="ImageCaption"/>
            </w:pPr>
            <w:r>
              <w:t xml:space="preserve">Table 5.12: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509"/>
          <w:p/>
        </w:tc>
      </w:tr>
    </w:tbl>
    <w:bookmarkEnd w:id="510"/>
    <w:bookmarkStart w:id="516"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514" w:name="fig-cultures-quintile"/>
          <w:p>
            <w:pPr>
              <w:jc w:val="center"/>
            </w:pPr>
            <w:pPr>
              <w:jc w:val="left"/>
              <w:spacing w:before="200"/>
              <w:pStyle w:val="ImageCaption"/>
            </w:pPr>
            <w:r>
              <w:t xml:space="preserve">Figure 5.24: Familles de cultures non rizicoles pratiquées selon le quintile de revenu</w:t>
            </w:r>
          </w:p>
          <w:p>
            <w:pPr>
              <w:pStyle w:val="Compact"/>
              <w:jc w:val="center"/>
            </w:pPr>
            <w:r>
              <w:drawing>
                <wp:inline>
                  <wp:extent cx="5969000" cy="3581400"/>
                  <wp:effectExtent b="0" l="0" r="0" t="0"/>
                  <wp:docPr descr="" title="" id="512" name="Picture"/>
                  <a:graphic>
                    <a:graphicData uri="http://schemas.openxmlformats.org/drawingml/2006/picture">
                      <pic:pic>
                        <pic:nvPicPr>
                          <pic:cNvPr descr="05_agriculture_files/figure-docx/fig-cultures-quintile-1.png" id="513" name="Picture"/>
                          <pic:cNvPicPr>
                            <a:picLocks noChangeArrowheads="1" noChangeAspect="1"/>
                          </pic:cNvPicPr>
                        </pic:nvPicPr>
                        <pic:blipFill>
                          <a:blip r:embed="rId511"/>
                          <a:stretch>
                            <a:fillRect/>
                          </a:stretch>
                        </pic:blipFill>
                        <pic:spPr bwMode="auto">
                          <a:xfrm>
                            <a:off x="0" y="0"/>
                            <a:ext cx="5969000" cy="3581400"/>
                          </a:xfrm>
                          <a:prstGeom prst="rect">
                            <a:avLst/>
                          </a:prstGeom>
                          <a:noFill/>
                          <a:ln w="9525">
                            <a:noFill/>
                            <a:headEnd/>
                            <a:tailEnd/>
                          </a:ln>
                        </pic:spPr>
                      </pic:pic>
                    </a:graphicData>
                  </a:graphic>
                </wp:inline>
              </w:drawing>
            </w:r>
          </w:p>
          <w:bookmarkEnd w:id="514"/>
        </w:tc>
      </w:tr>
    </w:tbl>
    <w:tbl>
      <w:tblPr>
        <w:tblStyle w:val="Table"/>
        <w:tblW w:type="pct" w:w="5000"/>
        <w:tblLayout w:type="fixed"/>
        <w:tblLook w:firstRow="0" w:lastRow="0" w:firstColumn="0" w:lastColumn="0" w:noHBand="0" w:noVBand="0" w:val="0000"/>
      </w:tblPr>
      <w:tblGrid>
        <w:gridCol w:w="7920"/>
      </w:tblGrid>
      <w:tr>
        <w:tc>
          <w:tcPr/>
          <w:bookmarkStart w:id="515" w:name="tbl-cultures-quintile"/>
          <w:p>
            <w:pPr>
              <w:jc w:val="center"/>
            </w:pPr>
            <w:pPr>
              <w:jc w:val="left"/>
              <w:spacing w:before="200"/>
              <w:pStyle w:val="ImageCaption"/>
            </w:pPr>
            <w:r>
              <w:t xml:space="preserve">Table 5.13: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515"/>
          <w:p/>
        </w:tc>
      </w:tr>
    </w:tbl>
    <w:bookmarkEnd w:id="516"/>
    <w:bookmarkEnd w:id="517"/>
    <w:bookmarkStart w:id="527" w:name="sec-agro-multiyear"/>
    <w:p>
      <w:pPr>
        <w:pStyle w:val="Titre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p>
      <w:pPr>
        <w:pStyle w:val="CaptionedFigure"/>
      </w:pPr>
      <w:r>
        <w:drawing>
          <wp:inline>
            <wp:extent cx="5969000" cy="3316111"/>
            <wp:effectExtent b="0" l="0" r="0" t="0"/>
            <wp:docPr descr="Évolution de la production rizicole moyenne par ménage (kg/ménage/an)" title="" id="519" name="Picture"/>
            <a:graphic>
              <a:graphicData uri="http://schemas.openxmlformats.org/drawingml/2006/picture">
                <pic:pic>
                  <pic:nvPicPr>
                    <pic:cNvPr descr="05_agriculture_files/figure-docx/fig_agro_prod_riz-1.png" id="520" name="Picture"/>
                    <pic:cNvPicPr>
                      <a:picLocks noChangeArrowheads="1" noChangeAspect="1"/>
                    </pic:cNvPicPr>
                  </pic:nvPicPr>
                  <pic:blipFill>
                    <a:blip r:embed="rId518"/>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production rizicole moyenne par ménage (kg/ménage/an)</w:t>
      </w:r>
    </w:p>
    <w:p>
      <w:pPr>
        <w:pStyle w:val="CaptionedFigure"/>
      </w:pPr>
      <w:r>
        <w:drawing>
          <wp:inline>
            <wp:extent cx="5969000" cy="3316111"/>
            <wp:effectExtent b="0" l="0" r="0" t="0"/>
            <wp:docPr descr="Évolution du rendement rizicole moyen (kg/are) — années avec données de surface" title="" id="522" name="Picture"/>
            <a:graphic>
              <a:graphicData uri="http://schemas.openxmlformats.org/drawingml/2006/picture">
                <pic:pic>
                  <pic:nvPicPr>
                    <pic:cNvPr descr="05_agriculture_files/figure-docx/fig_agro_rdt_riz-1.png" id="523" name="Picture"/>
                    <pic:cNvPicPr>
                      <a:picLocks noChangeArrowheads="1" noChangeAspect="1"/>
                    </pic:cNvPicPr>
                  </pic:nvPicPr>
                  <pic:blipFill>
                    <a:blip r:embed="rId521"/>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rendement rizicole moyen (kg/are) — années avec données de surface</w:t>
      </w:r>
    </w:p>
    <w:p>
      <w:pPr>
        <w:pStyle w:val="CaptionedFigure"/>
      </w:pPr>
      <w:r>
        <w:drawing>
          <wp:inline>
            <wp:extent cx="5969000" cy="3316111"/>
            <wp:effectExtent b="0" l="0" r="0" t="0"/>
            <wp:docPr descr="Évolution du taux de pratique de l’élevage (1998–2025)" title="" id="525" name="Picture"/>
            <a:graphic>
              <a:graphicData uri="http://schemas.openxmlformats.org/drawingml/2006/picture">
                <pic:pic>
                  <pic:nvPicPr>
                    <pic:cNvPr descr="05_agriculture_files/figure-docx/fig_agro_elevage-1.png" id="526" name="Picture"/>
                    <pic:cNvPicPr>
                      <a:picLocks noChangeArrowheads="1" noChangeAspect="1"/>
                    </pic:cNvPicPr>
                  </pic:nvPicPr>
                  <pic:blipFill>
                    <a:blip r:embed="rId524"/>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taux de pratique de l’élevage (1998–2025)</w:t>
      </w:r>
    </w:p>
    <w:p>
      <w:pPr>
        <w:pStyle w:val="Corpsdetexte"/>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527"/>
    <w:bookmarkStart w:id="528" w:name="sec-pistes-agro"/>
    <w:p>
      <w:pPr>
        <w:pStyle w:val="Titre2"/>
      </w:pPr>
      <w:r>
        <w:t xml:space="preserve">5.6 Pistes d’analyse complémentaires</w:t>
      </w:r>
    </w:p>
    <w:p>
      <w:pPr>
        <w:pStyle w:val="FirstParagraph"/>
      </w:pPr>
      <w:r>
        <w:t xml:space="preserve">Les données collectées offrent des possibilités d’analyse supplémentaires qui n’ont pas été développées dans ce chapitre, faute de certitude sur leur pertinence ou par manque de recul sur la qualité des variables concernées. On peut notamment mentionner :</w:t>
      </w:r>
    </w:p>
    <w:p>
      <w:pPr>
        <w:pStyle w:val="Compact"/>
        <w:numPr>
          <w:ilvl w:val="0"/>
          <w:numId w:val="1005"/>
        </w:numPr>
      </w:pPr>
      <w:r>
        <w:rPr>
          <w:b/>
          <w:bCs/>
        </w:rPr>
        <w:t xml:space="preserve">Détail des ventes de riz</w:t>
      </w:r>
      <w:r>
        <w:t xml:space="preserve"> </w:t>
      </w:r>
      <w:r>
        <w:t xml:space="preserve">(</w:t>
      </w:r>
      <w:r>
        <w:rPr>
          <w:rStyle w:val="VerbatimChar"/>
        </w:rPr>
        <w:t xml:space="preserve">res_dc20</w:t>
      </w:r>
      <w:r>
        <w:t xml:space="preserve">) : les variables</w:t>
      </w:r>
      <w:r>
        <w:t xml:space="preserve"> </w:t>
      </w:r>
      <w:r>
        <w:rPr>
          <w:rStyle w:val="VerbatimChar"/>
        </w:rPr>
        <w:t xml:space="preserve">vs1</w:t>
      </w:r>
      <w:r>
        <w:t xml:space="preserve"> </w:t>
      </w:r>
      <w:r>
        <w:t xml:space="preserve">à</w:t>
      </w:r>
      <w:r>
        <w:t xml:space="preserve"> </w:t>
      </w:r>
      <w:r>
        <w:rPr>
          <w:rStyle w:val="VerbatimChar"/>
        </w:rPr>
        <w:t xml:space="preserve">vs3</w:t>
      </w:r>
      <w:r>
        <w:t xml:space="preserve"> </w:t>
      </w:r>
      <w:r>
        <w:t xml:space="preserve">semblent décomposent les usages du riz vendu (semence, consommation, paiement de main d’œuvre), mais leur codage est un peu complexe/à préciser.</w:t>
      </w:r>
    </w:p>
    <w:p>
      <w:pPr>
        <w:pStyle w:val="Compact"/>
        <w:numPr>
          <w:ilvl w:val="0"/>
          <w:numId w:val="1005"/>
        </w:numPr>
      </w:pPr>
      <w:r>
        <w:rPr>
          <w:b/>
          <w:bCs/>
        </w:rPr>
        <w:t xml:space="preserve">Forme des produits vendus</w:t>
      </w:r>
      <w:r>
        <w:t xml:space="preserve"> </w:t>
      </w:r>
      <w:r>
        <w:t xml:space="preserve">(cultures non rizicoles,</w:t>
      </w:r>
      <w:r>
        <w:t xml:space="preserve"> </w:t>
      </w:r>
      <w:r>
        <w:rPr>
          <w:rStyle w:val="VerbatimChar"/>
        </w:rPr>
        <w:t xml:space="preserve">c37</w:t>
      </w:r>
      <w:r>
        <w:t xml:space="preserve">) : la variable indique si le produit est vendu brut, transformé ou autre — potentiellement utile pour un tableau croisé avec les types de culture.</w:t>
      </w:r>
    </w:p>
    <w:p>
      <w:pPr>
        <w:pStyle w:val="Compact"/>
        <w:numPr>
          <w:ilvl w:val="0"/>
          <w:numId w:val="1005"/>
        </w:numPr>
      </w:pPr>
      <w:r>
        <w:rPr>
          <w:b/>
          <w:bCs/>
        </w:rPr>
        <w:t xml:space="preserve">Coûts détaillés de la main d’œuvre par opération rizicole</w:t>
      </w:r>
      <w:r>
        <w:t xml:space="preserve"> </w:t>
      </w:r>
      <w:r>
        <w:t xml:space="preserve">(</w:t>
      </w:r>
      <w:r>
        <w:rPr>
          <w:rStyle w:val="VerbatimChar"/>
        </w:rPr>
        <w:t xml:space="preserve">res_mor</w:t>
      </w:r>
      <w:r>
        <w:t xml:space="preserve">,</w:t>
      </w:r>
      <w:r>
        <w:t xml:space="preserve"> </w:t>
      </w:r>
      <w:r>
        <w:rPr>
          <w:rStyle w:val="VerbatimChar"/>
        </w:rPr>
        <w:t xml:space="preserve">mor12</w:t>
      </w:r>
      <w:r>
        <w:t xml:space="preserve">) : le salaire total par opération (Asa tany, Mijinja, Manetsa) pourrait être présenté sous forme de tableau comparatif, mais les valeurs présentent une forte dispersion.</w:t>
      </w:r>
    </w:p>
    <w:p>
      <w:pPr>
        <w:pStyle w:val="Compact"/>
        <w:numPr>
          <w:ilvl w:val="0"/>
          <w:numId w:val="1005"/>
        </w:numPr>
      </w:pPr>
      <w:r>
        <w:rPr>
          <w:b/>
          <w:bCs/>
        </w:rPr>
        <w:t xml:space="preserve">Pratiques de nourriture de la main d’oeuvre</w:t>
      </w:r>
      <w:r>
        <w:t xml:space="preserve"> </w:t>
      </w:r>
      <w:r>
        <w:t xml:space="preserve">(</w:t>
      </w:r>
      <w:r>
        <w:rPr>
          <w:rStyle w:val="VerbatimChar"/>
        </w:rPr>
        <w:t xml:space="preserve">res_mor</w:t>
      </w:r>
      <w:r>
        <w:t xml:space="preserve">,</w:t>
      </w:r>
      <w:r>
        <w:t xml:space="preserve"> </w:t>
      </w:r>
      <w:r>
        <w:rPr>
          <w:rStyle w:val="VerbatimChar"/>
        </w:rPr>
        <w:t xml:space="preserve">mor3</w:t>
      </w:r>
      <w:r>
        <w:t xml:space="preserve">) : la variable indique si les salariés ou l’entraide sont nourris pendant le travail.</w:t>
      </w:r>
    </w:p>
    <w:p>
      <w:pPr>
        <w:pStyle w:val="Compact"/>
        <w:numPr>
          <w:ilvl w:val="0"/>
          <w:numId w:val="1005"/>
        </w:numPr>
      </w:pPr>
      <w:r>
        <w:rPr>
          <w:b/>
          <w:bCs/>
        </w:rPr>
        <w:t xml:space="preserve">Effectifs et variations du cheptel</w:t>
      </w:r>
      <w:r>
        <w:t xml:space="preserve"> </w:t>
      </w:r>
      <w:r>
        <w:t xml:space="preserve">(</w:t>
      </w:r>
      <w:r>
        <w:rPr>
          <w:rStyle w:val="VerbatimChar"/>
        </w:rPr>
        <w:t xml:space="preserve">res_ele</w:t>
      </w:r>
      <w:r>
        <w:t xml:space="preserve">) : les variables</w:t>
      </w:r>
      <w:r>
        <w:t xml:space="preserve"> </w:t>
      </w:r>
      <w:r>
        <w:rPr>
          <w:rStyle w:val="VerbatimChar"/>
        </w:rPr>
        <w:t xml:space="preserve">ele1</w:t>
      </w:r>
      <w:r>
        <w:t xml:space="preserve"> </w:t>
      </w:r>
      <w:r>
        <w:t xml:space="preserve">(effectif début),</w:t>
      </w:r>
      <w:r>
        <w:t xml:space="preserve"> </w:t>
      </w:r>
      <w:r>
        <w:rPr>
          <w:rStyle w:val="VerbatimChar"/>
        </w:rPr>
        <w:t xml:space="preserve">ele2</w:t>
      </w:r>
      <w:r>
        <w:t xml:space="preserve"> </w:t>
      </w:r>
      <w:r>
        <w:t xml:space="preserve">(naissances),</w:t>
      </w:r>
      <w:r>
        <w:t xml:space="preserve"> </w:t>
      </w:r>
      <w:r>
        <w:rPr>
          <w:rStyle w:val="VerbatimChar"/>
        </w:rPr>
        <w:t xml:space="preserve">ele3</w:t>
      </w:r>
      <w:r>
        <w:t xml:space="preserve"> </w:t>
      </w:r>
      <w:r>
        <w:t xml:space="preserve">(achats),</w:t>
      </w:r>
      <w:r>
        <w:t xml:space="preserve"> </w:t>
      </w:r>
      <w:r>
        <w:rPr>
          <w:rStyle w:val="VerbatimChar"/>
        </w:rPr>
        <w:t xml:space="preserve">ele_i1</w:t>
      </w:r>
      <w:r>
        <w:t xml:space="preserve"> </w:t>
      </w:r>
      <w:r>
        <w:t xml:space="preserve">(ventes),</w:t>
      </w:r>
      <w:r>
        <w:t xml:space="preserve"> </w:t>
      </w:r>
      <w:r>
        <w:rPr>
          <w:rStyle w:val="VerbatimChar"/>
        </w:rPr>
        <w:t xml:space="preserve">ele_p3</w:t>
      </w:r>
      <w:r>
        <w:t xml:space="preserve"> </w:t>
      </w:r>
      <w:r>
        <w:t xml:space="preserve">(pertes) permettraient de reconstituer un bilan démographique du cheptel par espèce (difficile à exploiter à première vue).</w:t>
      </w:r>
    </w:p>
    <w:bookmarkEnd w:id="528"/>
    <w:bookmarkEnd w:id="529"/>
    <w:bookmarkStart w:id="589"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C:\Users\fbede\AppData\Local\Programs\Quarto\share\formats\docx\warning.png" id="5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562"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p>
      <w:pPr>
        <w:pStyle w:val="Corpsdetexte"/>
      </w:pPr>
      <w:r>
        <w:t xml:space="preserve">A Marovoay, 97.3 % des ménages déclarent au moins un mois de soudure.</w:t>
      </w:r>
    </w:p>
    <w:bookmarkStart w:id="545"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p>
      <w:pPr>
        <w:pStyle w:val="Corpsdetexte"/>
      </w:pPr>
      <w:r>
        <w:t xml:space="preserve">A Marovoay, La soudure dure en moyenne 2.2 mois (médiane : 2).</w:t>
      </w:r>
    </w:p>
    <w:bookmarkStart w:id="532"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532"/>
    <w:bookmarkStart w:id="536" w:name="X7672ed32ab511b42dc575aff782f6587708610f"/>
    <w:p>
      <w:pPr>
        <w:pStyle w:val="Titre4"/>
      </w:pPr>
      <w:r>
        <w:t xml:space="preserve">6.1.1.2 Durée de la soudure par hameau et observatoire</w:t>
      </w:r>
    </w:p>
    <w:p>
      <w:pPr>
        <w:pStyle w:val="CaptionedFigure"/>
      </w:pPr>
      <w:r>
        <w:drawing>
          <wp:inline>
            <wp:extent cx="4620126" cy="3696101"/>
            <wp:effectExtent b="0" l="0" r="0" t="0"/>
            <wp:docPr descr="Durée moyenne de la soudure par hameau" title="" id="534" name="Picture"/>
            <a:graphic>
              <a:graphicData uri="http://schemas.openxmlformats.org/drawingml/2006/picture">
                <pic:pic>
                  <pic:nvPicPr>
                    <pic:cNvPr descr="06_securite_alimentaire_files/figure-docx/fig_soudure_hameau-1.png" id="535" name="Picture"/>
                    <pic:cNvPicPr>
                      <a:picLocks noChangeArrowheads="1" noChangeAspect="1"/>
                    </pic:cNvPicPr>
                  </pic:nvPicPr>
                  <pic:blipFill>
                    <a:blip r:embed="rId53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Durée moyenne de la soudure par hameau</w:t>
      </w:r>
    </w:p>
    <w:bookmarkEnd w:id="536"/>
    <w:bookmarkStart w:id="540"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538" name="Picture"/>
            <a:graphic>
              <a:graphicData uri="http://schemas.openxmlformats.org/drawingml/2006/picture">
                <pic:pic>
                  <pic:nvPicPr>
                    <pic:cNvPr descr="06_securite_alimentaire_files/figure-docx/g1_soudure_distrib-1.png" id="539" name="Picture"/>
                    <pic:cNvPicPr>
                      <a:picLocks noChangeArrowheads="1" noChangeAspect="1"/>
                    </pic:cNvPicPr>
                  </pic:nvPicPr>
                  <pic:blipFill>
                    <a:blip r:embed="rId537"/>
                    <a:stretch>
                      <a:fillRect/>
                    </a:stretch>
                  </pic:blipFill>
                  <pic:spPr bwMode="auto">
                    <a:xfrm>
                      <a:off x="0" y="0"/>
                      <a:ext cx="4620126" cy="3696101"/>
                    </a:xfrm>
                    <a:prstGeom prst="rect">
                      <a:avLst/>
                    </a:prstGeom>
                    <a:noFill/>
                    <a:ln w="9525">
                      <a:noFill/>
                      <a:headEnd/>
                      <a:tailEnd/>
                    </a:ln>
                  </pic:spPr>
                </pic:pic>
              </a:graphicData>
            </a:graphic>
          </wp:inline>
        </w:drawing>
      </w:r>
    </w:p>
    <w:bookmarkEnd w:id="540"/>
    <w:bookmarkStart w:id="544" w:name="calendrier-de-la-soudure"/>
    <w:p>
      <w:pPr>
        <w:pStyle w:val="Titre4"/>
      </w:pPr>
      <w:r>
        <w:t xml:space="preserve">6.1.1.4 Calendrier de la soudure</w:t>
      </w:r>
    </w:p>
    <w:p>
      <w:pPr>
        <w:pStyle w:val="FirstParagraph"/>
      </w:pPr>
      <w:r>
        <w:drawing>
          <wp:inline>
            <wp:extent cx="4620126" cy="3696101"/>
            <wp:effectExtent b="0" l="0" r="0" t="0"/>
            <wp:docPr descr="" title="" id="542" name="Picture"/>
            <a:graphic>
              <a:graphicData uri="http://schemas.openxmlformats.org/drawingml/2006/picture">
                <pic:pic>
                  <pic:nvPicPr>
                    <pic:cNvPr descr="06_securite_alimentaire_files/figure-docx/g2_calendrier_soudure-1.png" id="543" name="Picture"/>
                    <pic:cNvPicPr>
                      <a:picLocks noChangeArrowheads="1" noChangeAspect="1"/>
                    </pic:cNvPicPr>
                  </pic:nvPicPr>
                  <pic:blipFill>
                    <a:blip r:embed="rId541"/>
                    <a:stretch>
                      <a:fillRect/>
                    </a:stretch>
                  </pic:blipFill>
                  <pic:spPr bwMode="auto">
                    <a:xfrm>
                      <a:off x="0" y="0"/>
                      <a:ext cx="4620126" cy="3696101"/>
                    </a:xfrm>
                    <a:prstGeom prst="rect">
                      <a:avLst/>
                    </a:prstGeom>
                    <a:noFill/>
                    <a:ln w="9525">
                      <a:noFill/>
                      <a:headEnd/>
                      <a:tailEnd/>
                    </a:ln>
                  </pic:spPr>
                </pic:pic>
              </a:graphicData>
            </a:graphic>
          </wp:inline>
        </w:drawing>
      </w:r>
    </w:p>
    <w:bookmarkEnd w:id="544"/>
    <w:bookmarkEnd w:id="545"/>
    <w:bookmarkStart w:id="553"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p>
      <w:pPr>
        <w:pStyle w:val="Corpsdetexte"/>
      </w:pPr>
      <w:r>
        <w:t xml:space="preserve">A Marovoay, La durée moyenne du stress alimentaire atteint 3.3 mois.</w:t>
      </w:r>
    </w:p>
    <w:bookmarkStart w:id="546"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546"/>
    <w:bookmarkStart w:id="547" w:name="calendrier-du-stress-alimentaire"/>
    <w:p>
      <w:pPr>
        <w:pStyle w:val="Titre4"/>
      </w:pPr>
      <w:r>
        <w:t xml:space="preserve">6.1.2.2 Calendrier du stress alimentaire</w:t>
      </w:r>
    </w:p>
    <w:bookmarkEnd w:id="547"/>
    <w:bookmarkStart w:id="552" w:name="Xccf58b071d79cc51e6dccc31b240904335e5845"/>
    <w:p>
      <w:pPr>
        <w:pStyle w:val="Titre4"/>
      </w:pPr>
      <w:r>
        <w:t xml:space="preserve">6.1.2.3 Comparaison soudure et stress alimentaire</w:t>
      </w:r>
    </w:p>
    <w:tbl>
      <w:tblPr>
        <w:tblStyle w:val="Table"/>
        <w:tblW w:type="pct" w:w="5000"/>
        <w:tblLayout w:type="fixed"/>
        <w:tblLook w:firstRow="0" w:lastRow="0" w:firstColumn="0" w:lastColumn="0" w:noHBand="0" w:noVBand="0" w:val="0000"/>
      </w:tblPr>
      <w:tblGrid>
        <w:gridCol w:w="7920"/>
      </w:tblGrid>
      <w:tr>
        <w:tc>
          <w:tcPr/>
          <w:bookmarkStart w:id="551" w:name="fig-soudure-vs-stress"/>
          <w:p>
            <w:pPr>
              <w:jc w:val="center"/>
            </w:pPr>
            <w:pPr>
              <w:jc w:val="left"/>
              <w:spacing w:before="200"/>
              <w:pStyle w:val="ImageCaption"/>
            </w:pPr>
            <w:r>
              <w:t xml:space="preserve">Figure 6.1: Comparaison soudure et stress alimentaire</w:t>
            </w:r>
          </w:p>
          <w:p>
            <w:pPr>
              <w:pStyle w:val="Compact"/>
              <w:jc w:val="center"/>
            </w:pPr>
            <w:r>
              <w:drawing>
                <wp:inline>
                  <wp:extent cx="4620126" cy="3696101"/>
                  <wp:effectExtent b="0" l="0" r="0" t="0"/>
                  <wp:docPr descr="" title="" id="549" name="Picture"/>
                  <a:graphic>
                    <a:graphicData uri="http://schemas.openxmlformats.org/drawingml/2006/picture">
                      <pic:pic>
                        <pic:nvPicPr>
                          <pic:cNvPr descr="06_securite_alimentaire_files/figure-docx/fig-soudure-vs-stress-1.png" id="550" name="Picture"/>
                          <pic:cNvPicPr>
                            <a:picLocks noChangeArrowheads="1" noChangeAspect="1"/>
                          </pic:cNvPicPr>
                        </pic:nvPicPr>
                        <pic:blipFill>
                          <a:blip r:embed="rId548"/>
                          <a:stretch>
                            <a:fillRect/>
                          </a:stretch>
                        </pic:blipFill>
                        <pic:spPr bwMode="auto">
                          <a:xfrm>
                            <a:off x="0" y="0"/>
                            <a:ext cx="4620126" cy="3696101"/>
                          </a:xfrm>
                          <a:prstGeom prst="rect">
                            <a:avLst/>
                          </a:prstGeom>
                          <a:noFill/>
                          <a:ln w="9525">
                            <a:noFill/>
                            <a:headEnd/>
                            <a:tailEnd/>
                          </a:ln>
                        </pic:spPr>
                      </pic:pic>
                    </a:graphicData>
                  </a:graphic>
                </wp:inline>
              </w:drawing>
            </w:r>
          </w:p>
          <w:bookmarkEnd w:id="551"/>
        </w:tc>
      </w:tr>
    </w:tbl>
    <w:bookmarkEnd w:id="552"/>
    <w:bookmarkEnd w:id="553"/>
    <w:bookmarkStart w:id="561"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554"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554"/>
    <w:bookmarkStart w:id="555"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555"/>
    <w:bookmarkStart w:id="559"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557" name="Picture"/>
            <a:graphic>
              <a:graphicData uri="http://schemas.openxmlformats.org/drawingml/2006/picture">
                <pic:pic>
                  <pic:nvPicPr>
                    <pic:cNvPr descr="06_securite_alimentaire_files/figure-docx/g4_comparaison_dejeuner-1.png" id="558" name="Picture"/>
                    <pic:cNvPicPr>
                      <a:picLocks noChangeArrowheads="1" noChangeAspect="1"/>
                    </pic:cNvPicPr>
                  </pic:nvPicPr>
                  <pic:blipFill>
                    <a:blip r:embed="rId556"/>
                    <a:stretch>
                      <a:fillRect/>
                    </a:stretch>
                  </pic:blipFill>
                  <pic:spPr bwMode="auto">
                    <a:xfrm>
                      <a:off x="0" y="0"/>
                      <a:ext cx="4620126" cy="3696101"/>
                    </a:xfrm>
                    <a:prstGeom prst="rect">
                      <a:avLst/>
                    </a:prstGeom>
                    <a:noFill/>
                    <a:ln w="9525">
                      <a:noFill/>
                      <a:headEnd/>
                      <a:tailEnd/>
                    </a:ln>
                  </pic:spPr>
                </pic:pic>
              </a:graphicData>
            </a:graphic>
          </wp:inline>
        </w:drawing>
      </w:r>
    </w:p>
    <w:bookmarkEnd w:id="559"/>
    <w:bookmarkStart w:id="560"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560"/>
    <w:bookmarkEnd w:id="561"/>
    <w:bookmarkEnd w:id="562"/>
    <w:bookmarkStart w:id="577"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566" w:name="fréquence-des-stratégies-dadaptation"/>
    <w:p>
      <w:pPr>
        <w:pStyle w:val="Titre3"/>
      </w:pPr>
      <w:r>
        <w:t xml:space="preserve">6.2.1 Fréquence des stratégies d’adaptation</w:t>
      </w:r>
    </w:p>
    <w:p>
      <w:pPr>
        <w:pStyle w:val="FirstParagraph"/>
      </w:pPr>
      <w:r>
        <w:drawing>
          <wp:inline>
            <wp:extent cx="4620126" cy="3696101"/>
            <wp:effectExtent b="0" l="0" r="0" t="0"/>
            <wp:docPr descr="" title="" id="564" name="Picture"/>
            <a:graphic>
              <a:graphicData uri="http://schemas.openxmlformats.org/drawingml/2006/picture">
                <pic:pic>
                  <pic:nvPicPr>
                    <pic:cNvPr descr="06_securite_alimentaire_files/figure-docx/g5_strategies_likert-1.png" id="565" name="Picture"/>
                    <pic:cNvPicPr>
                      <a:picLocks noChangeArrowheads="1" noChangeAspect="1"/>
                    </pic:cNvPicPr>
                  </pic:nvPicPr>
                  <pic:blipFill>
                    <a:blip r:embed="rId563"/>
                    <a:stretch>
                      <a:fillRect/>
                    </a:stretch>
                  </pic:blipFill>
                  <pic:spPr bwMode="auto">
                    <a:xfrm>
                      <a:off x="0" y="0"/>
                      <a:ext cx="4620126" cy="3696101"/>
                    </a:xfrm>
                    <a:prstGeom prst="rect">
                      <a:avLst/>
                    </a:prstGeom>
                    <a:noFill/>
                    <a:ln w="9525">
                      <a:noFill/>
                      <a:headEnd/>
                      <a:tailEnd/>
                    </a:ln>
                  </pic:spPr>
                </pic:pic>
              </a:graphicData>
            </a:graphic>
          </wp:inline>
        </w:drawing>
      </w:r>
    </w:p>
    <w:bookmarkEnd w:id="566"/>
    <w:bookmarkStart w:id="576" w:name="X9cf7e1014deb83f27c62d34c9fba8f88243955e"/>
    <w:p>
      <w:pPr>
        <w:pStyle w:val="Titre3"/>
      </w:pPr>
      <w:r>
        <w:t xml:space="preserve">6.2.2 Sources d’endettement et d’emprunt alimentaire</w:t>
      </w:r>
    </w:p>
    <w:p>
      <w:pPr>
        <w:pStyle w:val="CaptionedFigure"/>
      </w:pPr>
      <w:r>
        <w:drawing>
          <wp:inline>
            <wp:extent cx="4620126" cy="3696101"/>
            <wp:effectExtent b="0" l="0" r="0" t="0"/>
            <wp:docPr descr="Sources d’endettement alimentaire" title="" id="568" name="Picture"/>
            <a:graphic>
              <a:graphicData uri="http://schemas.openxmlformats.org/drawingml/2006/picture">
                <pic:pic>
                  <pic:nvPicPr>
                    <pic:cNvPr descr="06_securite_alimentaire_files/figure-docx/fig_sources_endettement-1.png" id="569" name="Picture"/>
                    <pic:cNvPicPr>
                      <a:picLocks noChangeArrowheads="1" noChangeAspect="1"/>
                    </pic:cNvPicPr>
                  </pic:nvPicPr>
                  <pic:blipFill>
                    <a:blip r:embed="rId56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d’endettement alimentaire</w:t>
      </w:r>
    </w:p>
    <w:p>
      <w:pPr>
        <w:pStyle w:val="CaptionedFigure"/>
      </w:pPr>
      <w:r>
        <w:drawing>
          <wp:inline>
            <wp:extent cx="4620126" cy="3696101"/>
            <wp:effectExtent b="0" l="0" r="0" t="0"/>
            <wp:docPr descr="Sources d’emprunt d’aliments de base" title="" id="571" name="Picture"/>
            <a:graphic>
              <a:graphicData uri="http://schemas.openxmlformats.org/drawingml/2006/picture">
                <pic:pic>
                  <pic:nvPicPr>
                    <pic:cNvPr descr="06_securite_alimentaire_files/figure-docx/fig_sources_emprunt-1.png" id="572" name="Picture"/>
                    <pic:cNvPicPr>
                      <a:picLocks noChangeArrowheads="1" noChangeAspect="1"/>
                    </pic:cNvPicPr>
                  </pic:nvPicPr>
                  <pic:blipFill>
                    <a:blip r:embed="rId57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3503595"/>
            <wp:effectExtent b="0" l="0" r="0" t="0"/>
            <wp:docPr descr="" title="" id="574" name="Picture"/>
            <a:graphic>
              <a:graphicData uri="http://schemas.openxmlformats.org/drawingml/2006/picture">
                <pic:pic>
                  <pic:nvPicPr>
                    <pic:cNvPr descr="06_securite_alimentaire_files/figure-docx/g6_top_strategies-1.png" id="575" name="Picture"/>
                    <pic:cNvPicPr>
                      <a:picLocks noChangeArrowheads="1" noChangeAspect="1"/>
                    </pic:cNvPicPr>
                  </pic:nvPicPr>
                  <pic:blipFill>
                    <a:blip r:embed="rId573"/>
                    <a:stretch>
                      <a:fillRect/>
                    </a:stretch>
                  </pic:blipFill>
                  <pic:spPr bwMode="auto">
                    <a:xfrm>
                      <a:off x="0" y="0"/>
                      <a:ext cx="4620126" cy="3503595"/>
                    </a:xfrm>
                    <a:prstGeom prst="rect">
                      <a:avLst/>
                    </a:prstGeom>
                    <a:noFill/>
                    <a:ln w="9525">
                      <a:noFill/>
                      <a:headEnd/>
                      <a:tailEnd/>
                    </a:ln>
                  </pic:spPr>
                </pic:pic>
              </a:graphicData>
            </a:graphic>
          </wp:inline>
        </w:drawing>
      </w:r>
    </w:p>
    <w:bookmarkEnd w:id="576"/>
    <w:bookmarkEnd w:id="577"/>
    <w:bookmarkStart w:id="581"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bl>
    <w:p>
      <w:pPr>
        <w:pStyle w:val="Corpsdetexte"/>
      </w:pPr>
      <w:r>
        <w:drawing>
          <wp:inline>
            <wp:extent cx="4620126" cy="3696101"/>
            <wp:effectExtent b="0" l="0" r="0" t="0"/>
            <wp:docPr descr="" title="" id="579" name="Picture"/>
            <a:graphic>
              <a:graphicData uri="http://schemas.openxmlformats.org/drawingml/2006/picture">
                <pic:pic>
                  <pic:nvPicPr>
                    <pic:cNvPr descr="06_securite_alimentaire_files/figure-docx/g7_csi_boxplot-1.png" id="580" name="Picture"/>
                    <pic:cNvPicPr>
                      <a:picLocks noChangeArrowheads="1" noChangeAspect="1"/>
                    </pic:cNvPicPr>
                  </pic:nvPicPr>
                  <pic:blipFill>
                    <a:blip r:embed="rId578"/>
                    <a:stretch>
                      <a:fillRect/>
                    </a:stretch>
                  </pic:blipFill>
                  <pic:spPr bwMode="auto">
                    <a:xfrm>
                      <a:off x="0" y="0"/>
                      <a:ext cx="4620126" cy="3696101"/>
                    </a:xfrm>
                    <a:prstGeom prst="rect">
                      <a:avLst/>
                    </a:prstGeom>
                    <a:noFill/>
                    <a:ln w="9525">
                      <a:noFill/>
                      <a:headEnd/>
                      <a:tailEnd/>
                    </a:ln>
                  </pic:spPr>
                </pic:pic>
              </a:graphicData>
            </a:graphic>
          </wp:inline>
        </w:drawing>
      </w:r>
    </w:p>
    <w:bookmarkEnd w:id="581"/>
    <w:bookmarkStart w:id="588" w:name="sec-sa-multiyear"/>
    <w:p>
      <w:pPr>
        <w:pStyle w:val="Titre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p>
      <w:pPr>
        <w:pStyle w:val="CaptionedFigure"/>
      </w:pPr>
      <w:r>
        <w:drawing>
          <wp:inline>
            <wp:extent cx="5969000" cy="3316111"/>
            <wp:effectExtent b="0" l="0" r="0" t="0"/>
            <wp:docPr descr="Évolution de la durée moyenne de soudure (mois/ménage)" title="" id="583" name="Picture"/>
            <a:graphic>
              <a:graphicData uri="http://schemas.openxmlformats.org/drawingml/2006/picture">
                <pic:pic>
                  <pic:nvPicPr>
                    <pic:cNvPr descr="06_securite_alimentaire_files/figure-docx/fig_sa_soudure_duration-1.png" id="584" name="Picture"/>
                    <pic:cNvPicPr>
                      <a:picLocks noChangeArrowheads="1" noChangeAspect="1"/>
                    </pic:cNvPicPr>
                  </pic:nvPicPr>
                  <pic:blipFill>
                    <a:blip r:embed="rId582"/>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durée moyenne de soudure (mois/ménage)</w:t>
      </w:r>
    </w:p>
    <w:p>
      <w:pPr>
        <w:pStyle w:val="CaptionedFigure"/>
      </w:pPr>
      <w:r>
        <w:drawing>
          <wp:inline>
            <wp:extent cx="5969000" cy="3316111"/>
            <wp:effectExtent b="0" l="0" r="0" t="0"/>
            <wp:docPr descr="Évolution du pourcentage de ménages en soudure" title="" id="586" name="Picture"/>
            <a:graphic>
              <a:graphicData uri="http://schemas.openxmlformats.org/drawingml/2006/picture">
                <pic:pic>
                  <pic:nvPicPr>
                    <pic:cNvPr descr="06_securite_alimentaire_files/figure-docx/fig_sa_pct_soudure-1.png" id="587" name="Picture"/>
                    <pic:cNvPicPr>
                      <a:picLocks noChangeArrowheads="1" noChangeAspect="1"/>
                    </pic:cNvPicPr>
                  </pic:nvPicPr>
                  <pic:blipFill>
                    <a:blip r:embed="rId585"/>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ménages en soudure</w:t>
      </w:r>
    </w:p>
    <w:bookmarkEnd w:id="588"/>
    <w:bookmarkEnd w:id="589"/>
    <w:bookmarkStart w:id="716"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p>
      <w:pPr>
        <w:pStyle w:val="Corpsdetexte"/>
      </w:pPr>
      <w:r>
        <w:t xml:space="preserve">L’observatoire de Marovoay est situé à proximité du Parc National d’Ankarafantsika, dont les limites ont été étendues en 2002. Ce chapitre analyse les représentations, les usages, les pratiques (notamment le feu) et les opinions des ménages concernant la protection de l’environnement dans ce contexte de coexistence entre activités agricoles et conservation.</w:t>
      </w:r>
    </w:p>
    <w:p>
      <w:pPr>
        <w:pStyle w:val="Corpsdetexte"/>
      </w:pPr>
      <w:r>
        <w:t xml:space="preserve">L’observatoire de l’Alaotra est situé à proximité de la Nouvelle Aire Protégée du lac Alaotra et du Corridor forestier Ankeniheny-Zahamena.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C:\Users\fbede\AppData\Local\Programs\Quarto\share\formats\docx\warning.png" id="5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17" w:name="sec-representation"/>
    <w:p>
      <w:pPr>
        <w:pStyle w:val="Titre2"/>
      </w:pPr>
      <w:r>
        <w:t xml:space="preserve">7.1 Représentation de la zone protégée par les ménages</w:t>
      </w:r>
    </w:p>
    <w:bookmarkStart w:id="596"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595"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593" name="Picture"/>
                  <a:graphic>
                    <a:graphicData uri="http://schemas.openxmlformats.org/drawingml/2006/picture">
                      <pic:pic>
                        <pic:nvPicPr>
                          <pic:cNvPr descr="07_rapport_environnement_files/figure-docx/fig-ressources-dispo-1.png" id="594" name="Picture"/>
                          <pic:cNvPicPr>
                            <a:picLocks noChangeArrowheads="1" noChangeAspect="1"/>
                          </pic:cNvPicPr>
                        </pic:nvPicPr>
                        <pic:blipFill>
                          <a:blip r:embed="rId592"/>
                          <a:stretch>
                            <a:fillRect/>
                          </a:stretch>
                        </pic:blipFill>
                        <pic:spPr bwMode="auto">
                          <a:xfrm>
                            <a:off x="0" y="0"/>
                            <a:ext cx="5969000" cy="3581400"/>
                          </a:xfrm>
                          <a:prstGeom prst="rect">
                            <a:avLst/>
                          </a:prstGeom>
                          <a:noFill/>
                          <a:ln w="9525">
                            <a:noFill/>
                            <a:headEnd/>
                            <a:tailEnd/>
                          </a:ln>
                        </pic:spPr>
                      </pic:pic>
                    </a:graphicData>
                  </a:graphic>
                </wp:inline>
              </w:drawing>
            </w:r>
          </w:p>
          <w:bookmarkEnd w:id="595"/>
        </w:tc>
      </w:tr>
    </w:tbl>
    <w:bookmarkEnd w:id="596"/>
    <w:bookmarkStart w:id="601"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600"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598" name="Picture"/>
                  <a:graphic>
                    <a:graphicData uri="http://schemas.openxmlformats.org/drawingml/2006/picture">
                      <pic:pic>
                        <pic:nvPicPr>
                          <pic:cNvPr descr="07_rapport_environnement_files/figure-docx/fig-evolution-ressources-1.png" id="599" name="Picture"/>
                          <pic:cNvPicPr>
                            <a:picLocks noChangeArrowheads="1" noChangeAspect="1"/>
                          </pic:cNvPicPr>
                        </pic:nvPicPr>
                        <pic:blipFill>
                          <a:blip r:embed="rId597"/>
                          <a:stretch>
                            <a:fillRect/>
                          </a:stretch>
                        </pic:blipFill>
                        <pic:spPr bwMode="auto">
                          <a:xfrm>
                            <a:off x="0" y="0"/>
                            <a:ext cx="5969000" cy="3581400"/>
                          </a:xfrm>
                          <a:prstGeom prst="rect">
                            <a:avLst/>
                          </a:prstGeom>
                          <a:noFill/>
                          <a:ln w="9525">
                            <a:noFill/>
                            <a:headEnd/>
                            <a:tailEnd/>
                          </a:ln>
                        </pic:spPr>
                      </pic:pic>
                    </a:graphicData>
                  </a:graphic>
                </wp:inline>
              </w:drawing>
            </w:r>
          </w:p>
          <w:bookmarkEnd w:id="600"/>
        </w:tc>
      </w:tr>
    </w:tbl>
    <w:bookmarkEnd w:id="601"/>
    <w:bookmarkStart w:id="606"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605"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2784151"/>
                  <wp:effectExtent b="0" l="0" r="0" t="0"/>
                  <wp:docPr descr="" title="" id="603" name="Picture"/>
                  <a:graphic>
                    <a:graphicData uri="http://schemas.openxmlformats.org/drawingml/2006/picture">
                      <pic:pic>
                        <pic:nvPicPr>
                          <pic:cNvPr descr="07_rapport_environnement_files/figure-docx/fig-appartenance-1.png" id="604" name="Picture"/>
                          <pic:cNvPicPr>
                            <a:picLocks noChangeArrowheads="1" noChangeAspect="1"/>
                          </pic:cNvPicPr>
                        </pic:nvPicPr>
                        <pic:blipFill>
                          <a:blip r:embed="rId602"/>
                          <a:stretch>
                            <a:fillRect/>
                          </a:stretch>
                        </pic:blipFill>
                        <pic:spPr bwMode="auto">
                          <a:xfrm>
                            <a:off x="0" y="0"/>
                            <a:ext cx="5969000" cy="2784151"/>
                          </a:xfrm>
                          <a:prstGeom prst="rect">
                            <a:avLst/>
                          </a:prstGeom>
                          <a:noFill/>
                          <a:ln w="9525">
                            <a:noFill/>
                            <a:headEnd/>
                            <a:tailEnd/>
                          </a:ln>
                        </pic:spPr>
                      </pic:pic>
                    </a:graphicData>
                  </a:graphic>
                </wp:inline>
              </w:drawing>
            </w:r>
          </w:p>
          <w:bookmarkEnd w:id="605"/>
        </w:tc>
      </w:tr>
    </w:tbl>
    <w:bookmarkEnd w:id="606"/>
    <w:bookmarkStart w:id="611"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607"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gridSpan w:val="3"/>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c>
                <w:tcPr/>
                <w:p>
                  <w:pPr>
                    <w:pStyle w:val="Compact"/>
                    <w:jc w:val="right"/>
                    <w:jc w:val="center"/>
                  </w:pPr>
                  <w:r>
                    <w:t xml:space="preserve">79 %</w:t>
                  </w:r>
                </w:p>
              </w:tc>
            </w:tr>
            <w:tr>
              <w:tc>
                <w:tcPr>
                  <w:gridSpan w:val="3"/>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56 %</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40 %</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40 %</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29 %</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2 %</w:t>
                  </w:r>
                </w:p>
              </w:tc>
              <w:tc>
                <w:tcPr/>
                <w:p>
                  <w:pPr>
                    <w:pStyle w:val="Compact"/>
                    <w:jc w:val="right"/>
                    <w:jc w:val="center"/>
                  </w:pPr>
                  <w:r>
                    <w:t xml:space="preserve">3 %</w:t>
                  </w:r>
                </w:p>
              </w:tc>
            </w:tr>
            <w:tr>
              <w:tc>
                <w:tcPr>
                  <w:gridSpan w:val="3"/>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47 %</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10 %</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30 %</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9 %</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22 %</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3 %</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0 %</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1 %</w:t>
                  </w:r>
                </w:p>
              </w:tc>
              <w:tc>
                <w:tcPr/>
                <w:p>
                  <w:pPr>
                    <w:pStyle w:val="Compact"/>
                    <w:jc w:val="right"/>
                    <w:jc w:val="center"/>
                  </w:pPr>
                  <w:r>
                    <w:t xml:space="preserve">2 %</w:t>
                  </w:r>
                </w:p>
              </w:tc>
            </w:tr>
            <w:tr>
              <w:tc>
                <w:tcPr>
                  <w:gridSpan w:val="3"/>
                </w:tcPr>
                <w:p>
                  <w:pPr>
                    <w:pStyle w:val="Compact"/>
                    <w:jc w:val="left"/>
                    <w:jc w:val="center"/>
                  </w:pPr>
                  <w:r>
                    <w:rPr>
                      <w:b/>
                      <w:bCs/>
                    </w:rPr>
                    <w:t xml:space="preserve">Source : Enquête auprès des OR 2025</w:t>
                  </w:r>
                </w:p>
              </w:tc>
            </w:tr>
          </w:tbl>
          <w:bookmarkEnd w:id="607"/>
          <w:p/>
        </w:tc>
      </w:tr>
    </w:tbl>
    <w:p>
      <w:pPr>
        <w:pStyle w:val="CaptionedFigure"/>
      </w:pPr>
      <w:r>
        <w:drawing>
          <wp:inline>
            <wp:extent cx="4620126" cy="7392202"/>
            <wp:effectExtent b="0" l="0" r="0" t="0"/>
            <wp:docPr descr="Menaces perçues et responsables identifiés (% de Oui)" title="" id="609" name="Picture"/>
            <a:graphic>
              <a:graphicData uri="http://schemas.openxmlformats.org/drawingml/2006/picture">
                <pic:pic>
                  <pic:nvPicPr>
                    <pic:cNvPr descr="07_rapport_environnement_files/figure-docx/fig_menaces-1.png" id="610" name="Picture"/>
                    <pic:cNvPicPr>
                      <a:picLocks noChangeArrowheads="1" noChangeAspect="1"/>
                    </pic:cNvPicPr>
                  </pic:nvPicPr>
                  <pic:blipFill>
                    <a:blip r:embed="rId608"/>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611"/>
    <w:bookmarkStart w:id="616"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615"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4116122"/>
                  <wp:effectExtent b="0" l="0" r="0" t="0"/>
                  <wp:docPr descr="" title="" id="613" name="Picture"/>
                  <a:graphic>
                    <a:graphicData uri="http://schemas.openxmlformats.org/drawingml/2006/picture">
                      <pic:pic>
                        <pic:nvPicPr>
                          <pic:cNvPr descr="07_rapport_environnement_files/figure-docx/fig-representation-1.png" id="614" name="Picture"/>
                          <pic:cNvPicPr>
                            <a:picLocks noChangeArrowheads="1" noChangeAspect="1"/>
                          </pic:cNvPicPr>
                        </pic:nvPicPr>
                        <pic:blipFill>
                          <a:blip r:embed="rId612"/>
                          <a:stretch>
                            <a:fillRect/>
                          </a:stretch>
                        </pic:blipFill>
                        <pic:spPr bwMode="auto">
                          <a:xfrm>
                            <a:off x="0" y="0"/>
                            <a:ext cx="5969000" cy="4116122"/>
                          </a:xfrm>
                          <a:prstGeom prst="rect">
                            <a:avLst/>
                          </a:prstGeom>
                          <a:noFill/>
                          <a:ln w="9525">
                            <a:noFill/>
                            <a:headEnd/>
                            <a:tailEnd/>
                          </a:ln>
                        </pic:spPr>
                      </pic:pic>
                    </a:graphicData>
                  </a:graphic>
                </wp:inline>
              </w:drawing>
            </w:r>
          </w:p>
          <w:bookmarkEnd w:id="615"/>
        </w:tc>
      </w:tr>
    </w:tbl>
    <w:bookmarkEnd w:id="616"/>
    <w:bookmarkEnd w:id="617"/>
    <w:bookmarkStart w:id="655" w:name="sec-exploitation"/>
    <w:p>
      <w:pPr>
        <w:pStyle w:val="Titre2"/>
      </w:pPr>
      <w:r>
        <w:t xml:space="preserve">7.2 Exploitation forestière et usage de l’Aire protégée</w:t>
      </w:r>
    </w:p>
    <w:bookmarkStart w:id="626"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621"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619" name="Picture"/>
                  <a:graphic>
                    <a:graphicData uri="http://schemas.openxmlformats.org/drawingml/2006/picture">
                      <pic:pic>
                        <pic:nvPicPr>
                          <pic:cNvPr descr="07_rapport_environnement_files/figure-docx/fig-ef-produits-1.png" id="620" name="Picture"/>
                          <pic:cNvPicPr>
                            <a:picLocks noChangeArrowheads="1" noChangeAspect="1"/>
                          </pic:cNvPicPr>
                        </pic:nvPicPr>
                        <pic:blipFill>
                          <a:blip r:embed="rId618"/>
                          <a:stretch>
                            <a:fillRect/>
                          </a:stretch>
                        </pic:blipFill>
                        <pic:spPr bwMode="auto">
                          <a:xfrm>
                            <a:off x="0" y="0"/>
                            <a:ext cx="5969000" cy="2652888"/>
                          </a:xfrm>
                          <a:prstGeom prst="rect">
                            <a:avLst/>
                          </a:prstGeom>
                          <a:noFill/>
                          <a:ln w="9525">
                            <a:noFill/>
                            <a:headEnd/>
                            <a:tailEnd/>
                          </a:ln>
                        </pic:spPr>
                      </pic:pic>
                    </a:graphicData>
                  </a:graphic>
                </wp:inline>
              </w:drawing>
            </w:r>
          </w:p>
          <w:bookmarkEnd w:id="621"/>
        </w:tc>
      </w:tr>
    </w:tbl>
    <w:tbl>
      <w:tblPr>
        <w:tblStyle w:val="Table"/>
        <w:tblW w:type="pct" w:w="5000"/>
        <w:tblLayout w:type="fixed"/>
        <w:tblLook w:firstRow="0" w:lastRow="0" w:firstColumn="0" w:lastColumn="0" w:noHBand="0" w:noVBand="0" w:val="0000"/>
      </w:tblPr>
      <w:tblGrid>
        <w:gridCol w:w="7920"/>
      </w:tblGrid>
      <w:tr>
        <w:tc>
          <w:tcPr/>
          <w:bookmarkStart w:id="625"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623" name="Picture"/>
                  <a:graphic>
                    <a:graphicData uri="http://schemas.openxmlformats.org/drawingml/2006/picture">
                      <pic:pic>
                        <pic:nvPicPr>
                          <pic:cNvPr descr="07_rapport_environnement_files/figure-docx/fig-ef-origine-1.png" id="624" name="Picture"/>
                          <pic:cNvPicPr>
                            <a:picLocks noChangeArrowheads="1" noChangeAspect="1"/>
                          </pic:cNvPicPr>
                        </pic:nvPicPr>
                        <pic:blipFill>
                          <a:blip r:embed="rId622"/>
                          <a:stretch>
                            <a:fillRect/>
                          </a:stretch>
                        </pic:blipFill>
                        <pic:spPr bwMode="auto">
                          <a:xfrm>
                            <a:off x="0" y="0"/>
                            <a:ext cx="5969000" cy="2652888"/>
                          </a:xfrm>
                          <a:prstGeom prst="rect">
                            <a:avLst/>
                          </a:prstGeom>
                          <a:noFill/>
                          <a:ln w="9525">
                            <a:noFill/>
                            <a:headEnd/>
                            <a:tailEnd/>
                          </a:ln>
                        </pic:spPr>
                      </pic:pic>
                    </a:graphicData>
                  </a:graphic>
                </wp:inline>
              </w:drawing>
            </w:r>
          </w:p>
          <w:bookmarkEnd w:id="625"/>
        </w:tc>
      </w:tr>
    </w:tbl>
    <w:bookmarkEnd w:id="626"/>
    <w:bookmarkStart w:id="631"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630"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628" name="Picture"/>
                  <a:graphic>
                    <a:graphicData uri="http://schemas.openxmlformats.org/drawingml/2006/picture">
                      <pic:pic>
                        <pic:nvPicPr>
                          <pic:cNvPr descr="07_rapport_environnement_files/figure-docx/fig-ef-saison-1.png" id="629" name="Picture"/>
                          <pic:cNvPicPr>
                            <a:picLocks noChangeArrowheads="1" noChangeAspect="1"/>
                          </pic:cNvPicPr>
                        </pic:nvPicPr>
                        <pic:blipFill>
                          <a:blip r:embed="rId627"/>
                          <a:stretch>
                            <a:fillRect/>
                          </a:stretch>
                        </pic:blipFill>
                        <pic:spPr bwMode="auto">
                          <a:xfrm>
                            <a:off x="0" y="0"/>
                            <a:ext cx="5969000" cy="2984500"/>
                          </a:xfrm>
                          <a:prstGeom prst="rect">
                            <a:avLst/>
                          </a:prstGeom>
                          <a:noFill/>
                          <a:ln w="9525">
                            <a:noFill/>
                            <a:headEnd/>
                            <a:tailEnd/>
                          </a:ln>
                        </pic:spPr>
                      </pic:pic>
                    </a:graphicData>
                  </a:graphic>
                </wp:inline>
              </w:drawing>
            </w:r>
          </w:p>
          <w:bookmarkEnd w:id="630"/>
        </w:tc>
      </w:tr>
    </w:tbl>
    <w:bookmarkEnd w:id="631"/>
    <w:bookmarkStart w:id="633" w:name="X8df5da6acadcfbdd6a5344ed8fbae1328a2e11b"/>
    <w:p>
      <w:pPr>
        <w:pStyle w:val="Titre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tbl>
      <w:tblPr>
        <w:tblStyle w:val="Table"/>
        <w:tblW w:type="pct" w:w="5000"/>
        <w:tblLayout w:type="fixed"/>
        <w:tblLook w:firstRow="0" w:lastRow="0" w:firstColumn="0" w:lastColumn="0" w:noHBand="0" w:noVBand="0" w:val="0000"/>
      </w:tblPr>
      <w:tblGrid>
        <w:gridCol w:w="7920"/>
      </w:tblGrid>
      <w:tr>
        <w:tc>
          <w:tcPr/>
          <w:bookmarkStart w:id="632"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Marovoay</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rPr>
                      <w:b/>
                      <w:bCs/>
                    </w:rPr>
                    <w:t xml:space="preserve">Source : Enquête auprès des OR 2025</w:t>
                  </w:r>
                </w:p>
              </w:tc>
            </w:tr>
          </w:tbl>
          <w:bookmarkEnd w:id="632"/>
          <w:p/>
        </w:tc>
      </w:tr>
    </w:tbl>
    <w:bookmarkEnd w:id="633"/>
    <w:bookmarkStart w:id="635" w:name="fréquentation-de-laire-protégée"/>
    <w:p>
      <w:pPr>
        <w:pStyle w:val="Titre3"/>
      </w:pPr>
      <w:r>
        <w:t xml:space="preserve">7.2.4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7.3</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634"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t xml:space="preserve">27 %</w:t>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t xml:space="preserve">21 %</w:t>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33 %</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14 %</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53 %</w:t>
                  </w:r>
                </w:p>
              </w:tc>
            </w:tr>
            <w:tr>
              <w:tc>
                <w:tcPr>
                  <w:gridSpan w:val="3"/>
                </w:tcPr>
                <w:p>
                  <w:pPr>
                    <w:pStyle w:val="Compact"/>
                    <w:jc w:val="left"/>
                    <w:jc w:val="center"/>
                  </w:pPr>
                  <w:r>
                    <w:rPr>
                      <w:b/>
                      <w:bCs/>
                    </w:rPr>
                    <w:t xml:space="preserve">Source : Enquête auprès des OR 2025</w:t>
                  </w:r>
                </w:p>
              </w:tc>
            </w:tr>
          </w:tbl>
          <w:bookmarkEnd w:id="634"/>
          <w:p/>
        </w:tc>
      </w:tr>
    </w:tbl>
    <w:bookmarkEnd w:id="635"/>
    <w:bookmarkStart w:id="640" w:name="raisons-de-non-fréquentation"/>
    <w:p>
      <w:pPr>
        <w:pStyle w:val="Titre3"/>
      </w:pPr>
      <w:r>
        <w:t xml:space="preserve">7.2.5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639"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2514717"/>
                  <wp:effectExtent b="0" l="0" r="0" t="0"/>
                  <wp:docPr descr="" title="" id="637" name="Picture"/>
                  <a:graphic>
                    <a:graphicData uri="http://schemas.openxmlformats.org/drawingml/2006/picture">
                      <pic:pic>
                        <pic:nvPicPr>
                          <pic:cNvPr descr="07_rapport_environnement_files/figure-docx/fig-non-freq-1.png" id="638" name="Picture"/>
                          <pic:cNvPicPr>
                            <a:picLocks noChangeArrowheads="1" noChangeAspect="1"/>
                          </pic:cNvPicPr>
                        </pic:nvPicPr>
                        <pic:blipFill>
                          <a:blip r:embed="rId636"/>
                          <a:stretch>
                            <a:fillRect/>
                          </a:stretch>
                        </pic:blipFill>
                        <pic:spPr bwMode="auto">
                          <a:xfrm>
                            <a:off x="0" y="0"/>
                            <a:ext cx="5969000" cy="2514717"/>
                          </a:xfrm>
                          <a:prstGeom prst="rect">
                            <a:avLst/>
                          </a:prstGeom>
                          <a:noFill/>
                          <a:ln w="9525">
                            <a:noFill/>
                            <a:headEnd/>
                            <a:tailEnd/>
                          </a:ln>
                        </pic:spPr>
                      </pic:pic>
                    </a:graphicData>
                  </a:graphic>
                </wp:inline>
              </w:drawing>
            </w:r>
          </w:p>
          <w:bookmarkEnd w:id="639"/>
        </w:tc>
      </w:tr>
    </w:tbl>
    <w:bookmarkEnd w:id="640"/>
    <w:bookmarkStart w:id="649" w:name="usages-de-laire-protégée"/>
    <w:p>
      <w:pPr>
        <w:pStyle w:val="Titre3"/>
      </w:pPr>
      <w:r>
        <w:t xml:space="preserve">7.2.6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644"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4116122"/>
                  <wp:effectExtent b="0" l="0" r="0" t="0"/>
                  <wp:docPr descr="" title="" id="642" name="Picture"/>
                  <a:graphic>
                    <a:graphicData uri="http://schemas.openxmlformats.org/drawingml/2006/picture">
                      <pic:pic>
                        <pic:nvPicPr>
                          <pic:cNvPr descr="07_rapport_environnement_files/figure-docx/fig-usages-ap-1.png" id="643" name="Picture"/>
                          <pic:cNvPicPr>
                            <a:picLocks noChangeArrowheads="1" noChangeAspect="1"/>
                          </pic:cNvPicPr>
                        </pic:nvPicPr>
                        <pic:blipFill>
                          <a:blip r:embed="rId641"/>
                          <a:stretch>
                            <a:fillRect/>
                          </a:stretch>
                        </pic:blipFill>
                        <pic:spPr bwMode="auto">
                          <a:xfrm>
                            <a:off x="0" y="0"/>
                            <a:ext cx="5969000" cy="4116122"/>
                          </a:xfrm>
                          <a:prstGeom prst="rect">
                            <a:avLst/>
                          </a:prstGeom>
                          <a:noFill/>
                          <a:ln w="9525">
                            <a:noFill/>
                            <a:headEnd/>
                            <a:tailEnd/>
                          </a:ln>
                        </pic:spPr>
                      </pic:pic>
                    </a:graphicData>
                  </a:graphic>
                </wp:inline>
              </w:drawing>
            </w:r>
          </w:p>
          <w:bookmarkEnd w:id="644"/>
        </w:tc>
      </w:tr>
    </w:tbl>
    <w:tbl>
      <w:tblPr>
        <w:tblStyle w:val="Table"/>
        <w:tblW w:type="pct" w:w="5000"/>
        <w:tblLayout w:type="fixed"/>
        <w:tblLook w:firstRow="0" w:lastRow="0" w:firstColumn="0" w:lastColumn="0" w:noHBand="0" w:noVBand="0" w:val="0000"/>
      </w:tblPr>
      <w:tblGrid>
        <w:gridCol w:w="7920"/>
      </w:tblGrid>
      <w:tr>
        <w:tc>
          <w:tcPr/>
          <w:bookmarkStart w:id="648"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646" name="Picture"/>
                  <a:graphic>
                    <a:graphicData uri="http://schemas.openxmlformats.org/drawingml/2006/picture">
                      <pic:pic>
                        <pic:nvPicPr>
                          <pic:cNvPr descr="07_rapport_environnement_files/figure-docx/fig-freq-usages-1.png" id="647" name="Picture"/>
                          <pic:cNvPicPr>
                            <a:picLocks noChangeArrowheads="1" noChangeAspect="1"/>
                          </pic:cNvPicPr>
                        </pic:nvPicPr>
                        <pic:blipFill>
                          <a:blip r:embed="rId645"/>
                          <a:stretch>
                            <a:fillRect/>
                          </a:stretch>
                        </pic:blipFill>
                        <pic:spPr bwMode="auto">
                          <a:xfrm>
                            <a:off x="0" y="0"/>
                            <a:ext cx="5969000" cy="3581400"/>
                          </a:xfrm>
                          <a:prstGeom prst="rect">
                            <a:avLst/>
                          </a:prstGeom>
                          <a:noFill/>
                          <a:ln w="9525">
                            <a:noFill/>
                            <a:headEnd/>
                            <a:tailEnd/>
                          </a:ln>
                        </pic:spPr>
                      </pic:pic>
                    </a:graphicData>
                  </a:graphic>
                </wp:inline>
              </w:drawing>
            </w:r>
          </w:p>
          <w:bookmarkEnd w:id="648"/>
        </w:tc>
      </w:tr>
    </w:tbl>
    <w:bookmarkEnd w:id="649"/>
    <w:bookmarkStart w:id="654" w:name="saisonnalité-de-la-fréquentation-de-lap"/>
    <w:p>
      <w:pPr>
        <w:pStyle w:val="Titre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653"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651" name="Picture"/>
                  <a:graphic>
                    <a:graphicData uri="http://schemas.openxmlformats.org/drawingml/2006/picture">
                      <pic:pic>
                        <pic:nvPicPr>
                          <pic:cNvPr descr="07_rapport_environnement_files/figure-docx/fig-saison-ap-1.png" id="652" name="Picture"/>
                          <pic:cNvPicPr>
                            <a:picLocks noChangeArrowheads="1" noChangeAspect="1"/>
                          </pic:cNvPicPr>
                        </pic:nvPicPr>
                        <pic:blipFill>
                          <a:blip r:embed="rId650"/>
                          <a:stretch>
                            <a:fillRect/>
                          </a:stretch>
                        </pic:blipFill>
                        <pic:spPr bwMode="auto">
                          <a:xfrm>
                            <a:off x="0" y="0"/>
                            <a:ext cx="5969000" cy="2984500"/>
                          </a:xfrm>
                          <a:prstGeom prst="rect">
                            <a:avLst/>
                          </a:prstGeom>
                          <a:noFill/>
                          <a:ln w="9525">
                            <a:noFill/>
                            <a:headEnd/>
                            <a:tailEnd/>
                          </a:ln>
                        </pic:spPr>
                      </pic:pic>
                    </a:graphicData>
                  </a:graphic>
                </wp:inline>
              </w:drawing>
            </w:r>
          </w:p>
          <w:bookmarkEnd w:id="653"/>
        </w:tc>
      </w:tr>
    </w:tbl>
    <w:bookmarkEnd w:id="654"/>
    <w:bookmarkEnd w:id="655"/>
    <w:bookmarkStart w:id="684" w:name="sec-feu"/>
    <w:p>
      <w:pPr>
        <w:pStyle w:val="Titre2"/>
      </w:pPr>
      <w:r>
        <w:t xml:space="preserve">7.3 Feux de brousse</w:t>
      </w:r>
    </w:p>
    <w:bookmarkStart w:id="660"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659"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3581400"/>
                  <wp:effectExtent b="0" l="0" r="0" t="0"/>
                  <wp:docPr descr="" title="" id="657" name="Picture"/>
                  <a:graphic>
                    <a:graphicData uri="http://schemas.openxmlformats.org/drawingml/2006/picture">
                      <pic:pic>
                        <pic:nvPicPr>
                          <pic:cNvPr descr="07_rapport_environnement_files/figure-docx/fig-raisons-feux-1.png" id="658" name="Picture"/>
                          <pic:cNvPicPr>
                            <a:picLocks noChangeArrowheads="1" noChangeAspect="1"/>
                          </pic:cNvPicPr>
                        </pic:nvPicPr>
                        <pic:blipFill>
                          <a:blip r:embed="rId656"/>
                          <a:stretch>
                            <a:fillRect/>
                          </a:stretch>
                        </pic:blipFill>
                        <pic:spPr bwMode="auto">
                          <a:xfrm>
                            <a:off x="0" y="0"/>
                            <a:ext cx="5969000" cy="3581400"/>
                          </a:xfrm>
                          <a:prstGeom prst="rect">
                            <a:avLst/>
                          </a:prstGeom>
                          <a:noFill/>
                          <a:ln w="9525">
                            <a:noFill/>
                            <a:headEnd/>
                            <a:tailEnd/>
                          </a:ln>
                        </pic:spPr>
                      </pic:pic>
                    </a:graphicData>
                  </a:graphic>
                </wp:inline>
              </w:drawing>
            </w:r>
          </w:p>
          <w:bookmarkEnd w:id="659"/>
        </w:tc>
      </w:tr>
    </w:tbl>
    <w:bookmarkEnd w:id="660"/>
    <w:bookmarkStart w:id="665"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661"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t xml:space="preserve">77 %</w:t>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t xml:space="preserve">62 %</w:t>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t xml:space="preserve">54 %</w:t>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t xml:space="preserve">72 %</w:t>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52 %</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48 %</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t xml:space="preserve">81 %</w:t>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t xml:space="preserve">5 %</w:t>
                  </w:r>
                </w:p>
              </w:tc>
            </w:tr>
            <w:tr>
              <w:tc>
                <w:tcPr>
                  <w:gridSpan w:val="3"/>
                </w:tcPr>
                <w:p>
                  <w:pPr>
                    <w:pStyle w:val="Compact"/>
                    <w:jc w:val="left"/>
                    <w:jc w:val="center"/>
                  </w:pPr>
                  <w:r>
                    <w:rPr>
                      <w:b/>
                      <w:bCs/>
                    </w:rPr>
                    <w:t xml:space="preserve">Source : Enquête auprès des OR 2025</w:t>
                  </w:r>
                </w:p>
              </w:tc>
            </w:tr>
          </w:tbl>
          <w:bookmarkEnd w:id="661"/>
          <w:p/>
        </w:tc>
      </w:tr>
    </w:tbl>
    <w:p>
      <w:pPr>
        <w:pStyle w:val="CaptionedFigure"/>
      </w:pPr>
      <w:r>
        <w:drawing>
          <wp:inline>
            <wp:extent cx="4620126" cy="3696101"/>
            <wp:effectExtent b="0" l="0" r="0" t="0"/>
            <wp:docPr descr="Pratique et perception des feux (% de Oui)" title="" id="663" name="Picture"/>
            <a:graphic>
              <a:graphicData uri="http://schemas.openxmlformats.org/drawingml/2006/picture">
                <pic:pic>
                  <pic:nvPicPr>
                    <pic:cNvPr descr="07_rapport_environnement_files/figure-docx/fig_feux-1.png" id="664" name="Picture"/>
                    <pic:cNvPicPr>
                      <a:picLocks noChangeArrowheads="1" noChangeAspect="1"/>
                    </pic:cNvPicPr>
                  </pic:nvPicPr>
                  <pic:blipFill>
                    <a:blip r:embed="rId6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665"/>
    <w:bookmarkStart w:id="670"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669"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667" name="Picture"/>
                  <a:graphic>
                    <a:graphicData uri="http://schemas.openxmlformats.org/drawingml/2006/picture">
                      <pic:pic>
                        <pic:nvPicPr>
                          <pic:cNvPr descr="07_rapport_environnement_files/figure-docx/fig-saison-feux-1.png" id="668" name="Picture"/>
                          <pic:cNvPicPr>
                            <a:picLocks noChangeArrowheads="1" noChangeAspect="1"/>
                          </pic:cNvPicPr>
                        </pic:nvPicPr>
                        <pic:blipFill>
                          <a:blip r:embed="rId666"/>
                          <a:stretch>
                            <a:fillRect/>
                          </a:stretch>
                        </pic:blipFill>
                        <pic:spPr bwMode="auto">
                          <a:xfrm>
                            <a:off x="0" y="0"/>
                            <a:ext cx="5969000" cy="2387600"/>
                          </a:xfrm>
                          <a:prstGeom prst="rect">
                            <a:avLst/>
                          </a:prstGeom>
                          <a:noFill/>
                          <a:ln w="9525">
                            <a:noFill/>
                            <a:headEnd/>
                            <a:tailEnd/>
                          </a:ln>
                        </pic:spPr>
                      </pic:pic>
                    </a:graphicData>
                  </a:graphic>
                </wp:inline>
              </w:drawing>
            </w:r>
          </w:p>
          <w:bookmarkEnd w:id="669"/>
        </w:tc>
      </w:tr>
    </w:tbl>
    <w:bookmarkEnd w:id="670"/>
    <w:bookmarkStart w:id="683"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674"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672" name="Picture"/>
                  <a:graphic>
                    <a:graphicData uri="http://schemas.openxmlformats.org/drawingml/2006/picture">
                      <pic:pic>
                        <pic:nvPicPr>
                          <pic:cNvPr descr="07_rapport_environnement_files/figure-docx/fig-evol-feux-1.png" id="673" name="Picture"/>
                          <pic:cNvPicPr>
                            <a:picLocks noChangeArrowheads="1" noChangeAspect="1"/>
                          </pic:cNvPicPr>
                        </pic:nvPicPr>
                        <pic:blipFill>
                          <a:blip r:embed="rId671"/>
                          <a:stretch>
                            <a:fillRect/>
                          </a:stretch>
                        </pic:blipFill>
                        <pic:spPr bwMode="auto">
                          <a:xfrm>
                            <a:off x="0" y="0"/>
                            <a:ext cx="5969000" cy="2652888"/>
                          </a:xfrm>
                          <a:prstGeom prst="rect">
                            <a:avLst/>
                          </a:prstGeom>
                          <a:noFill/>
                          <a:ln w="9525">
                            <a:noFill/>
                            <a:headEnd/>
                            <a:tailEnd/>
                          </a:ln>
                        </pic:spPr>
                      </pic:pic>
                    </a:graphicData>
                  </a:graphic>
                </wp:inline>
              </w:drawing>
            </w:r>
          </w:p>
          <w:bookmarkEnd w:id="674"/>
        </w:tc>
      </w:tr>
    </w:tbl>
    <w:tbl>
      <w:tblPr>
        <w:tblStyle w:val="Table"/>
        <w:tblW w:type="pct" w:w="5000"/>
        <w:tblLayout w:type="fixed"/>
        <w:tblLook w:firstRow="0" w:lastRow="0" w:firstColumn="0" w:lastColumn="0" w:noHBand="0" w:noVBand="0" w:val="0000"/>
      </w:tblPr>
      <w:tblGrid>
        <w:gridCol w:w="7920"/>
      </w:tblGrid>
      <w:tr>
        <w:tc>
          <w:tcPr/>
          <w:bookmarkStart w:id="678"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676" name="Picture"/>
                  <a:graphic>
                    <a:graphicData uri="http://schemas.openxmlformats.org/drawingml/2006/picture">
                      <pic:pic>
                        <pic:nvPicPr>
                          <pic:cNvPr descr="07_rapport_environnement_files/figure-docx/fig-probleme-feux-1.png" id="677" name="Picture"/>
                          <pic:cNvPicPr>
                            <a:picLocks noChangeArrowheads="1" noChangeAspect="1"/>
                          </pic:cNvPicPr>
                        </pic:nvPicPr>
                        <pic:blipFill>
                          <a:blip r:embed="rId675"/>
                          <a:stretch>
                            <a:fillRect/>
                          </a:stretch>
                        </pic:blipFill>
                        <pic:spPr bwMode="auto">
                          <a:xfrm>
                            <a:off x="0" y="0"/>
                            <a:ext cx="5969000" cy="2652888"/>
                          </a:xfrm>
                          <a:prstGeom prst="rect">
                            <a:avLst/>
                          </a:prstGeom>
                          <a:noFill/>
                          <a:ln w="9525">
                            <a:noFill/>
                            <a:headEnd/>
                            <a:tailEnd/>
                          </a:ln>
                        </pic:spPr>
                      </pic:pic>
                    </a:graphicData>
                  </a:graphic>
                </wp:inline>
              </w:drawing>
            </w:r>
          </w:p>
          <w:bookmarkEnd w:id="678"/>
        </w:tc>
      </w:tr>
    </w:tbl>
    <w:tbl>
      <w:tblPr>
        <w:tblStyle w:val="Table"/>
        <w:tblW w:type="pct" w:w="5000"/>
        <w:tblLayout w:type="fixed"/>
        <w:tblLook w:firstRow="0" w:lastRow="0" w:firstColumn="0" w:lastColumn="0" w:noHBand="0" w:noVBand="0" w:val="0000"/>
      </w:tblPr>
      <w:tblGrid>
        <w:gridCol w:w="7920"/>
      </w:tblGrid>
      <w:tr>
        <w:tc>
          <w:tcPr/>
          <w:bookmarkStart w:id="682"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680" name="Picture"/>
                  <a:graphic>
                    <a:graphicData uri="http://schemas.openxmlformats.org/drawingml/2006/picture">
                      <pic:pic>
                        <pic:nvPicPr>
                          <pic:cNvPr descr="07_rapport_environnement_files/figure-docx/fig-reglementation-feux-1.png" id="681" name="Picture"/>
                          <pic:cNvPicPr>
                            <a:picLocks noChangeArrowheads="1" noChangeAspect="1"/>
                          </pic:cNvPicPr>
                        </pic:nvPicPr>
                        <pic:blipFill>
                          <a:blip r:embed="rId679"/>
                          <a:stretch>
                            <a:fillRect/>
                          </a:stretch>
                        </pic:blipFill>
                        <pic:spPr bwMode="auto">
                          <a:xfrm>
                            <a:off x="0" y="0"/>
                            <a:ext cx="5969000" cy="2984500"/>
                          </a:xfrm>
                          <a:prstGeom prst="rect">
                            <a:avLst/>
                          </a:prstGeom>
                          <a:noFill/>
                          <a:ln w="9525">
                            <a:noFill/>
                            <a:headEnd/>
                            <a:tailEnd/>
                          </a:ln>
                        </pic:spPr>
                      </pic:pic>
                    </a:graphicData>
                  </a:graphic>
                </wp:inline>
              </w:drawing>
            </w:r>
          </w:p>
          <w:bookmarkEnd w:id="682"/>
        </w:tc>
      </w:tr>
    </w:tbl>
    <w:bookmarkEnd w:id="683"/>
    <w:bookmarkEnd w:id="684"/>
    <w:bookmarkStart w:id="715" w:name="sec-protection"/>
    <w:p>
      <w:pPr>
        <w:pStyle w:val="Titre2"/>
      </w:pPr>
      <w:r>
        <w:t xml:space="preserve">7.4 Protection de l’Aire protégée</w:t>
      </w:r>
    </w:p>
    <w:bookmarkStart w:id="689"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685"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80 %</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98 %</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c>
                <w:tcPr/>
                <w:p>
                  <w:pPr>
                    <w:pStyle w:val="Compact"/>
                    <w:jc w:val="right"/>
                    <w:jc w:val="center"/>
                  </w:pPr>
                  <w:r>
                    <w:t xml:space="preserve">98 %</w:t>
                  </w:r>
                </w:p>
              </w:tc>
            </w:tr>
            <w:tr>
              <w:tc>
                <w:tcPr>
                  <w:gridSpan w:val="3"/>
                </w:tcPr>
                <w:p>
                  <w:pPr>
                    <w:pStyle w:val="Compact"/>
                    <w:jc w:val="left"/>
                    <w:jc w:val="center"/>
                  </w:pPr>
                  <w:r>
                    <w:rPr>
                      <w:b/>
                      <w:bCs/>
                    </w:rPr>
                    <w:t xml:space="preserve">Source : Enquête auprès des OR 2025</w:t>
                  </w:r>
                </w:p>
              </w:tc>
            </w:tr>
          </w:tbl>
          <w:bookmarkEnd w:id="685"/>
          <w:p/>
        </w:tc>
      </w:tr>
    </w:tbl>
    <w:p>
      <w:pPr>
        <w:pStyle w:val="CaptionedFigure"/>
      </w:pPr>
      <w:r>
        <w:drawing>
          <wp:inline>
            <wp:extent cx="4620126" cy="3696101"/>
            <wp:effectExtent b="0" l="0" r="0" t="0"/>
            <wp:docPr descr="Connaissance de l’Aire protégée et demande de protection (% de Oui)" title="" id="687" name="Picture"/>
            <a:graphic>
              <a:graphicData uri="http://schemas.openxmlformats.org/drawingml/2006/picture">
                <pic:pic>
                  <pic:nvPicPr>
                    <pic:cNvPr descr="07_rapport_environnement_files/figure-docx/fig_connaissance_ap-1.png" id="688" name="Picture"/>
                    <pic:cNvPicPr>
                      <a:picLocks noChangeArrowheads="1" noChangeAspect="1"/>
                    </pic:cNvPicPr>
                  </pic:nvPicPr>
                  <pic:blipFill>
                    <a:blip r:embed="rId68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689"/>
    <w:bookmarkStart w:id="694"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693"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691" name="Picture"/>
                  <a:graphic>
                    <a:graphicData uri="http://schemas.openxmlformats.org/drawingml/2006/picture">
                      <pic:pic>
                        <pic:nvPicPr>
                          <pic:cNvPr descr="07_rapport_environnement_files/figure-docx/fig-jugement-ap-1.png" id="692" name="Picture"/>
                          <pic:cNvPicPr>
                            <a:picLocks noChangeArrowheads="1" noChangeAspect="1"/>
                          </pic:cNvPicPr>
                        </pic:nvPicPr>
                        <pic:blipFill>
                          <a:blip r:embed="rId690"/>
                          <a:stretch>
                            <a:fillRect/>
                          </a:stretch>
                        </pic:blipFill>
                        <pic:spPr bwMode="auto">
                          <a:xfrm>
                            <a:off x="0" y="0"/>
                            <a:ext cx="5969000" cy="2984500"/>
                          </a:xfrm>
                          <a:prstGeom prst="rect">
                            <a:avLst/>
                          </a:prstGeom>
                          <a:noFill/>
                          <a:ln w="9525">
                            <a:noFill/>
                            <a:headEnd/>
                            <a:tailEnd/>
                          </a:ln>
                        </pic:spPr>
                      </pic:pic>
                    </a:graphicData>
                  </a:graphic>
                </wp:inline>
              </w:drawing>
            </w:r>
          </w:p>
          <w:bookmarkEnd w:id="693"/>
        </w:tc>
      </w:tr>
    </w:tbl>
    <w:bookmarkEnd w:id="694"/>
    <w:bookmarkStart w:id="699"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698"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3115762"/>
                  <wp:effectExtent b="0" l="0" r="0" t="0"/>
                  <wp:docPr descr="" title="" id="696" name="Picture"/>
                  <a:graphic>
                    <a:graphicData uri="http://schemas.openxmlformats.org/drawingml/2006/picture">
                      <pic:pic>
                        <pic:nvPicPr>
                          <pic:cNvPr descr="07_rapport_environnement_files/figure-docx/fig-gestionnaire-1.png" id="697" name="Picture"/>
                          <pic:cNvPicPr>
                            <a:picLocks noChangeArrowheads="1" noChangeAspect="1"/>
                          </pic:cNvPicPr>
                        </pic:nvPicPr>
                        <pic:blipFill>
                          <a:blip r:embed="rId695"/>
                          <a:stretch>
                            <a:fillRect/>
                          </a:stretch>
                        </pic:blipFill>
                        <pic:spPr bwMode="auto">
                          <a:xfrm>
                            <a:off x="0" y="0"/>
                            <a:ext cx="5969000" cy="3115762"/>
                          </a:xfrm>
                          <a:prstGeom prst="rect">
                            <a:avLst/>
                          </a:prstGeom>
                          <a:noFill/>
                          <a:ln w="9525">
                            <a:noFill/>
                            <a:headEnd/>
                            <a:tailEnd/>
                          </a:ln>
                        </pic:spPr>
                      </pic:pic>
                    </a:graphicData>
                  </a:graphic>
                </wp:inline>
              </w:drawing>
            </w:r>
          </w:p>
          <w:bookmarkEnd w:id="698"/>
        </w:tc>
      </w:tr>
    </w:tbl>
    <w:bookmarkEnd w:id="699"/>
    <w:bookmarkStart w:id="704"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703"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4414572"/>
                  <wp:effectExtent b="0" l="0" r="0" t="0"/>
                  <wp:docPr descr="" title="" id="701" name="Picture"/>
                  <a:graphic>
                    <a:graphicData uri="http://schemas.openxmlformats.org/drawingml/2006/picture">
                      <pic:pic>
                        <pic:nvPicPr>
                          <pic:cNvPr descr="07_rapport_environnement_files/figure-docx/fig-mesures-protection-1.png" id="702" name="Picture"/>
                          <pic:cNvPicPr>
                            <a:picLocks noChangeArrowheads="1" noChangeAspect="1"/>
                          </pic:cNvPicPr>
                        </pic:nvPicPr>
                        <pic:blipFill>
                          <a:blip r:embed="rId700"/>
                          <a:stretch>
                            <a:fillRect/>
                          </a:stretch>
                        </pic:blipFill>
                        <pic:spPr bwMode="auto">
                          <a:xfrm>
                            <a:off x="0" y="0"/>
                            <a:ext cx="5969000" cy="4414572"/>
                          </a:xfrm>
                          <a:prstGeom prst="rect">
                            <a:avLst/>
                          </a:prstGeom>
                          <a:noFill/>
                          <a:ln w="9525">
                            <a:noFill/>
                            <a:headEnd/>
                            <a:tailEnd/>
                          </a:ln>
                        </pic:spPr>
                      </pic:pic>
                    </a:graphicData>
                  </a:graphic>
                </wp:inline>
              </w:drawing>
            </w:r>
          </w:p>
          <w:bookmarkEnd w:id="703"/>
        </w:tc>
      </w:tr>
    </w:tbl>
    <w:bookmarkEnd w:id="704"/>
    <w:bookmarkStart w:id="709"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708"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2505736"/>
                  <wp:effectExtent b="0" l="0" r="0" t="0"/>
                  <wp:docPr descr="" title="" id="706" name="Picture"/>
                  <a:graphic>
                    <a:graphicData uri="http://schemas.openxmlformats.org/drawingml/2006/picture">
                      <pic:pic>
                        <pic:nvPicPr>
                          <pic:cNvPr descr="07_rapport_environnement_files/figure-docx/fig-priorite-1.png" id="707" name="Picture"/>
                          <pic:cNvPicPr>
                            <a:picLocks noChangeArrowheads="1" noChangeAspect="1"/>
                          </pic:cNvPicPr>
                        </pic:nvPicPr>
                        <pic:blipFill>
                          <a:blip r:embed="rId705"/>
                          <a:stretch>
                            <a:fillRect/>
                          </a:stretch>
                        </pic:blipFill>
                        <pic:spPr bwMode="auto">
                          <a:xfrm>
                            <a:off x="0" y="0"/>
                            <a:ext cx="5969000" cy="2505736"/>
                          </a:xfrm>
                          <a:prstGeom prst="rect">
                            <a:avLst/>
                          </a:prstGeom>
                          <a:noFill/>
                          <a:ln w="9525">
                            <a:noFill/>
                            <a:headEnd/>
                            <a:tailEnd/>
                          </a:ln>
                        </pic:spPr>
                      </pic:pic>
                    </a:graphicData>
                  </a:graphic>
                </wp:inline>
              </w:drawing>
            </w:r>
          </w:p>
          <w:bookmarkEnd w:id="708"/>
        </w:tc>
      </w:tr>
    </w:tbl>
    <w:bookmarkEnd w:id="709"/>
    <w:bookmarkStart w:id="714"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713"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711" name="Picture"/>
                  <a:graphic>
                    <a:graphicData uri="http://schemas.openxmlformats.org/drawingml/2006/picture">
                      <pic:pic>
                        <pic:nvPicPr>
                          <pic:cNvPr descr="07_rapport_environnement_files/figure-docx/fig-actions-ap-1.png" id="712" name="Picture"/>
                          <pic:cNvPicPr>
                            <a:picLocks noChangeArrowheads="1" noChangeAspect="1"/>
                          </pic:cNvPicPr>
                        </pic:nvPicPr>
                        <pic:blipFill>
                          <a:blip r:embed="rId710"/>
                          <a:stretch>
                            <a:fillRect/>
                          </a:stretch>
                        </pic:blipFill>
                        <pic:spPr bwMode="auto">
                          <a:xfrm>
                            <a:off x="0" y="0"/>
                            <a:ext cx="5969000" cy="4178300"/>
                          </a:xfrm>
                          <a:prstGeom prst="rect">
                            <a:avLst/>
                          </a:prstGeom>
                          <a:noFill/>
                          <a:ln w="9525">
                            <a:noFill/>
                            <a:headEnd/>
                            <a:tailEnd/>
                          </a:ln>
                        </pic:spPr>
                      </pic:pic>
                    </a:graphicData>
                  </a:graphic>
                </wp:inline>
              </w:drawing>
            </w:r>
          </w:p>
          <w:bookmarkEnd w:id="713"/>
        </w:tc>
      </w:tr>
    </w:tbl>
    <w:bookmarkEnd w:id="714"/>
    <w:bookmarkEnd w:id="715"/>
    <w:bookmarkEnd w:id="716"/>
    <w:bookmarkStart w:id="765"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6"/>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6"/>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C:\Users\fbede\AppData\Local\Programs\Quarto\share\formats\docx\warning.png" id="71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25"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bookmarkStart w:id="719"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1026</w:t>
            </w:r>
          </w:p>
        </w:tc>
        <w:tc>
          <w:tcPr/>
          <w:p>
            <w:pPr>
              <w:pStyle w:val="Compact"/>
              <w:jc w:val="right"/>
            </w:pPr>
            <w:r>
              <w:t xml:space="preserve">72.0</w:t>
            </w:r>
          </w:p>
        </w:tc>
      </w:tr>
    </w:tbl>
    <w:p>
      <w:pPr>
        <w:pStyle w:val="Corpsdetexte"/>
      </w:pPr>
      <w:r>
        <w:t xml:space="preserve">Le taux d’exposition aux cataclysmes est très élevé.</w:t>
      </w:r>
    </w:p>
    <w:bookmarkEnd w:id="719"/>
    <w:bookmarkStart w:id="723" w:name="prévalence-par-type-de-catastrophe"/>
    <w:p>
      <w:pPr>
        <w:pStyle w:val="Titre3"/>
      </w:pPr>
      <w:r>
        <w:t xml:space="preserve">8.1.2 Prévalence par type de catastrophe</w:t>
      </w:r>
    </w:p>
    <w:p>
      <w:pPr>
        <w:pStyle w:val="FirstParagraph"/>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p>
      <w:pPr>
        <w:pStyle w:val="Corpsdetexte"/>
      </w:pPr>
      <w:r>
        <w:drawing>
          <wp:inline>
            <wp:extent cx="4620126" cy="6371924"/>
            <wp:effectExtent b="0" l="0" r="0" t="0"/>
            <wp:docPr descr="" title="" id="721" name="Picture"/>
            <a:graphic>
              <a:graphicData uri="http://schemas.openxmlformats.org/drawingml/2006/picture">
                <pic:pic>
                  <pic:nvPicPr>
                    <pic:cNvPr descr="08_cataclysme_catastrophe_files/figure-docx/g1_prevalence_type-1.png" id="722" name="Picture"/>
                    <pic:cNvPicPr>
                      <a:picLocks noChangeArrowheads="1" noChangeAspect="1"/>
                    </pic:cNvPicPr>
                  </pic:nvPicPr>
                  <pic:blipFill>
                    <a:blip r:embed="rId720"/>
                    <a:stretch>
                      <a:fillRect/>
                    </a:stretch>
                  </pic:blipFill>
                  <pic:spPr bwMode="auto">
                    <a:xfrm>
                      <a:off x="0" y="0"/>
                      <a:ext cx="4620126" cy="6371924"/>
                    </a:xfrm>
                    <a:prstGeom prst="rect">
                      <a:avLst/>
                    </a:prstGeom>
                    <a:noFill/>
                    <a:ln w="9525">
                      <a:noFill/>
                      <a:headEnd/>
                      <a:tailEnd/>
                    </a:ln>
                  </pic:spPr>
                </pic:pic>
              </a:graphicData>
            </a:graphic>
          </wp:inline>
        </w:drawing>
      </w:r>
    </w:p>
    <w:bookmarkEnd w:id="723"/>
    <w:bookmarkStart w:id="724"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724"/>
    <w:bookmarkEnd w:id="725"/>
    <w:bookmarkStart w:id="739"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7"/>
        </w:numPr>
      </w:pPr>
      <w:r>
        <w:rPr>
          <w:b/>
          <w:bCs/>
        </w:rPr>
        <w:t xml:space="preserve">Logement et élevage</w:t>
      </w:r>
      <w:r>
        <w:t xml:space="preserve"> </w:t>
      </w:r>
      <w:r>
        <w:t xml:space="preserve">: 1 = Rien, 2 = Un peu, 3 = Beaucoup (plus de la moitié), 4 = Destruction totale</w:t>
      </w:r>
    </w:p>
    <w:p>
      <w:pPr>
        <w:pStyle w:val="Compact"/>
        <w:numPr>
          <w:ilvl w:val="0"/>
          <w:numId w:val="1007"/>
        </w:numPr>
      </w:pPr>
      <w:r>
        <w:rPr>
          <w:b/>
          <w:bCs/>
        </w:rPr>
        <w:t xml:space="preserve">Personnes</w:t>
      </w:r>
      <w:r>
        <w:t xml:space="preserve"> </w:t>
      </w:r>
      <w:r>
        <w:t xml:space="preserve">: 1 = Aucun, 2 = Blessure/Maladie, 3 = Décès/Porté disparu, 4 = Manque de vivres</w:t>
      </w:r>
    </w:p>
    <w:bookmarkStart w:id="729"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aptionedFigure"/>
      </w:pPr>
      <w:r>
        <w:drawing>
          <wp:inline>
            <wp:extent cx="4620126" cy="3696101"/>
            <wp:effectExtent b="0" l="0" r="0" t="0"/>
            <wp:docPr descr="Dégâts sur le logement par type de catastrophe" title="" id="727" name="Picture"/>
            <a:graphic>
              <a:graphicData uri="http://schemas.openxmlformats.org/drawingml/2006/picture">
                <pic:pic>
                  <pic:nvPicPr>
                    <pic:cNvPr descr="08_cataclysme_catastrophe_files/figure-docx/fig_degats_logement-1.png" id="728" name="Picture"/>
                    <pic:cNvPicPr>
                      <a:picLocks noChangeArrowheads="1" noChangeAspect="1"/>
                    </pic:cNvPicPr>
                  </pic:nvPicPr>
                  <pic:blipFill>
                    <a:blip r:embed="rId72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729"/>
    <w:bookmarkStart w:id="730" w:name="dégâts-sur-lélevage"/>
    <w:p>
      <w:pPr>
        <w:pStyle w:val="Titre3"/>
      </w:pPr>
      <w:r>
        <w:t xml:space="preserve">8.2.2 Dégâts sur l’élevage</w:t>
      </w:r>
    </w:p>
    <w:p>
      <w:pPr>
        <w:pStyle w:val="FirstParagraph"/>
      </w:pPr>
      <w:r>
        <w:t xml:space="preserve">Les dégâts sur l’élevage sont particulièrement importants pour certains aléas : les maladies et la sécheresse peuvent entraîner des pertes significatives (catégorie « Beaucoup » ou « Destruction totale »).</w:t>
      </w:r>
    </w:p>
    <w:bookmarkEnd w:id="730"/>
    <w:bookmarkStart w:id="734" w:name="conséquences-sur-les-personnes"/>
    <w:p>
      <w:pPr>
        <w:pStyle w:val="Titre3"/>
      </w:pPr>
      <w:r>
        <w:t xml:space="preserve">8.2.3 Conséquences sur les personnes</w:t>
      </w:r>
    </w:p>
    <w:p>
      <w:pPr>
        <w:pStyle w:val="CaptionedFigure"/>
      </w:pPr>
      <w:r>
        <w:drawing>
          <wp:inline>
            <wp:extent cx="4620126" cy="4706753"/>
            <wp:effectExtent b="0" l="0" r="0" t="0"/>
            <wp:docPr descr="Conséquences des cataclysmes sur les personnes" title="" id="732" name="Picture"/>
            <a:graphic>
              <a:graphicData uri="http://schemas.openxmlformats.org/drawingml/2006/picture">
                <pic:pic>
                  <pic:nvPicPr>
                    <pic:cNvPr descr="08_cataclysme_catastrophe_files/figure-docx/fig_degats_personnes-1.png" id="733" name="Picture"/>
                    <pic:cNvPicPr>
                      <a:picLocks noChangeArrowheads="1" noChangeAspect="1"/>
                    </pic:cNvPicPr>
                  </pic:nvPicPr>
                  <pic:blipFill>
                    <a:blip r:embed="rId731"/>
                    <a:stretch>
                      <a:fillRect/>
                    </a:stretch>
                  </pic:blipFill>
                  <pic:spPr bwMode="auto">
                    <a:xfrm>
                      <a:off x="0" y="0"/>
                      <a:ext cx="4620126" cy="4706753"/>
                    </a:xfrm>
                    <a:prstGeom prst="rect">
                      <a:avLst/>
                    </a:prstGeom>
                    <a:noFill/>
                    <a:ln w="9525">
                      <a:noFill/>
                      <a:headEnd/>
                      <a:tailEnd/>
                    </a:ln>
                  </pic:spPr>
                </pic:pic>
              </a:graphicData>
            </a:graphic>
          </wp:inline>
        </w:drawing>
      </w:r>
    </w:p>
    <w:p>
      <w:pPr>
        <w:pStyle w:val="ImageCaption"/>
      </w:pPr>
      <w:r>
        <w:t xml:space="preserve">Conséquences des cataclysmes sur les personnes</w:t>
      </w:r>
    </w:p>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734"/>
    <w:bookmarkStart w:id="738"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736" name="Picture"/>
            <a:graphic>
              <a:graphicData uri="http://schemas.openxmlformats.org/drawingml/2006/picture">
                <pic:pic>
                  <pic:nvPicPr>
                    <pic:cNvPr descr="08_cataclysme_catastrophe_files/figure-docx/g2_severite_profil-1.png" id="737" name="Picture"/>
                    <pic:cNvPicPr>
                      <a:picLocks noChangeArrowheads="1" noChangeAspect="1"/>
                    </pic:cNvPicPr>
                  </pic:nvPicPr>
                  <pic:blipFill>
                    <a:blip r:embed="rId735"/>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738"/>
    <w:bookmarkEnd w:id="739"/>
    <w:bookmarkStart w:id="743"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drawing>
          <wp:inline>
            <wp:extent cx="4620126" cy="3696101"/>
            <wp:effectExtent b="0" l="0" r="0" t="0"/>
            <wp:docPr descr="" title="" id="741" name="Picture"/>
            <a:graphic>
              <a:graphicData uri="http://schemas.openxmlformats.org/drawingml/2006/picture">
                <pic:pic>
                  <pic:nvPicPr>
                    <pic:cNvPr descr="08_cataclysme_catastrophe_files/figure-docx/g3_saisonnalite-1.png" id="742" name="Picture"/>
                    <pic:cNvPicPr>
                      <a:picLocks noChangeArrowheads="1" noChangeAspect="1"/>
                    </pic:cNvPicPr>
                  </pic:nvPicPr>
                  <pic:blipFill>
                    <a:blip r:embed="rId740"/>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743"/>
    <w:bookmarkStart w:id="760"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747" w:name="cultures-les-plus-touchées"/>
    <w:p>
      <w:pPr>
        <w:pStyle w:val="Titre3"/>
      </w:pPr>
      <w:r>
        <w:t xml:space="preserve">8.4.1 Cultures les plus touchées</w:t>
      </w:r>
    </w:p>
    <w:p>
      <w:pPr>
        <w:pStyle w:val="CaptionedFigure"/>
      </w:pPr>
      <w:r>
        <w:drawing>
          <wp:inline>
            <wp:extent cx="4620126" cy="3696101"/>
            <wp:effectExtent b="0" l="0" r="0" t="0"/>
            <wp:docPr descr="Top 10 des cultures les plus touchées" title="" id="745" name="Picture"/>
            <a:graphic>
              <a:graphicData uri="http://schemas.openxmlformats.org/drawingml/2006/picture">
                <pic:pic>
                  <pic:nvPicPr>
                    <pic:cNvPr descr="08_cataclysme_catastrophe_files/figure-docx/fig_cultures_touchees-1.png" id="746" name="Picture"/>
                    <pic:cNvPicPr>
                      <a:picLocks noChangeArrowheads="1" noChangeAspect="1"/>
                    </pic:cNvPicPr>
                  </pic:nvPicPr>
                  <pic:blipFill>
                    <a:blip r:embed="rId74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747"/>
    <w:bookmarkStart w:id="751"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aptionedFigure"/>
      </w:pPr>
      <w:r>
        <w:drawing>
          <wp:inline>
            <wp:extent cx="4620126" cy="5544151"/>
            <wp:effectExtent b="0" l="0" r="0" t="0"/>
            <wp:docPr descr="Gravité des dégâts sur les champs de riz" title="" id="749" name="Picture"/>
            <a:graphic>
              <a:graphicData uri="http://schemas.openxmlformats.org/drawingml/2006/picture">
                <pic:pic>
                  <pic:nvPicPr>
                    <pic:cNvPr descr="08_cataclysme_catastrophe_files/figure-docx/fig_degats_champs_riz-1.png" id="750" name="Picture"/>
                    <pic:cNvPicPr>
                      <a:picLocks noChangeArrowheads="1" noChangeAspect="1"/>
                    </pic:cNvPicPr>
                  </pic:nvPicPr>
                  <pic:blipFill>
                    <a:blip r:embed="rId748"/>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751"/>
    <w:bookmarkStart w:id="755" w:name="Xcf77f7ca95e8511826fa9c1eb4f3d1682b70b3d"/>
    <w:p>
      <w:pPr>
        <w:pStyle w:val="Titre3"/>
      </w:pPr>
      <w:r>
        <w:t xml:space="preserve">8.4.3 Dégâts sur les stocks de riz par type de catastrophe</w:t>
      </w:r>
    </w:p>
    <w:p>
      <w:pPr>
        <w:pStyle w:val="CaptionedFigure"/>
      </w:pPr>
      <w:r>
        <w:drawing>
          <wp:inline>
            <wp:extent cx="4620126" cy="5544151"/>
            <wp:effectExtent b="0" l="0" r="0" t="0"/>
            <wp:docPr descr="Gravité des dégâts sur les stocks de riz" title="" id="753" name="Picture"/>
            <a:graphic>
              <a:graphicData uri="http://schemas.openxmlformats.org/drawingml/2006/picture">
                <pic:pic>
                  <pic:nvPicPr>
                    <pic:cNvPr descr="08_cataclysme_catastrophe_files/figure-docx/fig_degats_stocks_riz-1.png" id="754" name="Picture"/>
                    <pic:cNvPicPr>
                      <a:picLocks noChangeArrowheads="1" noChangeAspect="1"/>
                    </pic:cNvPicPr>
                  </pic:nvPicPr>
                  <pic:blipFill>
                    <a:blip r:embed="rId752"/>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755"/>
    <w:bookmarkStart w:id="759"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757" name="Picture"/>
            <a:graphic>
              <a:graphicData uri="http://schemas.openxmlformats.org/drawingml/2006/picture">
                <pic:pic>
                  <pic:nvPicPr>
                    <pic:cNvPr descr="08_cataclysme_catastrophe_files/figure-docx/g4_champs_vs_stocks-1.png" id="758" name="Picture"/>
                    <pic:cNvPicPr>
                      <a:picLocks noChangeArrowheads="1" noChangeAspect="1"/>
                    </pic:cNvPicPr>
                  </pic:nvPicPr>
                  <pic:blipFill>
                    <a:blip r:embed="rId756"/>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759"/>
    <w:bookmarkEnd w:id="760"/>
    <w:bookmarkStart w:id="764" w:name="sec-cata-multiyear"/>
    <w:p>
      <w:pPr>
        <w:pStyle w:val="Titre2"/>
      </w:pPr>
      <w:r>
        <w:t xml:space="preserve">8.5 Évolution de la prévalence des catastrophes (2003–2025)</w:t>
      </w:r>
    </w:p>
    <w:p>
      <w:pPr>
        <w:pStyle w:val="FirstParagraph"/>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p>
      <w:pPr>
        <w:pStyle w:val="CaptionedFigure"/>
      </w:pPr>
      <w:r>
        <w:drawing>
          <wp:inline>
            <wp:extent cx="5969000" cy="3316111"/>
            <wp:effectExtent b="0" l="0" r="0" t="0"/>
            <wp:docPr descr="Évolution du pourcentage de ménages ayant subi au moins une catastrophe (2003–2025)" title="" id="762" name="Picture"/>
            <a:graphic>
              <a:graphicData uri="http://schemas.openxmlformats.org/drawingml/2006/picture">
                <pic:pic>
                  <pic:nvPicPr>
                    <pic:cNvPr descr="08_cataclysme_catastrophe_files/figure-docx/fig_cata_prevalence-1.png" id="763" name="Picture"/>
                    <pic:cNvPicPr>
                      <a:picLocks noChangeArrowheads="1" noChangeAspect="1"/>
                    </pic:cNvPicPr>
                  </pic:nvPicPr>
                  <pic:blipFill>
                    <a:blip r:embed="rId761"/>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ménages ayant subi au moins une catastrophe (2003–2025)</w:t>
      </w:r>
    </w:p>
    <w:p>
      <w:pPr>
        <w:pStyle w:val="Corpsdetexte"/>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bookmarkEnd w:id="764"/>
    <w:bookmarkEnd w:id="765"/>
    <w:bookmarkStart w:id="813"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766" name="Picture"/>
                  <a:graphic>
                    <a:graphicData uri="http://schemas.openxmlformats.org/drawingml/2006/picture">
                      <pic:pic>
                        <pic:nvPicPr>
                          <pic:cNvPr descr="C:\Users\fbede\AppData\Local\Programs\Quarto\share\formats\docx\warning.png" id="76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90" w:name="sec-insertion"/>
    <w:p>
      <w:pPr>
        <w:pStyle w:val="Titre2"/>
      </w:pPr>
      <w:r>
        <w:t xml:space="preserve">9.1 Insertion sociale</w:t>
      </w:r>
    </w:p>
    <w:bookmarkStart w:id="769" w:name="appartenance-à-une-organisation"/>
    <w:p>
      <w:pPr>
        <w:pStyle w:val="Titre3"/>
      </w:pPr>
      <w:r>
        <w:t xml:space="preserve">9.1.1 Appartenance à une organisation</w:t>
      </w:r>
    </w:p>
    <w:p>
      <w:pPr>
        <w:pStyle w:val="FirstParagraph"/>
      </w:pPr>
      <w:r>
        <w:t xml:space="preserve">Sur les 1026 ménages enquêtés, 450 (43.9 %) déclarent qu’au moins un de leurs membres appartient à une organisation ou association.</w:t>
      </w:r>
    </w:p>
    <w:p>
      <w:pPr>
        <w:pStyle w:val="Corpsdetexte"/>
      </w:pPr>
      <w:r>
        <w:t xml:space="preserve">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768"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768"/>
          <w:p/>
        </w:tc>
      </w:tr>
    </w:tbl>
    <w:bookmarkEnd w:id="769"/>
    <w:bookmarkStart w:id="774"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773"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771" name="Picture"/>
                  <a:graphic>
                    <a:graphicData uri="http://schemas.openxmlformats.org/drawingml/2006/picture">
                      <pic:pic>
                        <pic:nvPicPr>
                          <pic:cNvPr descr="09_insertion_projet_files/figure-docx/fig-nb-org-1.png" id="772" name="Picture"/>
                          <pic:cNvPicPr>
                            <a:picLocks noChangeArrowheads="1" noChangeAspect="1"/>
                          </pic:cNvPicPr>
                        </pic:nvPicPr>
                        <pic:blipFill>
                          <a:blip r:embed="rId770"/>
                          <a:stretch>
                            <a:fillRect/>
                          </a:stretch>
                        </pic:blipFill>
                        <pic:spPr bwMode="auto">
                          <a:xfrm>
                            <a:off x="0" y="0"/>
                            <a:ext cx="5969000" cy="3730624"/>
                          </a:xfrm>
                          <a:prstGeom prst="rect">
                            <a:avLst/>
                          </a:prstGeom>
                          <a:noFill/>
                          <a:ln w="9525">
                            <a:noFill/>
                            <a:headEnd/>
                            <a:tailEnd/>
                          </a:ln>
                        </pic:spPr>
                      </pic:pic>
                    </a:graphicData>
                  </a:graphic>
                </wp:inline>
              </w:drawing>
            </w:r>
          </w:p>
          <w:bookmarkEnd w:id="773"/>
        </w:tc>
      </w:tr>
    </w:tbl>
    <w:bookmarkEnd w:id="774"/>
    <w:bookmarkStart w:id="779"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778"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3741929"/>
                  <wp:effectExtent b="0" l="0" r="0" t="0"/>
                  <wp:docPr descr="" title="" id="776" name="Picture"/>
                  <a:graphic>
                    <a:graphicData uri="http://schemas.openxmlformats.org/drawingml/2006/picture">
                      <pic:pic>
                        <pic:nvPicPr>
                          <pic:cNvPr descr="09_insertion_projet_files/figure-docx/fig-type-org-1.png" id="777" name="Picture"/>
                          <pic:cNvPicPr>
                            <a:picLocks noChangeArrowheads="1" noChangeAspect="1"/>
                          </pic:cNvPicPr>
                        </pic:nvPicPr>
                        <pic:blipFill>
                          <a:blip r:embed="rId775"/>
                          <a:stretch>
                            <a:fillRect/>
                          </a:stretch>
                        </pic:blipFill>
                        <pic:spPr bwMode="auto">
                          <a:xfrm>
                            <a:off x="0" y="0"/>
                            <a:ext cx="5969000" cy="3741929"/>
                          </a:xfrm>
                          <a:prstGeom prst="rect">
                            <a:avLst/>
                          </a:prstGeom>
                          <a:noFill/>
                          <a:ln w="9525">
                            <a:noFill/>
                            <a:headEnd/>
                            <a:tailEnd/>
                          </a:ln>
                        </pic:spPr>
                      </pic:pic>
                    </a:graphicData>
                  </a:graphic>
                </wp:inline>
              </w:drawing>
            </w:r>
          </w:p>
          <w:bookmarkEnd w:id="778"/>
        </w:tc>
      </w:tr>
    </w:tbl>
    <w:bookmarkEnd w:id="779"/>
    <w:bookmarkStart w:id="784"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783"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1920581"/>
                  <wp:effectExtent b="0" l="0" r="0" t="0"/>
                  <wp:docPr descr="" title="" id="781" name="Picture"/>
                  <a:graphic>
                    <a:graphicData uri="http://schemas.openxmlformats.org/drawingml/2006/picture">
                      <pic:pic>
                        <pic:nvPicPr>
                          <pic:cNvPr descr="09_insertion_projet_files/figure-docx/fig-qui-membre-1.png" id="782" name="Picture"/>
                          <pic:cNvPicPr>
                            <a:picLocks noChangeArrowheads="1" noChangeAspect="1"/>
                          </pic:cNvPicPr>
                        </pic:nvPicPr>
                        <pic:blipFill>
                          <a:blip r:embed="rId780"/>
                          <a:stretch>
                            <a:fillRect/>
                          </a:stretch>
                        </pic:blipFill>
                        <pic:spPr bwMode="auto">
                          <a:xfrm>
                            <a:off x="0" y="0"/>
                            <a:ext cx="5969000" cy="1920581"/>
                          </a:xfrm>
                          <a:prstGeom prst="rect">
                            <a:avLst/>
                          </a:prstGeom>
                          <a:noFill/>
                          <a:ln w="9525">
                            <a:noFill/>
                            <a:headEnd/>
                            <a:tailEnd/>
                          </a:ln>
                        </pic:spPr>
                      </pic:pic>
                    </a:graphicData>
                  </a:graphic>
                </wp:inline>
              </w:drawing>
            </w:r>
          </w:p>
          <w:bookmarkEnd w:id="783"/>
        </w:tc>
      </w:tr>
    </w:tbl>
    <w:bookmarkEnd w:id="784"/>
    <w:bookmarkStart w:id="789"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788"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786" name="Picture"/>
                  <a:graphic>
                    <a:graphicData uri="http://schemas.openxmlformats.org/drawingml/2006/picture">
                      <pic:pic>
                        <pic:nvPicPr>
                          <pic:cNvPr descr="09_insertion_projet_files/figure-docx/fig-responsabilite-1.png" id="787" name="Picture"/>
                          <pic:cNvPicPr>
                            <a:picLocks noChangeArrowheads="1" noChangeAspect="1"/>
                          </pic:cNvPicPr>
                        </pic:nvPicPr>
                        <pic:blipFill>
                          <a:blip r:embed="rId785"/>
                          <a:stretch>
                            <a:fillRect/>
                          </a:stretch>
                        </pic:blipFill>
                        <pic:spPr bwMode="auto">
                          <a:xfrm>
                            <a:off x="0" y="0"/>
                            <a:ext cx="5969000" cy="3316111"/>
                          </a:xfrm>
                          <a:prstGeom prst="rect">
                            <a:avLst/>
                          </a:prstGeom>
                          <a:noFill/>
                          <a:ln w="9525">
                            <a:noFill/>
                            <a:headEnd/>
                            <a:tailEnd/>
                          </a:ln>
                        </pic:spPr>
                      </pic:pic>
                    </a:graphicData>
                  </a:graphic>
                </wp:inline>
              </w:drawing>
            </w:r>
          </w:p>
          <w:bookmarkEnd w:id="788"/>
        </w:tc>
      </w:tr>
    </w:tbl>
    <w:bookmarkEnd w:id="789"/>
    <w:bookmarkEnd w:id="790"/>
    <w:bookmarkStart w:id="806"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794"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Dans l’Alaotra, 22.2 % des ménages déclarent avoir bénéficié d’au moins un projet ou d’une formation.</w:t>
      </w:r>
    </w:p>
    <w:p>
      <w:pPr>
        <w:pStyle w:val="Corpsdetexte"/>
      </w:pPr>
      <w:r>
        <w:t xml:space="preserve">A Marovoay, 25.8 % des ménages déclarent avoir bénéficié d’au moins un projet ou d’une formation.</w:t>
      </w:r>
    </w:p>
    <w:p>
      <w:pPr>
        <w:pStyle w:val="CaptionedFigure"/>
      </w:pPr>
      <w:r>
        <w:drawing>
          <wp:inline>
            <wp:extent cx="4620126" cy="3696101"/>
            <wp:effectExtent b="0" l="0" r="0" t="0"/>
            <wp:docPr descr="Ménages bénéficiaires de projets ou formations" title="" id="792" name="Picture"/>
            <a:graphic>
              <a:graphicData uri="http://schemas.openxmlformats.org/drawingml/2006/picture">
                <pic:pic>
                  <pic:nvPicPr>
                    <pic:cNvPr descr="09_insertion_projet_files/figure-docx/fig_pro1-1.png" id="793" name="Picture"/>
                    <pic:cNvPicPr>
                      <a:picLocks noChangeArrowheads="1" noChangeAspect="1"/>
                    </pic:cNvPicPr>
                  </pic:nvPicPr>
                  <pic:blipFill>
                    <a:blip r:embed="rId79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794"/>
    <w:bookmarkStart w:id="799"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tbl>
      <w:tblPr>
        <w:tblStyle w:val="Table"/>
        <w:tblW w:type="pct" w:w="5000"/>
        <w:tblLayout w:type="fixed"/>
        <w:tblLook w:firstRow="0" w:lastRow="0" w:firstColumn="0" w:lastColumn="0" w:noHBand="0" w:noVBand="0" w:val="0000"/>
      </w:tblPr>
      <w:tblGrid>
        <w:gridCol w:w="7920"/>
      </w:tblGrid>
      <w:tr>
        <w:tc>
          <w:tcPr/>
          <w:bookmarkStart w:id="798"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3040459"/>
                  <wp:effectExtent b="0" l="0" r="0" t="0"/>
                  <wp:docPr descr="" title="" id="796" name="Picture"/>
                  <a:graphic>
                    <a:graphicData uri="http://schemas.openxmlformats.org/drawingml/2006/picture">
                      <pic:pic>
                        <pic:nvPicPr>
                          <pic:cNvPr descr="09_insertion_projet_files/figure-docx/fig-benef-type-1.png" id="797" name="Picture"/>
                          <pic:cNvPicPr>
                            <a:picLocks noChangeArrowheads="1" noChangeAspect="1"/>
                          </pic:cNvPicPr>
                        </pic:nvPicPr>
                        <pic:blipFill>
                          <a:blip r:embed="rId795"/>
                          <a:stretch>
                            <a:fillRect/>
                          </a:stretch>
                        </pic:blipFill>
                        <pic:spPr bwMode="auto">
                          <a:xfrm>
                            <a:off x="0" y="0"/>
                            <a:ext cx="5969000" cy="3040459"/>
                          </a:xfrm>
                          <a:prstGeom prst="rect">
                            <a:avLst/>
                          </a:prstGeom>
                          <a:noFill/>
                          <a:ln w="9525">
                            <a:noFill/>
                            <a:headEnd/>
                            <a:tailEnd/>
                          </a:ln>
                        </pic:spPr>
                      </pic:pic>
                    </a:graphicData>
                  </a:graphic>
                </wp:inline>
              </w:drawing>
            </w:r>
          </w:p>
          <w:bookmarkEnd w:id="798"/>
        </w:tc>
      </w:tr>
    </w:tbl>
    <w:bookmarkEnd w:id="799"/>
    <w:bookmarkStart w:id="805"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803"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801" name="Picture"/>
                  <a:graphic>
                    <a:graphicData uri="http://schemas.openxmlformats.org/drawingml/2006/picture">
                      <pic:pic>
                        <pic:nvPicPr>
                          <pic:cNvPr descr="09_insertion_projet_files/figure-docx/fig-source-projet-1.png" id="802" name="Picture"/>
                          <pic:cNvPicPr>
                            <a:picLocks noChangeArrowheads="1" noChangeAspect="1"/>
                          </pic:cNvPicPr>
                        </pic:nvPicPr>
                        <pic:blipFill>
                          <a:blip r:embed="rId800"/>
                          <a:stretch>
                            <a:fillRect/>
                          </a:stretch>
                        </pic:blipFill>
                        <pic:spPr bwMode="auto">
                          <a:xfrm>
                            <a:off x="0" y="0"/>
                            <a:ext cx="5969000" cy="3581400"/>
                          </a:xfrm>
                          <a:prstGeom prst="rect">
                            <a:avLst/>
                          </a:prstGeom>
                          <a:noFill/>
                          <a:ln w="9525">
                            <a:noFill/>
                            <a:headEnd/>
                            <a:tailEnd/>
                          </a:ln>
                        </pic:spPr>
                      </pic:pic>
                    </a:graphicData>
                  </a:graphic>
                </wp:inline>
              </w:drawing>
            </w:r>
          </w:p>
          <w:bookmarkEnd w:id="803"/>
        </w:tc>
      </w:tr>
    </w:tbl>
    <w:tbl>
      <w:tblPr>
        <w:tblStyle w:val="Table"/>
        <w:tblW w:type="pct" w:w="5000"/>
        <w:tblLayout w:type="fixed"/>
        <w:tblLook w:firstRow="0" w:lastRow="0" w:firstColumn="0" w:lastColumn="0" w:noHBand="0" w:noVBand="0" w:val="0000"/>
      </w:tblPr>
      <w:tblGrid>
        <w:gridCol w:w="7920"/>
      </w:tblGrid>
      <w:tr>
        <w:tc>
          <w:tcPr/>
          <w:bookmarkStart w:id="804" w:name="tbl-source-global"/>
          <w:p>
            <w:pPr>
              <w:jc w:val="center"/>
            </w:pPr>
            <w:pPr>
              <w:jc w:val="left"/>
              <w:spacing w:before="200"/>
              <w:pStyle w:val="ImageCaption"/>
            </w:pPr>
            <w:r>
              <w:t xml:space="preserve">Table 9.2: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804"/>
          <w:p/>
        </w:tc>
      </w:tr>
    </w:tbl>
    <w:bookmarkEnd w:id="805"/>
    <w:bookmarkEnd w:id="806"/>
    <w:bookmarkStart w:id="811"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 des ménages sont membres d’une organisation.</w:t>
      </w:r>
    </w:p>
    <w:p>
      <w:pPr>
        <w:pStyle w:val="Corpsdetexte"/>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807" w:name="tbl-croisement"/>
          <w:p>
            <w:pPr>
              <w:jc w:val="center"/>
            </w:pPr>
            <w:pPr>
              <w:jc w:val="left"/>
              <w:spacing w:before="200"/>
              <w:pStyle w:val="ImageCaption"/>
            </w:pPr>
            <w:r>
              <w:t xml:space="preserve">Table 9.3: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807"/>
          <w:p/>
        </w:tc>
      </w:tr>
    </w:tbl>
    <w:p>
      <w:pPr>
        <w:pStyle w:val="CaptionedFigure"/>
      </w:pPr>
      <w:r>
        <w:drawing>
          <wp:inline>
            <wp:extent cx="4620126" cy="3696101"/>
            <wp:effectExtent b="0" l="0" r="0" t="0"/>
            <wp:docPr descr="Accès aux projets selon l’appartenance à une organisation" title="" id="809" name="Picture"/>
            <a:graphic>
              <a:graphicData uri="http://schemas.openxmlformats.org/drawingml/2006/picture">
                <pic:pic>
                  <pic:nvPicPr>
                    <pic:cNvPr descr="09_insertion_projet_files/figure-docx/fig_croisement-1.png" id="810" name="Picture"/>
                    <pic:cNvPicPr>
                      <a:picLocks noChangeArrowheads="1" noChangeAspect="1"/>
                    </pic:cNvPicPr>
                  </pic:nvPicPr>
                  <pic:blipFill>
                    <a:blip r:embed="rId80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811"/>
    <w:bookmarkStart w:id="812" w:name="sec-pistes-insertion"/>
    <w:p>
      <w:pPr>
        <w:pStyle w:val="Titre2"/>
      </w:pPr>
      <w:r>
        <w:t xml:space="preserve">9.4 Pistes d’analyse complémentaires</w:t>
      </w:r>
    </w:p>
    <w:p>
      <w:pPr>
        <w:pStyle w:val="Compact"/>
        <w:numPr>
          <w:ilvl w:val="0"/>
          <w:numId w:val="1008"/>
        </w:numPr>
      </w:pPr>
      <w:r>
        <w:rPr>
          <w:b/>
          <w:bCs/>
        </w:rPr>
        <w:t xml:space="preserve">Lien organisation–type de projet</w:t>
      </w:r>
      <w:r>
        <w:t xml:space="preserve"> </w:t>
      </w:r>
      <w:r>
        <w:t xml:space="preserve">: les ménages membres d’organisations de producteurs bénéficient-ils davantage de projets agricoles ?</w:t>
      </w:r>
    </w:p>
    <w:p>
      <w:pPr>
        <w:pStyle w:val="Compact"/>
        <w:numPr>
          <w:ilvl w:val="0"/>
          <w:numId w:val="1008"/>
        </w:numPr>
      </w:pPr>
      <w:r>
        <w:rPr>
          <w:b/>
          <w:bCs/>
        </w:rPr>
        <w:t xml:space="preserve">Codes ONG/Projet</w:t>
      </w:r>
      <w:r>
        <w:t xml:space="preserve"> </w:t>
      </w:r>
      <w:r>
        <w:t xml:space="preserve">(</w:t>
      </w:r>
      <w:r>
        <w:rPr>
          <w:rStyle w:val="VerbatimChar"/>
        </w:rPr>
        <w:t xml:space="preserve">pro4</w:t>
      </w:r>
      <w:r>
        <w:t xml:space="preserve">) : les valeurs numériques (10–15, 24, etc.) semblent correspondre à des identifiants de projets spécifiques dont la correspondance avec des noms de projets reste à documenter.</w:t>
      </w:r>
    </w:p>
    <w:p>
      <w:pPr>
        <w:pStyle w:val="Compact"/>
        <w:numPr>
          <w:ilvl w:val="0"/>
          <w:numId w:val="1008"/>
        </w:numPr>
      </w:pPr>
      <w:r>
        <w:rPr>
          <w:b/>
          <w:bCs/>
        </w:rPr>
        <w:t xml:space="preserve">Multi-adhésion et capital social</w:t>
      </w:r>
      <w:r>
        <w:t xml:space="preserve"> </w:t>
      </w:r>
      <w:r>
        <w:t xml:space="preserve">: croiser le nombre d’organisations par ménage avec les indicateurs de bien-être (habitat, sécurité alimentaire) pour tester l’effet du capital social.</w:t>
      </w:r>
    </w:p>
    <w:p>
      <w:pPr>
        <w:pStyle w:val="Compact"/>
        <w:numPr>
          <w:ilvl w:val="0"/>
          <w:numId w:val="1008"/>
        </w:numPr>
      </w:pPr>
      <w:r>
        <w:rPr>
          <w:b/>
          <w:bCs/>
        </w:rPr>
        <w:t xml:space="preserve">Analyse genrée</w:t>
      </w:r>
      <w:r>
        <w:t xml:space="preserve"> </w:t>
      </w:r>
      <w:r>
        <w:t xml:space="preserve">: les associations de femmes (code 17, liées au 8 mars) sont très présentes à Marovoay ; une analyse genrée de l’insertion sociale serait pertinente.</w:t>
      </w:r>
    </w:p>
    <w:bookmarkEnd w:id="812"/>
    <w:bookmarkEnd w:id="813"/>
    <w:bookmarkStart w:id="840"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9"/>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9"/>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9"/>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4" name="Picture"/>
                  <a:graphic>
                    <a:graphicData uri="http://schemas.openxmlformats.org/drawingml/2006/picture">
                      <pic:pic>
                        <pic:nvPicPr>
                          <pic:cNvPr descr="C:\Users\fbede\AppData\Local\Programs\Quarto\share\formats\docx\warning.png" id="81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20"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19"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817" name="Picture"/>
                  <a:graphic>
                    <a:graphicData uri="http://schemas.openxmlformats.org/drawingml/2006/picture">
                      <pic:pic>
                        <pic:nvPicPr>
                          <pic:cNvPr descr="10_enquete_qualite_files/figure-docx/fig-qualite-1.png" id="818" name="Picture"/>
                          <pic:cNvPicPr>
                            <a:picLocks noChangeArrowheads="1" noChangeAspect="1"/>
                          </pic:cNvPicPr>
                        </pic:nvPicPr>
                        <pic:blipFill>
                          <a:blip r:embed="rId816"/>
                          <a:stretch>
                            <a:fillRect/>
                          </a:stretch>
                        </pic:blipFill>
                        <pic:spPr bwMode="auto">
                          <a:xfrm>
                            <a:off x="0" y="0"/>
                            <a:ext cx="5969000" cy="2984500"/>
                          </a:xfrm>
                          <a:prstGeom prst="rect">
                            <a:avLst/>
                          </a:prstGeom>
                          <a:noFill/>
                          <a:ln w="9525">
                            <a:noFill/>
                            <a:headEnd/>
                            <a:tailEnd/>
                          </a:ln>
                        </pic:spPr>
                      </pic:pic>
                    </a:graphicData>
                  </a:graphic>
                </wp:inline>
              </w:drawing>
            </w:r>
          </w:p>
          <w:bookmarkEnd w:id="819"/>
        </w:tc>
      </w:tr>
    </w:tbl>
    <w:bookmarkEnd w:id="820"/>
    <w:bookmarkStart w:id="822"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21"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11</w:t>
                  </w:r>
                </w:p>
              </w:tc>
              <w:tc>
                <w:tcPr/>
                <w:p>
                  <w:pPr>
                    <w:pStyle w:val="Compact"/>
                    <w:jc w:val="right"/>
                    <w:jc w:val="center"/>
                  </w:pPr>
                  <w:r>
                    <w:t xml:space="preserve">16</w:t>
                  </w:r>
                </w:p>
              </w:tc>
            </w:tr>
            <w:tr>
              <w:tc>
                <w:tcPr/>
                <w:p>
                  <w:pPr>
                    <w:pStyle w:val="Compact"/>
                    <w:jc w:val="left"/>
                    <w:jc w:val="center"/>
                  </w:pPr>
                  <w:r>
                    <w:t xml:space="preserve">Chef de ménage</w:t>
                  </w:r>
                </w:p>
              </w:tc>
              <w:tc>
                <w:tcPr/>
                <w:p>
                  <w:pPr>
                    <w:pStyle w:val="Compact"/>
                    <w:jc w:val="right"/>
                    <w:jc w:val="center"/>
                  </w:pPr>
                  <w:r>
                    <w:t xml:space="preserve">282</w:t>
                  </w:r>
                </w:p>
              </w:tc>
              <w:tc>
                <w:tcPr/>
                <w:p>
                  <w:pPr>
                    <w:pStyle w:val="Compact"/>
                    <w:jc w:val="right"/>
                    <w:jc w:val="center"/>
                  </w:pPr>
                  <w:r>
                    <w:t xml:space="preserve">340</w:t>
                  </w:r>
                </w:p>
              </w:tc>
            </w:tr>
            <w:tr>
              <w:tc>
                <w:tcPr/>
                <w:p>
                  <w:pPr>
                    <w:pStyle w:val="Compact"/>
                    <w:jc w:val="left"/>
                    <w:jc w:val="center"/>
                  </w:pPr>
                  <w:r>
                    <w:t xml:space="preserve">Code NA</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c>
                <w:tcPr/>
                <w:p>
                  <w:pPr>
                    <w:pStyle w:val="Compact"/>
                    <w:jc w:val="right"/>
                    <w:jc w:val="center"/>
                  </w:pPr>
                  <w:r>
                    <w:t xml:space="preserve">157</w:t>
                  </w:r>
                </w:p>
              </w:tc>
            </w:tr>
            <w:tr>
              <w:tc>
                <w:tcPr/>
                <w:p>
                  <w:pPr>
                    <w:pStyle w:val="Compact"/>
                    <w:jc w:val="left"/>
                    <w:jc w:val="center"/>
                  </w:pPr>
                  <w:r>
                    <w:t xml:space="preserve">Autre membre</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Code 10</w:t>
                  </w:r>
                </w:p>
              </w:tc>
              <w:tc>
                <w:tcPr/>
                <w:p>
                  <w:pPr>
                    <w:pStyle w:val="Compact"/>
                    <w:jc w:val="right"/>
                    <w:jc w:val="center"/>
                  </w:pPr>
                  <w:r>
                    <w:t xml:space="preserve">0</w:t>
                  </w:r>
                </w:p>
              </w:tc>
              <w:tc>
                <w:tcPr/>
                <w:p>
                  <w:pPr>
                    <w:pStyle w:val="Compact"/>
                    <w:jc w:val="right"/>
                    <w:jc w:val="center"/>
                  </w:pPr>
                  <w:r>
                    <w:t xml:space="preserve">1</w:t>
                  </w:r>
                </w:p>
              </w:tc>
            </w:tr>
            <w:tr>
              <w:tc>
                <w:tcPr>
                  <w:gridSpan w:val="3"/>
                </w:tcPr>
                <w:p>
                  <w:pPr>
                    <w:pStyle w:val="Compact"/>
                    <w:jc w:val="left"/>
                    <w:jc w:val="center"/>
                  </w:pPr>
                  <w:r>
                    <w:rPr>
                      <w:b/>
                      <w:bCs/>
                    </w:rPr>
                    <w:t xml:space="preserve">Source : Enquête auprès des OR 2025</w:t>
                  </w:r>
                </w:p>
              </w:tc>
            </w:tr>
          </w:tbl>
          <w:bookmarkEnd w:id="821"/>
          <w:p/>
        </w:tc>
      </w:tr>
    </w:tbl>
    <w:bookmarkEnd w:id="822"/>
    <w:bookmarkStart w:id="827"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826"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824" name="Picture"/>
                  <a:graphic>
                    <a:graphicData uri="http://schemas.openxmlformats.org/drawingml/2006/picture">
                      <pic:pic>
                        <pic:nvPicPr>
                          <pic:cNvPr descr="10_enquete_qualite_files/figure-docx/fig-qual-reponse-1.png" id="825" name="Picture"/>
                          <pic:cNvPicPr>
                            <a:picLocks noChangeArrowheads="1" noChangeAspect="1"/>
                          </pic:cNvPicPr>
                        </pic:nvPicPr>
                        <pic:blipFill>
                          <a:blip r:embed="rId823"/>
                          <a:stretch>
                            <a:fillRect/>
                          </a:stretch>
                        </pic:blipFill>
                        <pic:spPr bwMode="auto">
                          <a:xfrm>
                            <a:off x="0" y="0"/>
                            <a:ext cx="5969000" cy="2984500"/>
                          </a:xfrm>
                          <a:prstGeom prst="rect">
                            <a:avLst/>
                          </a:prstGeom>
                          <a:noFill/>
                          <a:ln w="9525">
                            <a:noFill/>
                            <a:headEnd/>
                            <a:tailEnd/>
                          </a:ln>
                        </pic:spPr>
                      </pic:pic>
                    </a:graphicData>
                  </a:graphic>
                </wp:inline>
              </w:drawing>
            </w:r>
          </w:p>
          <w:bookmarkEnd w:id="826"/>
        </w:tc>
      </w:tr>
    </w:tbl>
    <w:bookmarkEnd w:id="827"/>
    <w:bookmarkStart w:id="832"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831"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829" name="Picture"/>
                  <a:graphic>
                    <a:graphicData uri="http://schemas.openxmlformats.org/drawingml/2006/picture">
                      <pic:pic>
                        <pic:nvPicPr>
                          <pic:cNvPr descr="10_enquete_qualite_files/figure-docx/fig-reaction-1.png" id="830" name="Picture"/>
                          <pic:cNvPicPr>
                            <a:picLocks noChangeArrowheads="1" noChangeAspect="1"/>
                          </pic:cNvPicPr>
                        </pic:nvPicPr>
                        <pic:blipFill>
                          <a:blip r:embed="rId828"/>
                          <a:stretch>
                            <a:fillRect/>
                          </a:stretch>
                        </pic:blipFill>
                        <pic:spPr bwMode="auto">
                          <a:xfrm>
                            <a:off x="0" y="0"/>
                            <a:ext cx="5969000" cy="2984500"/>
                          </a:xfrm>
                          <a:prstGeom prst="rect">
                            <a:avLst/>
                          </a:prstGeom>
                          <a:noFill/>
                          <a:ln w="9525">
                            <a:noFill/>
                            <a:headEnd/>
                            <a:tailEnd/>
                          </a:ln>
                        </pic:spPr>
                      </pic:pic>
                    </a:graphicData>
                  </a:graphic>
                </wp:inline>
              </w:drawing>
            </w:r>
          </w:p>
          <w:bookmarkEnd w:id="831"/>
        </w:tc>
      </w:tr>
    </w:tbl>
    <w:bookmarkEnd w:id="832"/>
    <w:bookmarkStart w:id="836" w:name="sec-codes-aberrants"/>
    <w:p>
      <w:pPr>
        <w:pStyle w:val="Titre2"/>
      </w:pPr>
      <w:r>
        <w:t xml:space="preserve">10.5 Codes aberrants à signaler pour l’apurement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33" name="Picture"/>
                  <a:graphic>
                    <a:graphicData uri="http://schemas.openxmlformats.org/drawingml/2006/picture">
                      <pic:pic>
                        <pic:nvPicPr>
                          <pic:cNvPr descr="C:\Users\fbede\AppData\Local\Programs\Quarto\share\formats\docx\warning.png" id="8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Erreurs de saisie détectées dans</w:t>
            </w:r>
            <w:r>
              <w:t xml:space="preserve"> </w:t>
            </w:r>
            <w:r>
              <w:rPr>
                <w:rStyle w:val="VerbatimChar"/>
              </w:rPr>
              <w:t xml:space="preserve">qual1aa</w:t>
            </w:r>
            <w:r>
              <w:t xml:space="preserve"> </w:t>
            </w:r>
            <w:r>
              <w:t xml:space="preserve">et</w:t>
            </w:r>
            <w:r>
              <w:t xml:space="preserve"> </w:t>
            </w:r>
            <w:r>
              <w:rPr>
                <w:rStyle w:val="VerbatimChar"/>
              </w:rPr>
              <w:t xml:space="preserve">qual2aa</w:t>
            </w:r>
          </w:p>
        </w:tc>
      </w:tr>
      <w:tr>
        <w:trPr>
          <w:cantSplit/>
        </w:trPr>
        <w:tc>
          <w:tcPr>
            <w:tcMar>
              <w:top w:w="108" w:type="dxa"/>
              <w:bottom w:w="108" w:type="dxa"/>
            </w:tcMar>
          </w:tcPr>
          <w:p>
            <w:pPr>
              <w:pStyle w:val="Corpsdetexte"/>
            </w:pPr>
            <w:pPr>
              <w:spacing w:before="16"/>
            </w:pPr>
            <w:r>
              <w:rPr>
                <w:rStyle w:val="VerbatimChar"/>
                <w:b/>
                <w:bCs/>
              </w:rPr>
              <w:t xml:space="preserve">qual1aa</w:t>
            </w:r>
            <w:r>
              <w:rPr>
                <w:b/>
                <w:bCs/>
              </w:rPr>
              <w:t xml:space="preserve"> </w:t>
            </w:r>
            <w:r>
              <w:rPr>
                <w:b/>
                <w:bCs/>
              </w:rPr>
              <w:t xml:space="preserve">= 3</w:t>
            </w:r>
            <w:r>
              <w:t xml:space="preserve"> </w:t>
            </w:r>
            <w:r>
              <w:t xml:space="preserve">(21 observations : 3 Alaotra, 18 Marovoay) — Le code 3 n’existe pas dans la grille de codage (</w:t>
            </w:r>
            <w:r>
              <w:rPr>
                <w:rStyle w:val="VerbatimChar"/>
              </w:rPr>
              <w:t xml:space="preserve">1 = Bonne</w:t>
            </w:r>
            <w:r>
              <w:t xml:space="preserve">,</w:t>
            </w:r>
            <w:r>
              <w:t xml:space="preserve"> </w:t>
            </w:r>
            <w:r>
              <w:rPr>
                <w:rStyle w:val="VerbatimChar"/>
              </w:rPr>
              <w:t xml:space="preserve">2 = Mauvaise</w:t>
            </w:r>
            <w:r>
              <w:t xml:space="preserve">). L’hypothèse la plus probable est une</w:t>
            </w:r>
            <w:r>
              <w:t xml:space="preserve"> </w:t>
            </w:r>
            <w:r>
              <w:rPr>
                <w:b/>
                <w:bCs/>
              </w:rPr>
              <w:t xml:space="preserve">erreur de saisie</w:t>
            </w:r>
            <w:r>
              <w:t xml:space="preserve"> </w:t>
            </w:r>
            <w:r>
              <w:t xml:space="preserve">: l’enquêteur a noté</w:t>
            </w:r>
            <w:r>
              <w:t xml:space="preserve"> </w:t>
            </w:r>
            <w:r>
              <w:rPr>
                <w:rStyle w:val="VerbatimChar"/>
              </w:rPr>
              <w:t xml:space="preserve">j11 = 3</w:t>
            </w:r>
            <w:r>
              <w:t xml:space="preserve"> </w:t>
            </w:r>
            <w:r>
              <w:t xml:space="preserve">(Mauvaise) sur la page de couverture et l’opérateur a reporté ce code par erreur dans</w:t>
            </w:r>
            <w:r>
              <w:t xml:space="preserve"> </w:t>
            </w:r>
            <w:r>
              <w:rPr>
                <w:rStyle w:val="VerbatimChar"/>
              </w:rPr>
              <w:t xml:space="preserve">qual1aa</w:t>
            </w:r>
            <w:r>
              <w:t xml:space="preserve">. On note d’ailleurs que 12 de ces 21 cas ont également</w:t>
            </w:r>
            <w:r>
              <w:t xml:space="preserve"> </w:t>
            </w:r>
            <w:r>
              <w:rPr>
                <w:rStyle w:val="VerbatimChar"/>
              </w:rPr>
              <w:t xml:space="preserve">qual2aa = 3</w:t>
            </w:r>
            <w:r>
              <w:t xml:space="preserve"> </w:t>
            </w:r>
            <w:r>
              <w:t xml:space="preserve">(Méfiant) et que</w:t>
            </w:r>
            <w:r>
              <w:t xml:space="preserve"> </w:t>
            </w:r>
            <w:r>
              <w:rPr>
                <w:rStyle w:val="VerbatimChar"/>
              </w:rPr>
              <w:t xml:space="preserve">j11</w:t>
            </w:r>
            <w:r>
              <w:t xml:space="preserve"> </w:t>
            </w:r>
            <w:r>
              <w:t xml:space="preserve">vaut 2 ou 3 dans la quasi-totalité des cas, ce qui confirme qu’il s’agit d’entretiens difficiles.</w:t>
            </w:r>
            <w:r>
              <w:t xml:space="preserve"> </w:t>
            </w:r>
            <w:r>
              <w:rPr>
                <w:b/>
                <w:bCs/>
              </w:rPr>
              <w:t xml:space="preserve">Action recommandée</w:t>
            </w:r>
            <w:r>
              <w:t xml:space="preserve"> </w:t>
            </w:r>
            <w:r>
              <w:t xml:space="preserve">: recoder ces 21 observations en</w:t>
            </w:r>
            <w:r>
              <w:t xml:space="preserve"> </w:t>
            </w:r>
            <w:r>
              <w:rPr>
                <w:rStyle w:val="VerbatimChar"/>
              </w:rPr>
              <w:t xml:space="preserve">qual1aa = 2</w:t>
            </w:r>
            <w:r>
              <w:t xml:space="preserve"> </w:t>
            </w:r>
            <w:r>
              <w:t xml:space="preserve">(Mauvaise), ou les laisser en NA si l’on ne peut confirmer.</w:t>
            </w:r>
          </w:p>
          <w:p>
            <w:pPr>
              <w:pStyle w:val="Corpsdetexte"/>
            </w:pPr>
            <w:r>
              <w:rPr>
                <w:rStyle w:val="VerbatimChar"/>
                <w:b/>
                <w:bCs/>
              </w:rPr>
              <w:t xml:space="preserve">qual2aa</w:t>
            </w:r>
            <w:r>
              <w:rPr>
                <w:b/>
                <w:bCs/>
              </w:rPr>
              <w:t xml:space="preserve"> </w:t>
            </w:r>
            <w:r>
              <w:rPr>
                <w:b/>
                <w:bCs/>
              </w:rPr>
              <w:t xml:space="preserve">= 4</w:t>
            </w:r>
            <w:r>
              <w:t xml:space="preserve"> </w:t>
            </w:r>
            <w:r>
              <w:t xml:space="preserve">(1 observation, Alaotra) — Le code 4 n’existe pas dans la grille (</w:t>
            </w:r>
            <w:r>
              <w:rPr>
                <w:rStyle w:val="VerbatimChar"/>
              </w:rPr>
              <w:t xml:space="preserve">1 = Ouvert</w:t>
            </w:r>
            <w:r>
              <w:t xml:space="preserve">,</w:t>
            </w:r>
            <w:r>
              <w:t xml:space="preserve"> </w:t>
            </w:r>
            <w:r>
              <w:rPr>
                <w:rStyle w:val="VerbatimChar"/>
              </w:rPr>
              <w:t xml:space="preserve">2 = Neutre</w:t>
            </w:r>
            <w:r>
              <w:t xml:space="preserve">,</w:t>
            </w:r>
            <w:r>
              <w:t xml:space="preserve"> </w:t>
            </w:r>
            <w:r>
              <w:rPr>
                <w:rStyle w:val="VerbatimChar"/>
              </w:rPr>
              <w:t xml:space="preserve">3 = Méfiant</w:t>
            </w:r>
            <w:r>
              <w:t xml:space="preserve">).</w:t>
            </w:r>
            <w:r>
              <w:t xml:space="preserve"> </w:t>
            </w:r>
            <w:r>
              <w:rPr>
                <w:rStyle w:val="VerbatimChar"/>
              </w:rPr>
              <w:t xml:space="preserve">qual1aa</w:t>
            </w:r>
            <w:r>
              <w:t xml:space="preserve"> </w:t>
            </w:r>
            <w:r>
              <w:t xml:space="preserve">vaut 1 (Bonne) et la remarque est vide. Il s’agit d’une</w:t>
            </w:r>
            <w:r>
              <w:t xml:space="preserve"> </w:t>
            </w:r>
            <w:r>
              <w:rPr>
                <w:b/>
                <w:bCs/>
              </w:rPr>
              <w:t xml:space="preserve">erreur de saisie isolée</w:t>
            </w:r>
            <w:r>
              <w:t xml:space="preserve">.</w:t>
            </w:r>
            <w:r>
              <w:t xml:space="preserve"> </w:t>
            </w:r>
            <w:r>
              <w:rPr>
                <w:b/>
                <w:bCs/>
              </w:rPr>
              <w:t xml:space="preserve">Action recommandée</w:t>
            </w:r>
            <w:r>
              <w:t xml:space="preserve"> </w:t>
            </w:r>
            <w:r>
              <w:t xml:space="preserve">: recoder en NA.</w:t>
            </w:r>
          </w:p>
          <w:p>
            <w:pPr>
              <w:pStyle w:val="Corpsdetexte"/>
            </w:pPr>
            <w:r>
              <w:rPr>
                <w:b/>
                <w:bCs/>
              </w:rPr>
              <w:t xml:space="preserve">Valeurs manquantes</w:t>
            </w:r>
            <w:r>
              <w:t xml:space="preserve"> </w:t>
            </w:r>
            <w:r>
              <w:t xml:space="preserve">: 3 ménages ont</w:t>
            </w:r>
            <w:r>
              <w:t xml:space="preserve"> </w:t>
            </w:r>
            <w:r>
              <w:rPr>
                <w:rStyle w:val="VerbatimChar"/>
              </w:rPr>
              <w:t xml:space="preserve">qual1aa</w:t>
            </w:r>
            <w:r>
              <w:t xml:space="preserve"> </w:t>
            </w:r>
            <w:r>
              <w:t xml:space="preserve">et</w:t>
            </w:r>
            <w:r>
              <w:t xml:space="preserve"> </w:t>
            </w:r>
            <w:r>
              <w:rPr>
                <w:rStyle w:val="VerbatimChar"/>
              </w:rPr>
              <w:t xml:space="preserve">qual2aa</w:t>
            </w:r>
            <w:r>
              <w:t xml:space="preserve"> </w:t>
            </w:r>
            <w:r>
              <w:t xml:space="preserve">à NA. Ces cas sont à vérifier auprès de l’équipe de saisie.</w:t>
            </w:r>
          </w:p>
          <w:p>
            <w:pPr>
              <w:pStyle w:val="Corpsdetexte"/>
            </w:pPr>
            <w:pPr>
              <w:spacing w:after="16"/>
            </w:pPr>
            <w:r>
              <w:rPr>
                <w:i/>
                <w:iCs/>
              </w:rPr>
              <w:t xml:space="preserve">Les identifiants précis des ménages concernés sont disponibles dans les données brutes (</w:t>
            </w:r>
            <w:r>
              <w:rPr>
                <w:rStyle w:val="VerbatimChar"/>
                <w:i/>
                <w:iCs/>
              </w:rPr>
              <w:t xml:space="preserve">res_remq.dta</w:t>
            </w:r>
            <w:r>
              <w:rPr>
                <w:i/>
                <w:iCs/>
              </w:rPr>
              <w:t xml:space="preserve">) et ne sont pas reproduits ici pour des raisons de confidentialité.</w:t>
            </w:r>
          </w:p>
          <w:p/>
        </w:tc>
      </w:tr>
    </w:tbl>
    <w:tbl>
      <w:tblPr>
        <w:tblStyle w:val="Table"/>
        <w:tblW w:type="pct" w:w="5000"/>
        <w:tblLayout w:type="fixed"/>
        <w:tblLook w:firstRow="0" w:lastRow="0" w:firstColumn="0" w:lastColumn="0" w:noHBand="0" w:noVBand="0" w:val="0000"/>
      </w:tblPr>
      <w:tblGrid>
        <w:gridCol w:w="7920"/>
      </w:tblGrid>
      <w:tr>
        <w:tc>
          <w:tcPr/>
          <w:bookmarkStart w:id="835" w:name="tbl-codes-aberrants"/>
          <w:p>
            <w:pPr>
              <w:jc w:val="center"/>
            </w:pPr>
            <w:pPr>
              <w:jc w:val="left"/>
              <w:spacing w:before="200"/>
              <w:pStyle w:val="ImageCaption"/>
            </w:pPr>
            <w:r>
              <w:t xml:space="preserve">Table 10.2: Observations avec codes aberrants dans qual1aa ou qual2aa (anonymisé)</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w:t>
                  </w:r>
                </w:p>
              </w:tc>
              <w:tc>
                <w:tcPr/>
                <w:p>
                  <w:pPr>
                    <w:pStyle w:val="Compact"/>
                    <w:jc w:val="left"/>
                    <w:jc w:val="center"/>
                  </w:pPr>
                  <w:r>
                    <w:t xml:space="preserve">Observatory</w:t>
                  </w:r>
                </w:p>
              </w:tc>
              <w:tc>
                <w:tcPr/>
                <w:p>
                  <w:pPr>
                    <w:pStyle w:val="Compact"/>
                    <w:jc w:val="left"/>
                    <w:jc w:val="center"/>
                  </w:pPr>
                  <w:r>
                    <w:t xml:space="preserve">j11 (couverture)</w:t>
                  </w:r>
                </w:p>
              </w:tc>
              <w:tc>
                <w:tcPr/>
                <w:p>
                  <w:pPr>
                    <w:pStyle w:val="Compact"/>
                    <w:jc w:val="right"/>
                    <w:jc w:val="center"/>
                  </w:pPr>
                  <w:r>
                    <w:t xml:space="preserve">qual1aa</w:t>
                  </w:r>
                </w:p>
              </w:tc>
              <w:tc>
                <w:tcPr/>
                <w:p>
                  <w:pPr>
                    <w:pStyle w:val="Compact"/>
                    <w:jc w:val="right"/>
                    <w:jc w:val="center"/>
                  </w:pPr>
                  <w:r>
                    <w:t xml:space="preserve">qual2aa</w:t>
                  </w:r>
                </w:p>
              </w:tc>
            </w:tr>
            <w:tr>
              <w:tc>
                <w:tcPr/>
                <w:p>
                  <w:pPr>
                    <w:pStyle w:val="Compact"/>
                    <w:jc w:val="right"/>
                    <w:jc w:val="center"/>
                  </w:pPr>
                  <w:r>
                    <w:t xml:space="preserve">1</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3</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right"/>
                    <w:jc w:val="center"/>
                  </w:pPr>
                  <w:r>
                    <w:t xml:space="preserve">4</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5</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7</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11</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14</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15</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21</w:t>
                  </w:r>
                </w:p>
              </w:tc>
              <w:tc>
                <w:tcPr/>
                <w:p>
                  <w:pPr>
                    <w:pStyle w:val="Compact"/>
                    <w:jc w:val="left"/>
                    <w:jc w:val="center"/>
                  </w:pPr>
                  <w:r>
                    <w:t xml:space="preserve">Marovoay</w:t>
                  </w:r>
                </w:p>
              </w:tc>
              <w:tc>
                <w:tcPr/>
                <w:p>
                  <w:pPr>
                    <w:pStyle w:val="Compact"/>
                    <w:jc w:val="left"/>
                    <w:jc w:val="center"/>
                  </w:pPr>
                  <w:r>
                    <w:t xml:space="preserve">Bonne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22</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23</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24</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25</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gridSpan w:val="5"/>
                </w:tcPr>
                <w:p>
                  <w:pPr>
                    <w:pStyle w:val="Compact"/>
                    <w:jc w:val="right"/>
                    <w:jc w:val="center"/>
                  </w:pPr>
                  <w:r>
                    <w:rPr>
                      <w:b/>
                      <w:bCs/>
                    </w:rPr>
                    <w:t xml:space="preserve">Source : Enquête auprès des OR 2025 — identifiants ménages anonymisés</w:t>
                  </w:r>
                </w:p>
              </w:tc>
            </w:tr>
          </w:tbl>
          <w:bookmarkEnd w:id="835"/>
          <w:p/>
        </w:tc>
      </w:tr>
    </w:tbl>
    <w:bookmarkEnd w:id="836"/>
    <w:bookmarkStart w:id="838" w:name="synthèse-croisée"/>
    <w:p>
      <w:pPr>
        <w:pStyle w:val="Titre2"/>
      </w:pPr>
      <w:r>
        <w:t xml:space="preserve">10.6 Synthèse croisée</w:t>
      </w:r>
    </w:p>
    <w:p>
      <w:pPr>
        <w:pStyle w:val="FirstParagraph"/>
      </w:pPr>
      <w:r>
        <w:t xml:space="preserve">Le</w:t>
      </w:r>
      <w:r>
        <w:t xml:space="preserve"> </w:t>
      </w:r>
      <w:hyperlink w:anchor="tbl-synthese-qualite">
        <w:r>
          <w:rPr>
            <w:rStyle w:val="Lienhypertexte"/>
          </w:rPr>
          <w:t xml:space="preserve">Table 10.3</w:t>
        </w:r>
      </w:hyperlink>
      <w:r>
        <w:t xml:space="preserve"> </w:t>
      </w:r>
      <w:r>
        <w:t xml:space="preserve">croise les deux indicateurs d’évaluation de fin de questionnaire (</w:t>
      </w:r>
      <w:r>
        <w:rPr>
          <w:rStyle w:val="VerbatimChar"/>
        </w:rPr>
        <w:t xml:space="preserve">qual1aa</w:t>
      </w:r>
      <w:r>
        <w:t xml:space="preserve"> </w:t>
      </w:r>
      <w:r>
        <w:t xml:space="preserve">et</w:t>
      </w:r>
      <w:r>
        <w:t xml:space="preserve"> </w:t>
      </w:r>
      <w:r>
        <w:rPr>
          <w:rStyle w:val="VerbatimChar"/>
        </w:rPr>
        <w:t xml:space="preserve">qual2aa</w:t>
      </w:r>
      <w:r>
        <w:t xml:space="preserve">) par observatoire, en ne retenant que les codes valides.</w:t>
      </w:r>
    </w:p>
    <w:tbl>
      <w:tblPr>
        <w:tblStyle w:val="Table"/>
        <w:tblW w:type="pct" w:w="5000"/>
        <w:tblLayout w:type="fixed"/>
        <w:tblLook w:firstRow="0" w:lastRow="0" w:firstColumn="0" w:lastColumn="0" w:noHBand="0" w:noVBand="0" w:val="0000"/>
      </w:tblPr>
      <w:tblGrid>
        <w:gridCol w:w="7920"/>
      </w:tblGrid>
      <w:tr>
        <w:tc>
          <w:tcPr/>
          <w:bookmarkStart w:id="837" w:name="tbl-synthese-qualite"/>
          <w:p>
            <w:pPr>
              <w:jc w:val="center"/>
            </w:pPr>
            <w:pPr>
              <w:jc w:val="left"/>
              <w:spacing w:before="200"/>
              <w:pStyle w:val="ImageCaption"/>
            </w:pPr>
            <w:r>
              <w:t xml:space="preserve">Table 10.3: Synthèse croisée qualité de la réponse × réaction du répondant,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Qualité réponse</w:t>
                  </w:r>
                </w:p>
              </w:tc>
              <w:tc>
                <w:tcPr/>
                <w:p>
                  <w:pPr>
                    <w:pStyle w:val="Compact"/>
                    <w:jc w:val="left"/>
                    <w:jc w:val="center"/>
                  </w:pPr>
                  <w:r>
                    <w:t xml:space="preserve">Réaction 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Bonne</w:t>
                  </w:r>
                </w:p>
              </w:tc>
              <w:tc>
                <w:tcPr/>
                <w:p>
                  <w:pPr>
                    <w:pStyle w:val="Compact"/>
                    <w:jc w:val="left"/>
                    <w:jc w:val="center"/>
                  </w:pPr>
                  <w:r>
                    <w:t xml:space="preserve">Méfiant</w:t>
                  </w:r>
                </w:p>
              </w:tc>
              <w:tc>
                <w:tcPr/>
                <w:p>
                  <w:pPr>
                    <w:pStyle w:val="Compact"/>
                    <w:jc w:val="right"/>
                    <w:jc w:val="center"/>
                  </w:pPr>
                  <w:r>
                    <w:t xml:space="preserve">&lt; 5</w:t>
                  </w:r>
                </w:p>
              </w:tc>
              <w:tc>
                <w:tcPr/>
                <w:p>
                  <w:pPr>
                    <w:pStyle w:val="Compact"/>
                    <w:jc w:val="right"/>
                    <w:jc w:val="center"/>
                  </w:pPr>
                  <w:r>
                    <w:t xml:space="preserve">0</w:t>
                  </w:r>
                </w:p>
              </w:tc>
            </w:tr>
            <w:tr>
              <w:tc>
                <w:tcPr/>
                <w:p>
                  <w:pPr>
                    <w:pStyle w:val="Compact"/>
                    <w:jc w:val="left"/>
                    <w:jc w:val="center"/>
                  </w:pPr>
                  <w:r>
                    <w:t xml:space="preserve">Bonne</w:t>
                  </w:r>
                </w:p>
              </w:tc>
              <w:tc>
                <w:tcPr/>
                <w:p>
                  <w:pPr>
                    <w:pStyle w:val="Compact"/>
                    <w:jc w:val="left"/>
                    <w:jc w:val="center"/>
                  </w:pPr>
                  <w:r>
                    <w:t xml:space="preserve">Neutre</w:t>
                  </w:r>
                </w:p>
              </w:tc>
              <w:tc>
                <w:tcPr/>
                <w:p>
                  <w:pPr>
                    <w:pStyle w:val="Compact"/>
                    <w:jc w:val="right"/>
                    <w:jc w:val="center"/>
                  </w:pPr>
                  <w:r>
                    <w:t xml:space="preserve">9</w:t>
                  </w:r>
                </w:p>
              </w:tc>
              <w:tc>
                <w:tcPr/>
                <w:p>
                  <w:pPr>
                    <w:pStyle w:val="Compact"/>
                    <w:jc w:val="right"/>
                    <w:jc w:val="center"/>
                  </w:pPr>
                  <w:r>
                    <w:t xml:space="preserve">6</w:t>
                  </w:r>
                </w:p>
              </w:tc>
            </w:tr>
            <w:tr>
              <w:tc>
                <w:tcPr/>
                <w:p>
                  <w:pPr>
                    <w:pStyle w:val="Compact"/>
                    <w:jc w:val="left"/>
                    <w:jc w:val="center"/>
                  </w:pPr>
                  <w:r>
                    <w:t xml:space="preserve">Bonne</w:t>
                  </w:r>
                </w:p>
              </w:tc>
              <w:tc>
                <w:tcPr/>
                <w:p>
                  <w:pPr>
                    <w:pStyle w:val="Compact"/>
                    <w:jc w:val="left"/>
                    <w:jc w:val="center"/>
                  </w:pPr>
                  <w:r>
                    <w:t xml:space="preserve">Ouvert</w:t>
                  </w:r>
                </w:p>
              </w:tc>
              <w:tc>
                <w:tcPr/>
                <w:p>
                  <w:pPr>
                    <w:pStyle w:val="Compact"/>
                    <w:jc w:val="right"/>
                    <w:jc w:val="center"/>
                  </w:pPr>
                  <w:r>
                    <w:t xml:space="preserve">301</w:t>
                  </w:r>
                </w:p>
              </w:tc>
              <w:tc>
                <w:tcPr/>
                <w:p>
                  <w:pPr>
                    <w:pStyle w:val="Compact"/>
                    <w:jc w:val="right"/>
                    <w:jc w:val="center"/>
                  </w:pPr>
                  <w:r>
                    <w:t xml:space="preserve">211</w:t>
                  </w:r>
                </w:p>
              </w:tc>
            </w:tr>
            <w:tr>
              <w:tc>
                <w:tcPr/>
                <w:p>
                  <w:pPr>
                    <w:pStyle w:val="Compact"/>
                    <w:jc w:val="left"/>
                    <w:jc w:val="center"/>
                  </w:pPr>
                  <w:r>
                    <w:t xml:space="preserve">Mauvaise</w:t>
                  </w:r>
                </w:p>
              </w:tc>
              <w:tc>
                <w:tcPr/>
                <w:p>
                  <w:pPr>
                    <w:pStyle w:val="Compact"/>
                    <w:jc w:val="left"/>
                    <w:jc w:val="center"/>
                  </w:pPr>
                  <w:r>
                    <w:t xml:space="preserve">Méfiant</w:t>
                  </w:r>
                </w:p>
              </w:tc>
              <w:tc>
                <w:tcPr/>
                <w:p>
                  <w:pPr>
                    <w:pStyle w:val="Compact"/>
                    <w:jc w:val="right"/>
                    <w:jc w:val="center"/>
                  </w:pPr>
                  <w:r>
                    <w:t xml:space="preserve">6</w:t>
                  </w:r>
                </w:p>
              </w:tc>
              <w:tc>
                <w:tcPr/>
                <w:p>
                  <w:pPr>
                    <w:pStyle w:val="Compact"/>
                    <w:jc w:val="right"/>
                    <w:jc w:val="center"/>
                  </w:pPr>
                  <w:r>
                    <w:t xml:space="preserve">22</w:t>
                  </w:r>
                </w:p>
              </w:tc>
            </w:tr>
            <w:tr>
              <w:tc>
                <w:tcPr/>
                <w:p>
                  <w:pPr>
                    <w:pStyle w:val="Compact"/>
                    <w:jc w:val="left"/>
                    <w:jc w:val="center"/>
                  </w:pPr>
                  <w:r>
                    <w:t xml:space="preserve">Mauvaise</w:t>
                  </w:r>
                </w:p>
              </w:tc>
              <w:tc>
                <w:tcPr/>
                <w:p>
                  <w:pPr>
                    <w:pStyle w:val="Compact"/>
                    <w:jc w:val="left"/>
                    <w:jc w:val="center"/>
                  </w:pPr>
                  <w:r>
                    <w:t xml:space="preserve">Neutre</w:t>
                  </w:r>
                </w:p>
              </w:tc>
              <w:tc>
                <w:tcPr/>
                <w:p>
                  <w:pPr>
                    <w:pStyle w:val="Compact"/>
                    <w:jc w:val="right"/>
                    <w:jc w:val="center"/>
                  </w:pPr>
                  <w:r>
                    <w:t xml:space="preserve">105</w:t>
                  </w:r>
                </w:p>
              </w:tc>
              <w:tc>
                <w:tcPr/>
                <w:p>
                  <w:pPr>
                    <w:pStyle w:val="Compact"/>
                    <w:jc w:val="right"/>
                    <w:jc w:val="center"/>
                  </w:pPr>
                  <w:r>
                    <w:t xml:space="preserve">184</w:t>
                  </w:r>
                </w:p>
              </w:tc>
            </w:tr>
            <w:tr>
              <w:tc>
                <w:tcPr/>
                <w:p>
                  <w:pPr>
                    <w:pStyle w:val="Compact"/>
                    <w:jc w:val="left"/>
                    <w:jc w:val="center"/>
                  </w:pPr>
                  <w:r>
                    <w:t xml:space="preserve">Mauvaise</w:t>
                  </w:r>
                </w:p>
              </w:tc>
              <w:tc>
                <w:tcPr/>
                <w:p>
                  <w:pPr>
                    <w:pStyle w:val="Compact"/>
                    <w:jc w:val="left"/>
                    <w:jc w:val="center"/>
                  </w:pPr>
                  <w:r>
                    <w:t xml:space="preserve">Ouvert</w:t>
                  </w:r>
                </w:p>
              </w:tc>
              <w:tc>
                <w:tcPr/>
                <w:p>
                  <w:pPr>
                    <w:pStyle w:val="Compact"/>
                    <w:jc w:val="right"/>
                    <w:jc w:val="center"/>
                  </w:pPr>
                  <w:r>
                    <w:t xml:space="preserve">80</w:t>
                  </w:r>
                </w:p>
              </w:tc>
              <w:tc>
                <w:tcPr/>
                <w:p>
                  <w:pPr>
                    <w:pStyle w:val="Compact"/>
                    <w:jc w:val="right"/>
                    <w:jc w:val="center"/>
                  </w:pPr>
                  <w:r>
                    <w:t xml:space="preserve">76</w:t>
                  </w:r>
                </w:p>
              </w:tc>
            </w:tr>
            <w:tr>
              <w:tc>
                <w:tcPr>
                  <w:gridSpan w:val="4"/>
                </w:tcPr>
                <w:p>
                  <w:pPr>
                    <w:pStyle w:val="Compact"/>
                    <w:jc w:val="left"/>
                    <w:jc w:val="center"/>
                  </w:pPr>
                  <w:r>
                    <w:rPr>
                      <w:b/>
                      <w:bCs/>
                    </w:rPr>
                    <w:t xml:space="preserve">Source : Enquête auprès des OR 2025</w:t>
                  </w:r>
                </w:p>
              </w:tc>
            </w:tr>
          </w:tbl>
          <w:bookmarkEnd w:id="837"/>
          <w:p/>
        </w:tc>
      </w:tr>
    </w:tbl>
    <w:bookmarkEnd w:id="838"/>
    <w:bookmarkStart w:id="839" w:name="remarques-générales"/>
    <w:p>
      <w:pPr>
        <w:pStyle w:val="Titre2"/>
      </w:pPr>
      <w:r>
        <w:t xml:space="preserve">10.7 Remarques générales</w:t>
      </w:r>
    </w:p>
    <w:p>
      <w:pPr>
        <w:pStyle w:val="FirstParagraph"/>
      </w:pPr>
      <w:r>
        <w:t xml:space="preserve">Le champ</w:t>
      </w:r>
      <w:r>
        <w:t xml:space="preserve"> </w:t>
      </w:r>
      <w:r>
        <w:rPr>
          <w:rStyle w:val="VerbatimChar"/>
        </w:rPr>
        <w:t xml:space="preserve">rmq_gle</w:t>
      </w:r>
      <w:r>
        <w:t xml:space="preserve"> </w:t>
      </w:r>
      <w:r>
        <w:t xml:space="preserve">recueille les remarques libres de l’enquêteur en fin d’entretien. Sur les 1026 ménages, 857 comportent une remarque substantielle (hors « RAS »). Ces remarques, rédigées en malgache, signalent notamment des difficultés rencontrées lors de l’entretien (répondant pressé, absences répétées, méfiance) ou apportent des précisions sur la situation du ménage.</w:t>
      </w:r>
    </w:p>
    <w:bookmarkEnd w:id="839"/>
    <w:bookmarkEnd w:id="840"/>
    <w:bookmarkStart w:id="901" w:name="sec-representativite"/>
    <w:p>
      <w:pPr>
        <w:pStyle w:val="Titre1"/>
      </w:pPr>
      <w:r>
        <w:t xml:space="preserve">11. Représentativité et pondération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1" name="Picture"/>
                  <a:graphic>
                    <a:graphicData uri="http://schemas.openxmlformats.org/drawingml/2006/picture">
                      <pic:pic>
                        <pic:nvPicPr>
                          <pic:cNvPr descr="C:\Users\fbede\AppData\Local\Programs\Quarto\share\formats\docx\warning.png" id="8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Ce chapitre évalue la représentativité de l’échantillon 2025 des observatoires ruraux et propose des stratégies de pondération pour corriger les biais d’échantillonnage. La démarche suit une progression logique en quatre étapes :</w:t>
      </w:r>
    </w:p>
    <w:p>
      <w:pPr>
        <w:pStyle w:val="Compact"/>
        <w:numPr>
          <w:ilvl w:val="0"/>
          <w:numId w:val="1010"/>
        </w:numPr>
      </w:pPr>
      <w:r>
        <w:rPr>
          <w:b/>
          <w:bCs/>
        </w:rPr>
        <w:t xml:space="preserve">Plan de sondage et poids de base</w:t>
      </w:r>
      <w:r>
        <w:t xml:space="preserve"> </w:t>
      </w:r>
      <w:r>
        <w:t xml:space="preserve">— caractériser le dispositif d’échantillonnage et calculer les poids initiaux.</w:t>
      </w:r>
    </w:p>
    <w:p>
      <w:pPr>
        <w:pStyle w:val="Compact"/>
        <w:numPr>
          <w:ilvl w:val="0"/>
          <w:numId w:val="1010"/>
        </w:numPr>
      </w:pPr>
      <w:r>
        <w:rPr>
          <w:b/>
          <w:bCs/>
        </w:rPr>
        <w:t xml:space="preserve">Évaluation de la représentativité</w:t>
      </w:r>
      <w:r>
        <w:t xml:space="preserve"> </w:t>
      </w:r>
      <w:r>
        <w:t xml:space="preserve">— confronter l’échantillon au RGPH-3 (2018) sur un ensemble élargi d’indicateurs.</w:t>
      </w:r>
    </w:p>
    <w:p>
      <w:pPr>
        <w:pStyle w:val="Compact"/>
        <w:numPr>
          <w:ilvl w:val="0"/>
          <w:numId w:val="1010"/>
        </w:numPr>
      </w:pPr>
      <w:r>
        <w:rPr>
          <w:b/>
          <w:bCs/>
        </w:rPr>
        <w:t xml:space="preserve">Méthodes de correction</w:t>
      </w:r>
      <w:r>
        <w:t xml:space="preserve"> </w:t>
      </w:r>
      <w:r>
        <w:t xml:space="preserve">— appliquer successivement post-stratification, calage et estimation pour petits domaines afin de corriger les biais identifiés.</w:t>
      </w:r>
    </w:p>
    <w:p>
      <w:pPr>
        <w:pStyle w:val="Compact"/>
        <w:numPr>
          <w:ilvl w:val="0"/>
          <w:numId w:val="1010"/>
        </w:numPr>
      </w:pPr>
      <w:r>
        <w:rPr>
          <w:b/>
          <w:bCs/>
        </w:rPr>
        <w:t xml:space="preserve">Perspective historique</w:t>
      </w:r>
      <w:r>
        <w:t xml:space="preserve"> </w:t>
      </w:r>
      <w:r>
        <w:t xml:space="preserve">— examiner la dérive du panel (1995–2015) et le cadre de recalibration.</w:t>
      </w:r>
    </w:p>
    <w:p>
      <w:pPr>
        <w:pStyle w:val="FirstParagraph"/>
      </w:pPr>
      <w:r>
        <w:t xml:space="preserve">L’analyse repose sur la théorie de l’échantillonnage assistée par modèle</w:t>
      </w:r>
      <w:r>
        <w:t xml:space="preserve"> </w:t>
      </w:r>
      <w:r>
        <w:t xml:space="preserve">(Särndal, Swensson, et Wretman 2003)</w:t>
      </w:r>
      <w:r>
        <w:t xml:space="preserve"> </w:t>
      </w:r>
      <w:r>
        <w:t xml:space="preserve">et sur les méthodes de calibration</w:t>
      </w:r>
      <w:r>
        <w:t xml:space="preserve"> </w:t>
      </w:r>
      <w:r>
        <w:t xml:space="preserve">(Deville et Särndal 1992)</w:t>
      </w:r>
      <w:r>
        <w:t xml:space="preserve">. Les calculs sont réalisés avec le package</w:t>
      </w:r>
      <w:r>
        <w:t xml:space="preserve"> </w:t>
      </w:r>
      <w:r>
        <w:rPr>
          <w:rStyle w:val="VerbatimChar"/>
        </w:rPr>
        <w:t xml:space="preserve">survey</w:t>
      </w:r>
      <w:r>
        <w:t xml:space="preserve"> </w:t>
      </w:r>
      <w:r>
        <w:t xml:space="preserve">pour R</w:t>
      </w:r>
      <w:r>
        <w:t xml:space="preserve"> </w:t>
      </w:r>
      <w:r>
        <w:t xml:space="preserve">(Lumley 2010, 2004)</w:t>
      </w:r>
      <w:r>
        <w:t xml:space="preserve">.</w:t>
      </w:r>
    </w:p>
    <w:bookmarkStart w:id="852" w:name="plan-de-sondage-et-poids-de-base"/>
    <w:p>
      <w:pPr>
        <w:pStyle w:val="Titre2"/>
      </w:pPr>
      <w:r>
        <w:t xml:space="preserve">11.1 Plan de sondage et poids de base</w:t>
      </w:r>
    </w:p>
    <w:bookmarkStart w:id="843" w:name="structure-de-léchantillon"/>
    <w:p>
      <w:pPr>
        <w:pStyle w:val="Titre3"/>
      </w:pPr>
      <w:r>
        <w:t xml:space="preserve">11.1.1 Structure de l’échantillon</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p>
      <w:pPr>
        <w:pStyle w:val="Corpsdetexte"/>
      </w:pPr>
      <w:r>
        <w:t xml:space="preserve">En 2025, après dix ans d’interruption, l’échantillon a été reconstitué via un nouveau dénombrement exhaustif suivi d’un tirage de ménages. Une partie des ménages tirés sont d’anciens ménages du panel, tandis que d’autres sont entièrement nouveaux. Les probabilités d’inclusion varient donc d’un hameau à l’autre, ce qui impose l’utilisation de pondérations pour obtenir des estimations non biaisées</w:t>
      </w:r>
      <w:r>
        <w:t xml:space="preserve"> </w:t>
      </w:r>
      <w:r>
        <w:t xml:space="preserve">(Kish 1965; Lohr 2022)</w:t>
      </w:r>
      <w:r>
        <w:t xml:space="preserve">.</w:t>
      </w:r>
    </w:p>
    <w:bookmarkEnd w:id="843"/>
    <w:bookmarkStart w:id="849" w:name="taux-de-sondage-par-site"/>
    <w:p>
      <w:pPr>
        <w:pStyle w:val="Titre3"/>
      </w:pPr>
      <w:r>
        <w:t xml:space="preserve">11.1.2 Taux de sondage par site</w:t>
      </w:r>
    </w:p>
    <w:p>
      <w:pPr>
        <w:pStyle w:val="FirstParagraph"/>
      </w:pPr>
      <w:r>
        <w:t xml:space="preserve">Le taux de sondage varie d’un site (fokontany) à l’autre. Pour chaque ménage, le poids de base (ou poids de design) est l’inverse du taux de sondage de son site :</w:t>
      </w:r>
    </w:p>
    <w:p>
      <w:pPr>
        <w:pStyle w:val="Corpsdetexte"/>
      </w:pPr>
      <m:oMathPara>
        <m:oMathParaPr>
          <m:jc m:val="center"/>
        </m:oMathParaPr>
        <m:oMath>
          <m:sSub>
            <m:e>
              <m:r>
                <m:t>w</m:t>
              </m:r>
            </m:e>
            <m:sub>
              <m:r>
                <m:t>i</m:t>
              </m:r>
            </m:sub>
          </m:sSub>
          <m:r>
            <m:rPr>
              <m:sty m:val="p"/>
            </m:rPr>
            <m:t>=</m:t>
          </m:r>
          <m:f>
            <m:fPr>
              <m:type m:val="bar"/>
            </m:fPr>
            <m:num>
              <m:sSub>
                <m:e>
                  <m:r>
                    <m:t>N</m:t>
                  </m:r>
                </m:e>
                <m:sub>
                  <m:r>
                    <m:t>s</m:t>
                  </m:r>
                </m:sub>
              </m:sSub>
            </m:num>
            <m:den>
              <m:sSub>
                <m:e>
                  <m:r>
                    <m:t>n</m:t>
                  </m:r>
                </m:e>
                <m:sub>
                  <m:r>
                    <m:t>s</m:t>
                  </m:r>
                </m:sub>
              </m:sSub>
            </m:den>
          </m:f>
        </m:oMath>
      </m:oMathPara>
    </w:p>
    <w:p>
      <w:pPr>
        <w:pStyle w:val="FirstParagraph"/>
      </w:pPr>
      <w:r>
        <w:t xml:space="preserve">où</w:t>
      </w:r>
      <w:r>
        <w:t xml:space="preserve"> </w:t>
      </w:r>
      <m:oMath>
        <m:sSub>
          <m:e>
            <m:r>
              <m:t>N</m:t>
            </m:r>
          </m:e>
          <m:sub>
            <m:r>
              <m:t>s</m:t>
            </m:r>
          </m:sub>
        </m:sSub>
      </m:oMath>
      <w:r>
        <w:t xml:space="preserve"> </w:t>
      </w:r>
      <w:r>
        <w:t xml:space="preserve">est le nombre de ménages dénombrés dans le site</w:t>
      </w:r>
      <w:r>
        <w:t xml:space="preserve"> </w:t>
      </w:r>
      <m:oMath>
        <m:r>
          <m:t>s</m:t>
        </m:r>
      </m:oMath>
      <w:r>
        <w:t xml:space="preserve"> </w:t>
      </w:r>
      <w:r>
        <w:t xml:space="preserve">et</w:t>
      </w:r>
      <w:r>
        <w:t xml:space="preserve"> </w:t>
      </w:r>
      <m:oMath>
        <m:sSub>
          <m:e>
            <m:r>
              <m:t>n</m:t>
            </m:r>
          </m:e>
          <m:sub>
            <m:r>
              <m:t>s</m:t>
            </m:r>
          </m:sub>
        </m:sSub>
      </m:oMath>
      <w:r>
        <w:t xml:space="preserve"> </w:t>
      </w:r>
      <w:r>
        <w:t xml:space="preserve">le nombre de ménages enquêtés</w:t>
      </w:r>
      <w:r>
        <w:t xml:space="preserve"> </w:t>
      </w:r>
      <w:r>
        <w:t xml:space="preserve">(Kish 1965)</w:t>
      </w:r>
      <w:r>
        <w:t xml:space="preserve">. L’appariement entre la liste de dénombrement et les données d’enquête se fait au niveau du fokontany : pour Marovoay, le préfixe du site est extrait du nom composé du hameau ; pour Alaotra, une table de correspondance relie chaque hameau d’enquête à son fokontany de rattachement. Les fokontany d’Analamiranga et de Maritampona, situés dans la commune d’Amparafaravola, sont traités comme un seul site (« Ambatoharanana-Maritampona ») car ils ont été couverts par la même équipe d’enquêteurs.</w:t>
      </w:r>
    </w:p>
    <w:tbl>
      <w:tblPr>
        <w:tblStyle w:val="Table"/>
        <w:tblW w:type="pct" w:w="5000"/>
        <w:tblLayout w:type="fixed"/>
        <w:tblLook w:firstRow="0" w:lastRow="0" w:firstColumn="0" w:lastColumn="0" w:noHBand="0" w:noVBand="0" w:val="0000"/>
      </w:tblPr>
      <w:tblGrid>
        <w:gridCol w:w="7920"/>
      </w:tblGrid>
      <w:tr>
        <w:tc>
          <w:tcPr/>
          <w:bookmarkStart w:id="844" w:name="tbl-sampling-rates"/>
          <w:p>
            <w:pPr>
              <w:jc w:val="center"/>
            </w:pPr>
            <w:pPr>
              <w:jc w:val="left"/>
              <w:spacing w:before="200"/>
              <w:pStyle w:val="ImageCaption"/>
            </w:pPr>
            <w:r>
              <w:t xml:space="preserve">Table 11.1: Taux de sondage par site (fokontany)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Site (Fokontany)</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c>
                <w:tcPr/>
                <w:p>
                  <w:pPr>
                    <w:pStyle w:val="Compact"/>
                    <w:jc w:val="right"/>
                    <w:jc w:val="center"/>
                  </w:pPr>
                  <w:r>
                    <w:t xml:space="preserve">Poids de base</w:t>
                  </w:r>
                </w:p>
              </w:tc>
            </w:tr>
            <w:tr>
              <w:tc>
                <w:tcPr>
                  <w:gridSpan w:val="5"/>
                </w:tcPr>
                <w:p>
                  <w:pPr>
                    <w:pStyle w:val="Compact"/>
                    <w:jc w:val="left"/>
                    <w:jc w:val="center"/>
                  </w:pPr>
                  <w:r>
                    <w:t xml:space="preserve">Alaotra</w:t>
                  </w:r>
                </w:p>
              </w:tc>
            </w:tr>
            <w:tr>
              <w:tc>
                <w:tcPr/>
                <w:p>
                  <w:pPr>
                    <w:pStyle w:val="Compact"/>
                    <w:jc w:val="left"/>
                    <w:jc w:val="center"/>
                  </w:pPr>
                  <w:r>
                    <w:t xml:space="preserve">Ambatoharanana-Maritampona</w:t>
                  </w:r>
                </w:p>
              </w:tc>
              <w:tc>
                <w:tcPr/>
                <w:p>
                  <w:pPr>
                    <w:pStyle w:val="Compact"/>
                    <w:jc w:val="right"/>
                    <w:jc w:val="center"/>
                  </w:pPr>
                  <w:r>
                    <w:t xml:space="preserve">413</w:t>
                  </w:r>
                </w:p>
              </w:tc>
              <w:tc>
                <w:tcPr/>
                <w:p>
                  <w:pPr>
                    <w:pStyle w:val="Compact"/>
                    <w:jc w:val="right"/>
                    <w:jc w:val="center"/>
                  </w:pPr>
                  <w:r>
                    <w:t xml:space="preserve">135</w:t>
                  </w:r>
                </w:p>
              </w:tc>
              <w:tc>
                <w:tcPr/>
                <w:p>
                  <w:pPr>
                    <w:pStyle w:val="Compact"/>
                    <w:jc w:val="right"/>
                    <w:jc w:val="center"/>
                  </w:pPr>
                  <w:r>
                    <w:t xml:space="preserve">32.7</w:t>
                  </w:r>
                </w:p>
              </w:tc>
              <w:tc>
                <w:tcPr/>
                <w:p>
                  <w:pPr>
                    <w:pStyle w:val="Compact"/>
                    <w:jc w:val="right"/>
                    <w:jc w:val="center"/>
                  </w:pPr>
                  <w:r>
                    <w:t xml:space="preserve">3.1</w:t>
                  </w:r>
                </w:p>
              </w:tc>
            </w:tr>
            <w:tr>
              <w:tc>
                <w:tcPr/>
                <w:p>
                  <w:pPr>
                    <w:pStyle w:val="Compact"/>
                    <w:jc w:val="left"/>
                    <w:jc w:val="center"/>
                  </w:pPr>
                  <w:r>
                    <w:t xml:space="preserve">Ambatomanga</w:t>
                  </w:r>
                </w:p>
              </w:tc>
              <w:tc>
                <w:tcPr/>
                <w:p>
                  <w:pPr>
                    <w:pStyle w:val="Compact"/>
                    <w:jc w:val="right"/>
                    <w:jc w:val="center"/>
                  </w:pPr>
                  <w:r>
                    <w:t xml:space="preserve">764</w:t>
                  </w:r>
                </w:p>
              </w:tc>
              <w:tc>
                <w:tcPr/>
                <w:p>
                  <w:pPr>
                    <w:pStyle w:val="Compact"/>
                    <w:jc w:val="right"/>
                    <w:jc w:val="center"/>
                  </w:pPr>
                  <w:r>
                    <w:t xml:space="preserve">68</w:t>
                  </w:r>
                </w:p>
              </w:tc>
              <w:tc>
                <w:tcPr/>
                <w:p>
                  <w:pPr>
                    <w:pStyle w:val="Compact"/>
                    <w:jc w:val="right"/>
                    <w:jc w:val="center"/>
                  </w:pPr>
                  <w:r>
                    <w:t xml:space="preserve">8.9</w:t>
                  </w:r>
                </w:p>
              </w:tc>
              <w:tc>
                <w:tcPr/>
                <w:p>
                  <w:pPr>
                    <w:pStyle w:val="Compact"/>
                    <w:jc w:val="right"/>
                    <w:jc w:val="center"/>
                  </w:pPr>
                  <w:r>
                    <w:t xml:space="preserve">11.2</w:t>
                  </w:r>
                </w:p>
              </w:tc>
            </w:tr>
            <w:tr>
              <w:tc>
                <w:tcPr/>
                <w:p>
                  <w:pPr>
                    <w:pStyle w:val="Compact"/>
                    <w:jc w:val="left"/>
                    <w:jc w:val="center"/>
                  </w:pPr>
                  <w:r>
                    <w:t xml:space="preserve">Ambohidrony</w:t>
                  </w:r>
                </w:p>
              </w:tc>
              <w:tc>
                <w:tcPr/>
                <w:p>
                  <w:pPr>
                    <w:pStyle w:val="Compact"/>
                    <w:jc w:val="right"/>
                    <w:jc w:val="center"/>
                  </w:pPr>
                  <w:r>
                    <w:t xml:space="preserve">639</w:t>
                  </w:r>
                </w:p>
              </w:tc>
              <w:tc>
                <w:tcPr/>
                <w:p>
                  <w:pPr>
                    <w:pStyle w:val="Compact"/>
                    <w:jc w:val="right"/>
                    <w:jc w:val="center"/>
                  </w:pPr>
                  <w:r>
                    <w:t xml:space="preserve">52</w:t>
                  </w:r>
                </w:p>
              </w:tc>
              <w:tc>
                <w:tcPr/>
                <w:p>
                  <w:pPr>
                    <w:pStyle w:val="Compact"/>
                    <w:jc w:val="right"/>
                    <w:jc w:val="center"/>
                  </w:pPr>
                  <w:r>
                    <w:t xml:space="preserve">8.1</w:t>
                  </w:r>
                </w:p>
              </w:tc>
              <w:tc>
                <w:tcPr/>
                <w:p>
                  <w:pPr>
                    <w:pStyle w:val="Compact"/>
                    <w:jc w:val="right"/>
                    <w:jc w:val="center"/>
                  </w:pPr>
                  <w:r>
                    <w:t xml:space="preserve">12.3</w:t>
                  </w:r>
                </w:p>
              </w:tc>
            </w:tr>
            <w:tr>
              <w:tc>
                <w:tcPr/>
                <w:p>
                  <w:pPr>
                    <w:pStyle w:val="Compact"/>
                    <w:jc w:val="left"/>
                    <w:jc w:val="center"/>
                  </w:pPr>
                  <w:r>
                    <w:t xml:space="preserve">Avaradrano</w:t>
                  </w:r>
                </w:p>
              </w:tc>
              <w:tc>
                <w:tcPr/>
                <w:p>
                  <w:pPr>
                    <w:pStyle w:val="Compact"/>
                    <w:jc w:val="right"/>
                    <w:jc w:val="center"/>
                  </w:pPr>
                  <w:r>
                    <w:t xml:space="preserve">346</w:t>
                  </w:r>
                </w:p>
              </w:tc>
              <w:tc>
                <w:tcPr/>
                <w:p>
                  <w:pPr>
                    <w:pStyle w:val="Compact"/>
                    <w:jc w:val="right"/>
                    <w:jc w:val="center"/>
                  </w:pPr>
                  <w:r>
                    <w:t xml:space="preserve">90</w:t>
                  </w:r>
                </w:p>
              </w:tc>
              <w:tc>
                <w:tcPr/>
                <w:p>
                  <w:pPr>
                    <w:pStyle w:val="Compact"/>
                    <w:jc w:val="right"/>
                    <w:jc w:val="center"/>
                  </w:pPr>
                  <w:r>
                    <w:t xml:space="preserve">26.0</w:t>
                  </w:r>
                </w:p>
              </w:tc>
              <w:tc>
                <w:tcPr/>
                <w:p>
                  <w:pPr>
                    <w:pStyle w:val="Compact"/>
                    <w:jc w:val="right"/>
                    <w:jc w:val="center"/>
                  </w:pPr>
                  <w:r>
                    <w:t xml:space="preserve">3.8</w:t>
                  </w:r>
                </w:p>
              </w:tc>
            </w:tr>
            <w:tr>
              <w:tc>
                <w:tcPr/>
                <w:p>
                  <w:pPr>
                    <w:pStyle w:val="Compact"/>
                    <w:jc w:val="left"/>
                    <w:jc w:val="center"/>
                  </w:pPr>
                  <w:r>
                    <w:t xml:space="preserve">Feramanga Atsimo</w:t>
                  </w:r>
                </w:p>
              </w:tc>
              <w:tc>
                <w:tcPr/>
                <w:p>
                  <w:pPr>
                    <w:pStyle w:val="Compact"/>
                    <w:jc w:val="right"/>
                    <w:jc w:val="center"/>
                  </w:pPr>
                  <w:r>
                    <w:t xml:space="preserve">543</w:t>
                  </w:r>
                </w:p>
              </w:tc>
              <w:tc>
                <w:tcPr/>
                <w:p>
                  <w:pPr>
                    <w:pStyle w:val="Compact"/>
                    <w:jc w:val="right"/>
                    <w:jc w:val="center"/>
                  </w:pPr>
                  <w:r>
                    <w:t xml:space="preserve">89</w:t>
                  </w:r>
                </w:p>
              </w:tc>
              <w:tc>
                <w:tcPr/>
                <w:p>
                  <w:pPr>
                    <w:pStyle w:val="Compact"/>
                    <w:jc w:val="right"/>
                    <w:jc w:val="center"/>
                  </w:pPr>
                  <w:r>
                    <w:t xml:space="preserve">16.4</w:t>
                  </w:r>
                </w:p>
              </w:tc>
              <w:tc>
                <w:tcPr/>
                <w:p>
                  <w:pPr>
                    <w:pStyle w:val="Compact"/>
                    <w:jc w:val="right"/>
                    <w:jc w:val="center"/>
                  </w:pPr>
                  <w:r>
                    <w:t xml:space="preserve">6.1</w:t>
                  </w:r>
                </w:p>
              </w:tc>
            </w:tr>
            <w:tr>
              <w:tc>
                <w:tcPr/>
                <w:p>
                  <w:pPr>
                    <w:pStyle w:val="Compact"/>
                    <w:jc w:val="left"/>
                    <w:jc w:val="center"/>
                  </w:pPr>
                  <w:r>
                    <w:t xml:space="preserve">Mangabe</w:t>
                  </w:r>
                </w:p>
              </w:tc>
              <w:tc>
                <w:tcPr/>
                <w:p>
                  <w:pPr>
                    <w:pStyle w:val="Compact"/>
                    <w:jc w:val="right"/>
                    <w:jc w:val="center"/>
                  </w:pPr>
                  <w:r>
                    <w:t xml:space="preserve">400</w:t>
                  </w:r>
                </w:p>
              </w:tc>
              <w:tc>
                <w:tcPr/>
                <w:p>
                  <w:pPr>
                    <w:pStyle w:val="Compact"/>
                    <w:jc w:val="right"/>
                    <w:jc w:val="center"/>
                  </w:pPr>
                  <w:r>
                    <w:t xml:space="preserve">73</w:t>
                  </w:r>
                </w:p>
              </w:tc>
              <w:tc>
                <w:tcPr/>
                <w:p>
                  <w:pPr>
                    <w:pStyle w:val="Compact"/>
                    <w:jc w:val="right"/>
                    <w:jc w:val="center"/>
                  </w:pPr>
                  <w:r>
                    <w:t xml:space="preserve">18.2</w:t>
                  </w:r>
                </w:p>
              </w:tc>
              <w:tc>
                <w:tcPr/>
                <w:p>
                  <w:pPr>
                    <w:pStyle w:val="Compact"/>
                    <w:jc w:val="right"/>
                    <w:jc w:val="center"/>
                  </w:pPr>
                  <w:r>
                    <w:t xml:space="preserve">5.5</w:t>
                  </w:r>
                </w:p>
              </w:tc>
            </w:tr>
            <w:tr>
              <w:tc>
                <w:tcPr>
                  <w:gridSpan w:val="5"/>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699</w:t>
                  </w:r>
                </w:p>
              </w:tc>
              <w:tc>
                <w:tcPr/>
                <w:p>
                  <w:pPr>
                    <w:pStyle w:val="Compact"/>
                    <w:jc w:val="right"/>
                    <w:jc w:val="center"/>
                  </w:pPr>
                  <w:r>
                    <w:t xml:space="preserve">143</w:t>
                  </w:r>
                </w:p>
              </w:tc>
              <w:tc>
                <w:tcPr/>
                <w:p>
                  <w:pPr>
                    <w:pStyle w:val="Compact"/>
                    <w:jc w:val="right"/>
                    <w:jc w:val="center"/>
                  </w:pPr>
                  <w:r>
                    <w:t xml:space="preserve">20.5</w:t>
                  </w:r>
                </w:p>
              </w:tc>
              <w:tc>
                <w:tcPr/>
                <w:p>
                  <w:pPr>
                    <w:pStyle w:val="Compact"/>
                    <w:jc w:val="right"/>
                    <w:jc w:val="center"/>
                  </w:pPr>
                  <w:r>
                    <w:t xml:space="preserve">4.9</w:t>
                  </w:r>
                </w:p>
              </w:tc>
            </w:tr>
            <w:tr>
              <w:tc>
                <w:tcPr/>
                <w:p>
                  <w:pPr>
                    <w:pStyle w:val="Compact"/>
                    <w:jc w:val="left"/>
                    <w:jc w:val="center"/>
                  </w:pPr>
                  <w:r>
                    <w:t xml:space="preserve">Bepako</w:t>
                  </w:r>
                </w:p>
              </w:tc>
              <w:tc>
                <w:tcPr/>
                <w:p>
                  <w:pPr>
                    <w:pStyle w:val="Compact"/>
                    <w:jc w:val="right"/>
                    <w:jc w:val="center"/>
                  </w:pPr>
                  <w:r>
                    <w:t xml:space="preserve">575</w:t>
                  </w:r>
                </w:p>
              </w:tc>
              <w:tc>
                <w:tcPr/>
                <w:p>
                  <w:pPr>
                    <w:pStyle w:val="Compact"/>
                    <w:jc w:val="right"/>
                    <w:jc w:val="center"/>
                  </w:pPr>
                  <w:r>
                    <w:t xml:space="preserve">123</w:t>
                  </w:r>
                </w:p>
              </w:tc>
              <w:tc>
                <w:tcPr/>
                <w:p>
                  <w:pPr>
                    <w:pStyle w:val="Compact"/>
                    <w:jc w:val="right"/>
                    <w:jc w:val="center"/>
                  </w:pPr>
                  <w:r>
                    <w:t xml:space="preserve">21.4</w:t>
                  </w:r>
                </w:p>
              </w:tc>
              <w:tc>
                <w:tcPr/>
                <w:p>
                  <w:pPr>
                    <w:pStyle w:val="Compact"/>
                    <w:jc w:val="right"/>
                    <w:jc w:val="center"/>
                  </w:pPr>
                  <w:r>
                    <w:t xml:space="preserve">4.7</w:t>
                  </w:r>
                </w:p>
              </w:tc>
            </w:tr>
            <w:tr>
              <w:tc>
                <w:tcPr/>
                <w:p>
                  <w:pPr>
                    <w:pStyle w:val="Compact"/>
                    <w:jc w:val="left"/>
                    <w:jc w:val="center"/>
                  </w:pPr>
                  <w:r>
                    <w:t xml:space="preserve">Madiromiongana</w:t>
                  </w:r>
                </w:p>
              </w:tc>
              <w:tc>
                <w:tcPr/>
                <w:p>
                  <w:pPr>
                    <w:pStyle w:val="Compact"/>
                    <w:jc w:val="right"/>
                    <w:jc w:val="center"/>
                  </w:pPr>
                  <w:r>
                    <w:t xml:space="preserve">598</w:t>
                  </w:r>
                </w:p>
              </w:tc>
              <w:tc>
                <w:tcPr/>
                <w:p>
                  <w:pPr>
                    <w:pStyle w:val="Compact"/>
                    <w:jc w:val="right"/>
                    <w:jc w:val="center"/>
                  </w:pPr>
                  <w:r>
                    <w:t xml:space="preserve">137</w:t>
                  </w:r>
                </w:p>
              </w:tc>
              <w:tc>
                <w:tcPr/>
                <w:p>
                  <w:pPr>
                    <w:pStyle w:val="Compact"/>
                    <w:jc w:val="right"/>
                    <w:jc w:val="center"/>
                  </w:pPr>
                  <w:r>
                    <w:t xml:space="preserve">22.9</w:t>
                  </w:r>
                </w:p>
              </w:tc>
              <w:tc>
                <w:tcPr/>
                <w:p>
                  <w:pPr>
                    <w:pStyle w:val="Compact"/>
                    <w:jc w:val="right"/>
                    <w:jc w:val="center"/>
                  </w:pPr>
                  <w:r>
                    <w:t xml:space="preserve">4.4</w:t>
                  </w:r>
                </w:p>
              </w:tc>
            </w:tr>
            <w:tr>
              <w:tc>
                <w:tcPr/>
                <w:p>
                  <w:pPr>
                    <w:pStyle w:val="Compact"/>
                    <w:jc w:val="left"/>
                    <w:jc w:val="center"/>
                  </w:pPr>
                  <w:r>
                    <w:t xml:space="preserve">Maroala</w:t>
                  </w:r>
                </w:p>
              </w:tc>
              <w:tc>
                <w:tcPr/>
                <w:p>
                  <w:pPr>
                    <w:pStyle w:val="Compact"/>
                    <w:jc w:val="right"/>
                    <w:jc w:val="center"/>
                  </w:pPr>
                  <w:r>
                    <w:t xml:space="preserve">634</w:t>
                  </w:r>
                </w:p>
              </w:tc>
              <w:tc>
                <w:tcPr/>
                <w:p>
                  <w:pPr>
                    <w:pStyle w:val="Compact"/>
                    <w:jc w:val="right"/>
                    <w:jc w:val="center"/>
                  </w:pPr>
                  <w:r>
                    <w:t xml:space="preserve">116</w:t>
                  </w:r>
                </w:p>
              </w:tc>
              <w:tc>
                <w:tcPr/>
                <w:p>
                  <w:pPr>
                    <w:pStyle w:val="Compact"/>
                    <w:jc w:val="right"/>
                    <w:jc w:val="center"/>
                  </w:pPr>
                  <w:r>
                    <w:t xml:space="preserve">18.3</w:t>
                  </w:r>
                </w:p>
              </w:tc>
              <w:tc>
                <w:tcPr/>
                <w:p>
                  <w:pPr>
                    <w:pStyle w:val="Compact"/>
                    <w:jc w:val="right"/>
                    <w:jc w:val="center"/>
                  </w:pPr>
                  <w:r>
                    <w:t xml:space="preserve">5.5</w:t>
                  </w:r>
                </w:p>
              </w:tc>
            </w:tr>
            <w:tr>
              <w:tc>
                <w:tcPr>
                  <w:gridSpan w:val="5"/>
                </w:tcPr>
                <w:p>
                  <w:pPr>
                    <w:pStyle w:val="Compact"/>
                    <w:jc w:val="left"/>
                    <w:jc w:val="center"/>
                  </w:pPr>
                  <w:r>
                    <w:rPr>
                      <w:b/>
                      <w:bCs/>
                    </w:rPr>
                    <w:t xml:space="preserve">Source</w:t>
                  </w:r>
                  <w:r>
                    <w:t xml:space="preserve"> </w:t>
                  </w:r>
                  <w:r>
                    <w:t xml:space="preserve">: Synthèse Dénombrement OR 2025 &amp; Enquête 2025</w:t>
                  </w:r>
                </w:p>
              </w:tc>
            </w:tr>
            <w:tr>
              <w:tc>
                <w:tcPr>
                  <w:gridSpan w:val="5"/>
                </w:tcPr>
                <w:p>
                  <w:pPr>
                    <w:pStyle w:val="Compact"/>
                    <w:jc w:val="left"/>
                    <w:jc w:val="center"/>
                  </w:pPr>
                  <w:r>
                    <w:rPr>
                      <w:b/>
                      <w:bCs/>
                    </w:rPr>
                    <w:t xml:space="preserve">Source : Enquête auprès des OR 2025</w:t>
                  </w:r>
                </w:p>
              </w:tc>
            </w:tr>
          </w:tbl>
          <w:bookmarkEnd w:id="844"/>
          <w:p/>
        </w:tc>
      </w:tr>
    </w:tbl>
    <w:tbl>
      <w:tblPr>
        <w:tblStyle w:val="Table"/>
        <w:tblW w:type="pct" w:w="5000"/>
        <w:tblLayout w:type="fixed"/>
        <w:tblLook w:firstRow="0" w:lastRow="0" w:firstColumn="0" w:lastColumn="0" w:noHBand="0" w:noVBand="0" w:val="0000"/>
      </w:tblPr>
      <w:tblGrid>
        <w:gridCol w:w="7920"/>
      </w:tblGrid>
      <w:tr>
        <w:tc>
          <w:tcPr/>
          <w:bookmarkStart w:id="848" w:name="fig-sampling-rates"/>
          <w:p>
            <w:pPr>
              <w:jc w:val="center"/>
            </w:pPr>
            <w:pPr>
              <w:jc w:val="left"/>
              <w:spacing w:before="200"/>
              <w:pStyle w:val="ImageCaption"/>
            </w:pPr>
            <w:r>
              <w:t xml:space="preserve">Figure 11.1: Distribution des taux de sondage par site et observatoire</w:t>
            </w:r>
          </w:p>
          <w:p>
            <w:pPr>
              <w:pStyle w:val="Compact"/>
              <w:jc w:val="center"/>
            </w:pPr>
            <w:r>
              <w:drawing>
                <wp:inline>
                  <wp:extent cx="4620126" cy="5544151"/>
                  <wp:effectExtent b="0" l="0" r="0" t="0"/>
                  <wp:docPr descr="" title="" id="846" name="Picture"/>
                  <a:graphic>
                    <a:graphicData uri="http://schemas.openxmlformats.org/drawingml/2006/picture">
                      <pic:pic>
                        <pic:nvPicPr>
                          <pic:cNvPr descr="11_representativite_ponderation_files/figure-docx/fig-sampling-rates-1.png" id="847" name="Picture"/>
                          <pic:cNvPicPr>
                            <a:picLocks noChangeArrowheads="1" noChangeAspect="1"/>
                          </pic:cNvPicPr>
                        </pic:nvPicPr>
                        <pic:blipFill>
                          <a:blip r:embed="rId845"/>
                          <a:stretch>
                            <a:fillRect/>
                          </a:stretch>
                        </pic:blipFill>
                        <pic:spPr bwMode="auto">
                          <a:xfrm>
                            <a:off x="0" y="0"/>
                            <a:ext cx="4620126" cy="5544151"/>
                          </a:xfrm>
                          <a:prstGeom prst="rect">
                            <a:avLst/>
                          </a:prstGeom>
                          <a:noFill/>
                          <a:ln w="9525">
                            <a:noFill/>
                            <a:headEnd/>
                            <a:tailEnd/>
                          </a:ln>
                        </pic:spPr>
                      </pic:pic>
                    </a:graphicData>
                  </a:graphic>
                </wp:inline>
              </w:drawing>
            </w:r>
          </w:p>
          <w:bookmarkEnd w:id="848"/>
        </w:tc>
      </w:tr>
    </w:tbl>
    <w:bookmarkEnd w:id="849"/>
    <w:bookmarkStart w:id="851" w:name="estimations-pondérées-vs.-non-pondérées"/>
    <w:p>
      <w:pPr>
        <w:pStyle w:val="Titre3"/>
      </w:pPr>
      <w:r>
        <w:t xml:space="preserve">11.1.3 Estimations pondérées vs. non pondérées</w:t>
      </w:r>
    </w:p>
    <w:p>
      <w:pPr>
        <w:pStyle w:val="FirstParagraph"/>
      </w:pPr>
      <w:r>
        <w:t xml:space="preserve">Nous construisons un objet</w:t>
      </w:r>
      <w:r>
        <w:t xml:space="preserve"> </w:t>
      </w:r>
      <w:r>
        <w:rPr>
          <w:rStyle w:val="VerbatimChar"/>
        </w:rPr>
        <w:t xml:space="preserve">svydesign</w:t>
      </w:r>
      <w:r>
        <w:t xml:space="preserve"> </w:t>
      </w:r>
      <w:r>
        <w:t xml:space="preserve">en spécifiant les sites (fokontany) comme strates. Dans la mesure où les sites sont exhaustivement couverts (il ne s’agit pas d’un tirage d’UPS parmi un ensemble plus large), chaque fokontany est traité comme une strate avec un tirage à un seul degré.</w:t>
      </w:r>
    </w:p>
    <w:p>
      <w:pPr>
        <w:pStyle w:val="Corpsdetexte"/>
      </w:pPr>
      <w:r>
        <w:t xml:space="preserve">L’écart entre les estimations pondérées et non pondérées indique dans quelle mesure les taux de sondage inégaux affectent les statistiques descriptives. Un écart faible suggère un plan approximativement auto-pondéré ; un écart important justifie l’usage systématique des poids.</w:t>
      </w:r>
    </w:p>
    <w:tbl>
      <w:tblPr>
        <w:tblStyle w:val="Table"/>
        <w:tblW w:type="pct" w:w="5000"/>
        <w:tblLayout w:type="fixed"/>
        <w:tblLook w:firstRow="0" w:lastRow="0" w:firstColumn="0" w:lastColumn="0" w:noHBand="0" w:noVBand="0" w:val="0000"/>
      </w:tblPr>
      <w:tblGrid>
        <w:gridCol w:w="7920"/>
      </w:tblGrid>
      <w:tr>
        <w:tc>
          <w:tcPr/>
          <w:bookmarkStart w:id="850" w:name="tbl-weighted-hh-size"/>
          <w:p>
            <w:pPr>
              <w:jc w:val="center"/>
            </w:pPr>
            <w:pPr>
              <w:jc w:val="left"/>
              <w:spacing w:before="200"/>
              <w:pStyle w:val="ImageCaption"/>
            </w:pPr>
            <w:r>
              <w:t xml:space="preserve">Table 11.2: Taille moyenne des ménages : estimation non pondérée vs. pondérée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Non pondéré</w:t>
                  </w:r>
                </w:p>
              </w:tc>
              <w:tc>
                <w:tcPr>
                  <w:gridSpan w:val="2"/>
                </w:tcPr>
                <w:p>
                  <w:pPr>
                    <w:pStyle w:val="Compact"/>
                    <w:jc w:val="center"/>
                    <w:jc w:val="center"/>
                  </w:pPr>
                  <w:r>
                    <w:t xml:space="preserve">Pondéré</w:t>
                  </w:r>
                </w:p>
              </w:tc>
            </w:tr>
            <w:tr>
              <w:trPr>
                <w:tblHeader w:val="on"/>
              </w:trPr>
              <w:tc>
                <w:tcPr>
                  <w:gridSpan w:val="1"/>
                  <w:vMerge w:val="continue"/>
                </w:tcPr>
                <w:p>
                  <w:pPr/>
                </w:p>
              </w:tc>
              <w:tc>
                <w:tcPr/>
                <w:p>
                  <w:pPr>
                    <w:pStyle w:val="Compact"/>
                    <w:jc w:val="right"/>
                    <w:jc w:val="center"/>
                  </w:pPr>
                  <w:r>
                    <w:t xml:space="preserve">Moyenne</w:t>
                  </w:r>
                </w:p>
              </w:tc>
              <w:tc>
                <w:tcPr/>
                <w:p>
                  <w:pPr>
                    <w:pStyle w:val="Compact"/>
                    <w:jc w:val="right"/>
                    <w:jc w:val="center"/>
                  </w:pPr>
                  <w:r>
                    <w:t xml:space="preserve">ET / ES</w:t>
                  </w:r>
                </w:p>
              </w:tc>
              <w:tc>
                <w:tcPr/>
                <w:p>
                  <w:pPr>
                    <w:pStyle w:val="Compact"/>
                    <w:jc w:val="right"/>
                    <w:jc w:val="center"/>
                  </w:pPr>
                  <w:r>
                    <w:t xml:space="preserve">Moyenne</w:t>
                  </w:r>
                </w:p>
              </w:tc>
              <w:tc>
                <w:tcPr/>
                <w:p>
                  <w:pPr>
                    <w:pStyle w:val="Compact"/>
                    <w:jc w:val="right"/>
                    <w:jc w:val="center"/>
                  </w:pPr>
                  <w:r>
                    <w:t xml:space="preserve">ET / ES</w:t>
                  </w:r>
                </w:p>
              </w:tc>
            </w:tr>
            <w:tr>
              <w:tc>
                <w:tcPr/>
                <w:p>
                  <w:pPr>
                    <w:pStyle w:val="Compact"/>
                    <w:jc w:val="left"/>
                    <w:jc w:val="center"/>
                  </w:pPr>
                  <w:r>
                    <w:t xml:space="preserve">Alaotra</w:t>
                  </w:r>
                </w:p>
              </w:tc>
              <w:tc>
                <w:tcPr/>
                <w:p>
                  <w:pPr>
                    <w:pStyle w:val="Compact"/>
                    <w:jc w:val="right"/>
                    <w:jc w:val="center"/>
                  </w:pPr>
                  <w:r>
                    <w:t xml:space="preserve">3.90</w:t>
                  </w:r>
                </w:p>
              </w:tc>
              <w:tc>
                <w:tcPr/>
                <w:p>
                  <w:pPr>
                    <w:pStyle w:val="Compact"/>
                    <w:jc w:val="right"/>
                    <w:jc w:val="center"/>
                  </w:pPr>
                  <w:r>
                    <w:t xml:space="preserve">1.65</w:t>
                  </w:r>
                </w:p>
              </w:tc>
              <w:tc>
                <w:tcPr/>
                <w:p>
                  <w:pPr>
                    <w:pStyle w:val="Compact"/>
                    <w:jc w:val="right"/>
                    <w:jc w:val="center"/>
                  </w:pPr>
                  <w:r>
                    <w:t xml:space="preserve">3.90</w:t>
                  </w:r>
                </w:p>
              </w:tc>
              <w:tc>
                <w:tcPr/>
                <w:p>
                  <w:pPr>
                    <w:pStyle w:val="Compact"/>
                    <w:jc w:val="right"/>
                    <w:jc w:val="center"/>
                  </w:pPr>
                  <w:r>
                    <w:t xml:space="preserve">0.08</w:t>
                  </w:r>
                </w:p>
              </w:tc>
            </w:tr>
            <w:tr>
              <w:tc>
                <w:tcPr/>
                <w:p>
                  <w:pPr>
                    <w:pStyle w:val="Compact"/>
                    <w:jc w:val="left"/>
                    <w:jc w:val="center"/>
                  </w:pPr>
                  <w:r>
                    <w:t xml:space="preserve">Marovoay</w:t>
                  </w:r>
                </w:p>
              </w:tc>
              <w:tc>
                <w:tcPr/>
                <w:p>
                  <w:pPr>
                    <w:pStyle w:val="Compact"/>
                    <w:jc w:val="right"/>
                    <w:jc w:val="center"/>
                  </w:pPr>
                  <w:r>
                    <w:t xml:space="preserve">4.43</w:t>
                  </w:r>
                </w:p>
              </w:tc>
              <w:tc>
                <w:tcPr/>
                <w:p>
                  <w:pPr>
                    <w:pStyle w:val="Compact"/>
                    <w:jc w:val="right"/>
                    <w:jc w:val="center"/>
                  </w:pPr>
                  <w:r>
                    <w:t xml:space="preserve">2.20</w:t>
                  </w:r>
                </w:p>
              </w:tc>
              <w:tc>
                <w:tcPr/>
                <w:p>
                  <w:pPr>
                    <w:pStyle w:val="Compact"/>
                    <w:jc w:val="right"/>
                    <w:jc w:val="center"/>
                  </w:pPr>
                  <w:r>
                    <w:t xml:space="preserve">4.45</w:t>
                  </w:r>
                </w:p>
              </w:tc>
              <w:tc>
                <w:tcPr/>
                <w:p>
                  <w:pPr>
                    <w:pStyle w:val="Compact"/>
                    <w:jc w:val="right"/>
                    <w:jc w:val="center"/>
                  </w:pPr>
                  <w:r>
                    <w:t xml:space="preserve">0.10</w:t>
                  </w:r>
                </w:p>
              </w:tc>
            </w:tr>
            <w:tr>
              <w:tc>
                <w:tcPr>
                  <w:gridSpan w:val="5"/>
                </w:tcPr>
                <w:p>
                  <w:pPr>
                    <w:pStyle w:val="Compact"/>
                    <w:jc w:val="left"/>
                    <w:jc w:val="center"/>
                  </w:pPr>
                  <w:r>
                    <w:t xml:space="preserve">ET = écart-type (non pondéré) ; ES = erreur standard (pondéré)</w:t>
                  </w:r>
                </w:p>
              </w:tc>
            </w:tr>
            <w:tr>
              <w:tc>
                <w:tcPr>
                  <w:gridSpan w:val="5"/>
                </w:tcPr>
                <w:p>
                  <w:pPr>
                    <w:pStyle w:val="Compact"/>
                    <w:jc w:val="left"/>
                    <w:jc w:val="center"/>
                  </w:pPr>
                  <w:r>
                    <w:rPr>
                      <w:b/>
                      <w:bCs/>
                    </w:rPr>
                    <w:t xml:space="preserve">Source : Enquête auprès des OR 2025</w:t>
                  </w:r>
                </w:p>
              </w:tc>
            </w:tr>
          </w:tbl>
          <w:bookmarkEnd w:id="850"/>
          <w:p/>
        </w:tc>
      </w:tr>
    </w:tbl>
    <w:bookmarkEnd w:id="851"/>
    <w:bookmarkEnd w:id="852"/>
    <w:bookmarkStart w:id="866" w:name="évaluation-de-la-représentativité"/>
    <w:p>
      <w:pPr>
        <w:pStyle w:val="Titre2"/>
      </w:pPr>
      <w:r>
        <w:t xml:space="preserve">11.2 Évaluation de la représentativité</w:t>
      </w:r>
    </w:p>
    <w:p>
      <w:pPr>
        <w:pStyle w:val="FirstParagraph"/>
      </w:pPr>
      <w:r>
        <w:t xml:space="preserve">Pour évaluer la représentativité externe de l’échantillon, nous le confrontons aux données du 3</w:t>
      </w:r>
      <w:r>
        <w:rPr>
          <w:vertAlign w:val="superscript"/>
        </w:rPr>
        <w:t xml:space="preserve">e</w:t>
      </w:r>
      <w:r>
        <w:t xml:space="preserve"> </w:t>
      </w:r>
      <w:r>
        <w:t xml:space="preserve">Recensement Général de la Population et de l’Habitation (RGPH-3) de 2018</w:t>
      </w:r>
      <w:r>
        <w:t xml:space="preserve"> </w:t>
      </w:r>
      <w:r>
        <w:t xml:space="preserve">(INSTAT 2020)</w:t>
      </w:r>
      <w:r>
        <w:t xml:space="preserve">. Le RGPH-3 fournit un échantillon de 10 % des ménages et résidents au niveau national. Nous comparons sur un ensemble élargi d’indicateurs — démographie, scolarisation, alphabétisation, situation matrimoniale et habitat — afin d’identifier d’éventuels biais de couverture de l’échantillon 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853" name="Picture"/>
                  <a:graphic>
                    <a:graphicData uri="http://schemas.openxmlformats.org/drawingml/2006/picture">
                      <pic:pic>
                        <pic:nvPicPr>
                          <pic:cNvPr descr="C:\Users\fbede\AppData\Local\Programs\Quarto\share\formats\docx\note.png" id="85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limites de la comparaison</w:t>
            </w:r>
          </w:p>
        </w:tc>
      </w:tr>
      <w:tr>
        <w:trPr>
          <w:cantSplit/>
        </w:trPr>
        <w:tc>
          <w:tcPr>
            <w:tcMar>
              <w:top w:w="108" w:type="dxa"/>
              <w:bottom w:w="108" w:type="dxa"/>
            </w:tcMar>
          </w:tcPr>
          <w:p>
            <w:pPr>
              <w:pStyle w:val="Corpsdetexte"/>
            </w:pPr>
            <w:pPr>
              <w:spacing w:before="16"/>
            </w:pPr>
            <w:r>
              <w:t xml:space="preserve">Trois réserves sont nécessaires :</w:t>
            </w:r>
          </w:p>
          <w:p>
            <w:pPr>
              <w:numPr>
                <w:ilvl w:val="0"/>
                <w:numId w:val="1011"/>
              </w:numPr>
            </w:pPr>
            <w:r>
              <w:rPr>
                <w:b/>
                <w:bCs/>
              </w:rPr>
              <w:t xml:space="preserve">Écart temporel</w:t>
            </w:r>
            <w:r>
              <w:t xml:space="preserve"> </w:t>
            </w:r>
            <w:r>
              <w:t xml:space="preserve">: sept années séparent le RGPH (2018) de l’enquête (2025). Les structures démographiques ont pu évoluer, notamment du fait des migrations, de la transition démographique et des chocs climatiques récurrents.</w:t>
            </w:r>
          </w:p>
          <w:p>
            <w:pPr>
              <w:numPr>
                <w:ilvl w:val="0"/>
                <w:numId w:val="1011"/>
              </w:numPr>
            </w:pPr>
            <w:r>
              <w:rPr>
                <w:b/>
                <w:bCs/>
              </w:rPr>
              <w:t xml:space="preserve">Maille géographique</w:t>
            </w:r>
            <w:r>
              <w:t xml:space="preserve"> </w:t>
            </w:r>
            <w:r>
              <w:t xml:space="preserve">: le RGPH-3 ne descend pas au niveau du fokontany. Nous comparons au niveau des</w:t>
            </w:r>
            <w:r>
              <w:t xml:space="preserve"> </w:t>
            </w:r>
            <w:r>
              <w:rPr>
                <w:b/>
                <w:bCs/>
              </w:rPr>
              <w:t xml:space="preserve">communes</w:t>
            </w:r>
            <w:r>
              <w:t xml:space="preserve"> </w:t>
            </w:r>
            <w:r>
              <w:t xml:space="preserve">couvertes par les observatoires (4 communes pour Alaotra, 3 pour Marovoay), en ne retenant que le</w:t>
            </w:r>
            <w:r>
              <w:t xml:space="preserve"> </w:t>
            </w:r>
            <w:r>
              <w:rPr>
                <w:b/>
                <w:bCs/>
              </w:rPr>
              <w:t xml:space="preserve">milieu rural</w:t>
            </w:r>
            <w:r>
              <w:t xml:space="preserve"> </w:t>
            </w:r>
            <w:r>
              <w:t xml:space="preserve">(</w:t>
            </w:r>
            <w:r>
              <w:rPr>
                <w:rStyle w:val="VerbatimChar"/>
              </w:rPr>
              <w:t xml:space="preserve">MILIEU = 2</w:t>
            </w:r>
            <w:r>
              <w:t xml:space="preserve">). Les observatoires couvrent des hameaux spécifiques au sein de ces communes ; les profils démographiques de l’ensemble de la commune peuvent différer de ceux des sites enquêtés.</w:t>
            </w:r>
          </w:p>
          <w:p>
            <w:pPr>
              <w:numPr>
                <w:ilvl w:val="0"/>
                <w:numId w:val="1011"/>
              </w:numPr>
            </w:pPr>
            <w:r>
              <w:rPr>
                <w:b/>
                <w:bCs/>
              </w:rPr>
              <w:t xml:space="preserve">Nature de la source</w:t>
            </w:r>
            <w:r>
              <w:t xml:space="preserve"> </w:t>
            </w:r>
            <w:r>
              <w:t xml:space="preserve">: le RGPH est un recensement de droit (population résidente habituelle) alors que l’enquête OR interroge les ménages présents au moment de l’enquête.</w:t>
            </w:r>
          </w:p>
          <w:p>
            <w:pPr>
              <w:pStyle w:val="FirstParagraph"/>
            </w:pPr>
            <w:pPr>
              <w:spacing w:after="16"/>
            </w:pPr>
            <w:r>
              <w:t xml:space="preserve">Ces comparaisons doivent donc être lues comme des</w:t>
            </w:r>
            <w:r>
              <w:t xml:space="preserve"> </w:t>
            </w:r>
            <w:r>
              <w:rPr>
                <w:b/>
                <w:bCs/>
              </w:rPr>
              <w:t xml:space="preserve">ordres de grandeur</w:t>
            </w:r>
            <w:r>
              <w:t xml:space="preserve">, non comme des tests formels de représentativité.</w:t>
            </w:r>
          </w:p>
          <w:p/>
        </w:tc>
      </w:tr>
    </w:tbl>
    <w:bookmarkStart w:id="856" w:name="indicateurs-démographiques-de-base"/>
    <w:p>
      <w:pPr>
        <w:pStyle w:val="Titre3"/>
      </w:pPr>
      <w:r>
        <w:t xml:space="preserve">11.2.1 Indicateurs démographiques de base</w:t>
      </w:r>
    </w:p>
    <w:tbl>
      <w:tblPr>
        <w:tblStyle w:val="Table"/>
        <w:tblW w:type="pct" w:w="5000"/>
        <w:tblLayout w:type="fixed"/>
        <w:tblLook w:firstRow="0" w:lastRow="0" w:firstColumn="0" w:lastColumn="0" w:noHBand="0" w:noVBand="0" w:val="0000"/>
      </w:tblPr>
      <w:tblGrid>
        <w:gridCol w:w="7920"/>
      </w:tblGrid>
      <w:tr>
        <w:tc>
          <w:tcPr/>
          <w:bookmarkStart w:id="855" w:name="tbl-rgph-comparison"/>
          <w:p>
            <w:pPr>
              <w:jc w:val="center"/>
            </w:pPr>
            <w:pPr>
              <w:jc w:val="left"/>
              <w:spacing w:before="200"/>
              <w:pStyle w:val="ImageCaption"/>
            </w:pPr>
            <w:r>
              <w:t xml:space="preserve">Table 11.3: Comparaison OR 2025 vs. RGPH 2018 — Indicateurs démographiques (milieu rural)</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Taille moy. ménage</w:t>
                  </w:r>
                </w:p>
              </w:tc>
              <w:tc>
                <w:tcPr>
                  <w:gridSpan w:val="2"/>
                </w:tcPr>
                <w:p>
                  <w:pPr>
                    <w:pStyle w:val="Compact"/>
                    <w:jc w:val="center"/>
                    <w:jc w:val="center"/>
                  </w:pPr>
                  <w:r>
                    <w:t xml:space="preserve">% femmes CM</w:t>
                  </w:r>
                </w:p>
              </w:tc>
              <w:tc>
                <w:tcPr>
                  <w:gridSpan w:val="2"/>
                </w:tcPr>
                <w:p>
                  <w:pPr>
                    <w:pStyle w:val="Compact"/>
                    <w:jc w:val="center"/>
                    <w:jc w:val="center"/>
                  </w:pPr>
                  <w:r>
                    <w:t xml:space="preserve">Âge moyen CM</w:t>
                  </w:r>
                </w:p>
              </w:tc>
              <w:tc>
                <w:tcPr>
                  <w:gridSpan w:val="2"/>
                </w:tcPr>
                <w:p>
                  <w:pPr>
                    <w:pStyle w:val="Compact"/>
                    <w:jc w:val="center"/>
                    <w:jc w:val="center"/>
                  </w:pPr>
                  <w:r>
                    <w:t xml:space="preserve">% femmes (ensemble)</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Alaotra</w:t>
                  </w:r>
                </w:p>
              </w:tc>
              <w:tc>
                <w:tcPr/>
                <w:p>
                  <w:pPr>
                    <w:pStyle w:val="Compact"/>
                    <w:jc w:val="right"/>
                    <w:jc w:val="center"/>
                  </w:pPr>
                  <w:r>
                    <w:t xml:space="preserve">3.9</w:t>
                  </w:r>
                </w:p>
              </w:tc>
              <w:tc>
                <w:tcPr/>
                <w:p>
                  <w:pPr>
                    <w:pStyle w:val="Compact"/>
                    <w:jc w:val="right"/>
                    <w:jc w:val="center"/>
                  </w:pPr>
                  <w:r>
                    <w:t xml:space="preserve">4.2</w:t>
                  </w:r>
                </w:p>
              </w:tc>
              <w:tc>
                <w:tcPr/>
                <w:p>
                  <w:pPr>
                    <w:pStyle w:val="Compact"/>
                    <w:jc w:val="right"/>
                    <w:jc w:val="center"/>
                  </w:pPr>
                  <w:r>
                    <w:t xml:space="preserve">21.7 %</w:t>
                  </w:r>
                </w:p>
              </w:tc>
              <w:tc>
                <w:tcPr/>
                <w:p>
                  <w:pPr>
                    <w:pStyle w:val="Compact"/>
                    <w:jc w:val="right"/>
                    <w:jc w:val="center"/>
                  </w:pPr>
                  <w:r>
                    <w:t xml:space="preserve">21.1 %</w:t>
                  </w:r>
                </w:p>
              </w:tc>
              <w:tc>
                <w:tcPr/>
                <w:p>
                  <w:pPr>
                    <w:pStyle w:val="Compact"/>
                    <w:jc w:val="right"/>
                    <w:jc w:val="center"/>
                  </w:pPr>
                  <w:r>
                    <w:t xml:space="preserve">45.4</w:t>
                  </w:r>
                </w:p>
              </w:tc>
              <w:tc>
                <w:tcPr/>
                <w:p>
                  <w:pPr>
                    <w:pStyle w:val="Compact"/>
                    <w:jc w:val="right"/>
                    <w:jc w:val="center"/>
                  </w:pPr>
                  <w:r>
                    <w:t xml:space="preserve">42.6</w:t>
                  </w:r>
                </w:p>
              </w:tc>
              <w:tc>
                <w:tcPr/>
                <w:p>
                  <w:pPr>
                    <w:pStyle w:val="Compact"/>
                    <w:jc w:val="right"/>
                    <w:jc w:val="center"/>
                  </w:pPr>
                  <w:r>
                    <w:t xml:space="preserve">50.1 %</w:t>
                  </w:r>
                </w:p>
              </w:tc>
              <w:tc>
                <w:tcPr/>
                <w:p>
                  <w:pPr>
                    <w:pStyle w:val="Compact"/>
                    <w:jc w:val="right"/>
                    <w:jc w:val="center"/>
                  </w:pPr>
                  <w:r>
                    <w:t xml:space="preserve">50.5 %</w:t>
                  </w:r>
                </w:p>
              </w:tc>
            </w:tr>
            <w:tr>
              <w:tc>
                <w:tcPr/>
                <w:p>
                  <w:pPr>
                    <w:pStyle w:val="Compact"/>
                    <w:jc w:val="left"/>
                    <w:jc w:val="center"/>
                  </w:pPr>
                  <w:r>
                    <w:t xml:space="preserve">Marovoay</w:t>
                  </w:r>
                </w:p>
              </w:tc>
              <w:tc>
                <w:tcPr/>
                <w:p>
                  <w:pPr>
                    <w:pStyle w:val="Compact"/>
                    <w:jc w:val="right"/>
                    <w:jc w:val="center"/>
                  </w:pPr>
                  <w:r>
                    <w:t xml:space="preserve">4.4</w:t>
                  </w:r>
                </w:p>
              </w:tc>
              <w:tc>
                <w:tcPr/>
                <w:p>
                  <w:pPr>
                    <w:pStyle w:val="Compact"/>
                    <w:jc w:val="right"/>
                    <w:jc w:val="center"/>
                  </w:pPr>
                  <w:r>
                    <w:t xml:space="preserve">4.3</w:t>
                  </w:r>
                </w:p>
              </w:tc>
              <w:tc>
                <w:tcPr/>
                <w:p>
                  <w:pPr>
                    <w:pStyle w:val="Compact"/>
                    <w:jc w:val="right"/>
                    <w:jc w:val="center"/>
                  </w:pPr>
                  <w:r>
                    <w:t xml:space="preserve">22.0 %</w:t>
                  </w:r>
                </w:p>
              </w:tc>
              <w:tc>
                <w:tcPr/>
                <w:p>
                  <w:pPr>
                    <w:pStyle w:val="Compact"/>
                    <w:jc w:val="right"/>
                    <w:jc w:val="center"/>
                  </w:pPr>
                  <w:r>
                    <w:t xml:space="preserve">26.6 %</w:t>
                  </w:r>
                </w:p>
              </w:tc>
              <w:tc>
                <w:tcPr/>
                <w:p>
                  <w:pPr>
                    <w:pStyle w:val="Compact"/>
                    <w:jc w:val="right"/>
                    <w:jc w:val="center"/>
                  </w:pPr>
                  <w:r>
                    <w:t xml:space="preserve">46.1</w:t>
                  </w:r>
                </w:p>
              </w:tc>
              <w:tc>
                <w:tcPr/>
                <w:p>
                  <w:pPr>
                    <w:pStyle w:val="Compact"/>
                    <w:jc w:val="right"/>
                    <w:jc w:val="center"/>
                  </w:pPr>
                  <w:r>
                    <w:t xml:space="preserve">41.2</w:t>
                  </w:r>
                </w:p>
              </w:tc>
              <w:tc>
                <w:tcPr/>
                <w:p>
                  <w:pPr>
                    <w:pStyle w:val="Compact"/>
                    <w:jc w:val="right"/>
                    <w:jc w:val="center"/>
                  </w:pPr>
                  <w:r>
                    <w:t xml:space="preserve">50.5 %</w:t>
                  </w:r>
                </w:p>
              </w:tc>
              <w:tc>
                <w:tcPr/>
                <w:p>
                  <w:pPr>
                    <w:pStyle w:val="Compact"/>
                    <w:jc w:val="right"/>
                    <w:jc w:val="center"/>
                  </w:pPr>
                  <w:r>
                    <w:t xml:space="preserve">50.4 %</w:t>
                  </w:r>
                </w:p>
              </w:tc>
            </w:tr>
            <w:tr>
              <w:tc>
                <w:tcPr>
                  <w:gridSpan w:val="9"/>
                </w:tcPr>
                <w:p>
                  <w:pPr>
                    <w:pStyle w:val="Compact"/>
                    <w:jc w:val="left"/>
                    <w:jc w:val="center"/>
                  </w:pPr>
                  <w:r>
                    <w:rPr>
                      <w:b/>
                      <w:bCs/>
                    </w:rPr>
                    <w:t xml:space="preserve">Sources</w:t>
                  </w:r>
                  <w:r>
                    <w:t xml:space="preserve"> </w:t>
                  </w:r>
                  <w:r>
                    <w:t xml:space="preserve">: Enquête OR 2025 ; RGPH-3 2018 (INSTAT), échantillon 10 %.</w:t>
                  </w:r>
                  <w:r>
                    <w:t xml:space="preserve"> </w:t>
                  </w:r>
                  <w:r>
                    <w:t xml:space="preserve">RGPH filtré sur le milieu rural des communes couvertes par les observatoires.</w:t>
                  </w:r>
                </w:p>
              </w:tc>
            </w:tr>
            <w:tr>
              <w:tc>
                <w:tcPr>
                  <w:gridSpan w:val="9"/>
                </w:tcPr>
                <w:p>
                  <w:pPr>
                    <w:pStyle w:val="Compact"/>
                    <w:jc w:val="left"/>
                    <w:jc w:val="center"/>
                  </w:pPr>
                  <w:r>
                    <w:rPr>
                      <w:b/>
                      <w:bCs/>
                    </w:rPr>
                    <w:t xml:space="preserve">Source : Enquête auprès des OR 2025</w:t>
                  </w:r>
                </w:p>
              </w:tc>
            </w:tr>
          </w:tbl>
          <w:bookmarkEnd w:id="855"/>
          <w:p/>
        </w:tc>
      </w:tr>
    </w:tbl>
    <w:bookmarkEnd w:id="856"/>
    <w:bookmarkStart w:id="858" w:name="X7cfdc3782747f68123b71219fbcb51cda350668"/>
    <w:p>
      <w:pPr>
        <w:pStyle w:val="Titre3"/>
      </w:pPr>
      <w:r>
        <w:t xml:space="preserve">11.2.2 Indicateurs socio-économiques complémentaires</w:t>
      </w:r>
    </w:p>
    <w:p>
      <w:pPr>
        <w:pStyle w:val="FirstParagraph"/>
      </w:pPr>
      <w:r>
        <w:t xml:space="preserve">Au-delà de la démographie de base, le RGPH et l’enquête OR partagent plusieurs dimensions socio-économiques : alphabétisation, scolarisation, situation matrimoniale du chef de ménage, et caractéristiques de l’habitat. L’examen de ces indicateurs permet de préciser dans quelles dimensions l’échantillon est (ou n’est pas) représentatif.</w:t>
      </w:r>
    </w:p>
    <w:tbl>
      <w:tblPr>
        <w:tblStyle w:val="Table"/>
        <w:tblW w:type="pct" w:w="5000"/>
        <w:tblLayout w:type="fixed"/>
        <w:tblLook w:firstRow="0" w:lastRow="0" w:firstColumn="0" w:lastColumn="0" w:noHBand="0" w:noVBand="0" w:val="0000"/>
      </w:tblPr>
      <w:tblGrid>
        <w:gridCol w:w="7920"/>
      </w:tblGrid>
      <w:tr>
        <w:tc>
          <w:tcPr/>
          <w:bookmarkStart w:id="857" w:name="tbl-extended-comparison"/>
          <w:p>
            <w:pPr>
              <w:jc w:val="center"/>
            </w:pPr>
            <w:pPr>
              <w:jc w:val="left"/>
              <w:spacing w:before="200"/>
              <w:pStyle w:val="ImageCaption"/>
            </w:pPr>
            <w:r>
              <w:t xml:space="preserve">Table 11.4: Indicateurs socio-économiques complémentaires — OR 2025 vs. RGPH 2018</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Indicateur</w:t>
                  </w:r>
                </w:p>
              </w:tc>
              <w:tc>
                <w:tcPr>
                  <w:gridSpan w:val="2"/>
                </w:tcPr>
                <w:p>
                  <w:pPr>
                    <w:pStyle w:val="Compact"/>
                    <w:jc w:val="center"/>
                    <w:jc w:val="center"/>
                  </w:pPr>
                  <w:r>
                    <w:t xml:space="preserve">Alaotra</w:t>
                  </w:r>
                </w:p>
              </w:tc>
              <w:tc>
                <w:tcPr>
                  <w:gridSpan w:val="2"/>
                </w:tcPr>
                <w:p>
                  <w:pPr>
                    <w:pStyle w:val="Compact"/>
                    <w:jc w:val="center"/>
                    <w:jc w:val="center"/>
                  </w:pPr>
                  <w:r>
                    <w:t xml:space="preserve">Marovoay</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Alphabétisation (≥15 ans, %)</w:t>
                  </w:r>
                </w:p>
              </w:tc>
              <w:tc>
                <w:tcPr/>
                <w:p>
                  <w:pPr>
                    <w:pStyle w:val="Compact"/>
                    <w:jc w:val="right"/>
                    <w:jc w:val="center"/>
                  </w:pPr>
                  <w:r>
                    <w:t xml:space="preserve">91.0</w:t>
                  </w:r>
                </w:p>
              </w:tc>
              <w:tc>
                <w:tcPr/>
                <w:p>
                  <w:pPr>
                    <w:pStyle w:val="Compact"/>
                    <w:jc w:val="right"/>
                    <w:jc w:val="center"/>
                  </w:pPr>
                  <w:r>
                    <w:t xml:space="preserve">89.9</w:t>
                  </w:r>
                </w:p>
              </w:tc>
              <w:tc>
                <w:tcPr/>
                <w:p>
                  <w:pPr>
                    <w:pStyle w:val="Compact"/>
                    <w:jc w:val="right"/>
                    <w:jc w:val="center"/>
                  </w:pPr>
                  <w:r>
                    <w:t xml:space="preserve">79.4</w:t>
                  </w:r>
                </w:p>
              </w:tc>
              <w:tc>
                <w:tcPr/>
                <w:p>
                  <w:pPr>
                    <w:pStyle w:val="Compact"/>
                    <w:jc w:val="right"/>
                    <w:jc w:val="center"/>
                  </w:pPr>
                  <w:r>
                    <w:t xml:space="preserve">68.6</w:t>
                  </w:r>
                </w:p>
              </w:tc>
            </w:tr>
            <w:tr>
              <w:tc>
                <w:tcPr/>
                <w:p>
                  <w:pPr>
                    <w:pStyle w:val="Compact"/>
                    <w:jc w:val="left"/>
                    <w:jc w:val="center"/>
                  </w:pPr>
                  <w:r>
                    <w:t xml:space="preserve">Jamais scolarisé (≥6 ans, %)</w:t>
                  </w:r>
                </w:p>
              </w:tc>
              <w:tc>
                <w:tcPr/>
                <w:p>
                  <w:pPr>
                    <w:pStyle w:val="Compact"/>
                    <w:jc w:val="right"/>
                    <w:jc w:val="center"/>
                  </w:pPr>
                  <w:r>
                    <w:t xml:space="preserve">6.7</w:t>
                  </w:r>
                </w:p>
              </w:tc>
              <w:tc>
                <w:tcPr/>
                <w:p>
                  <w:pPr>
                    <w:pStyle w:val="Compact"/>
                    <w:jc w:val="right"/>
                    <w:jc w:val="center"/>
                  </w:pPr>
                  <w:r>
                    <w:t xml:space="preserve">8.9</w:t>
                  </w:r>
                </w:p>
              </w:tc>
              <w:tc>
                <w:tcPr/>
                <w:p>
                  <w:pPr>
                    <w:pStyle w:val="Compact"/>
                    <w:jc w:val="right"/>
                    <w:jc w:val="center"/>
                  </w:pPr>
                  <w:r>
                    <w:t xml:space="preserve">16.6</w:t>
                  </w:r>
                </w:p>
              </w:tc>
              <w:tc>
                <w:tcPr/>
                <w:p>
                  <w:pPr>
                    <w:pStyle w:val="Compact"/>
                    <w:jc w:val="right"/>
                    <w:jc w:val="center"/>
                  </w:pPr>
                  <w:r>
                    <w:t xml:space="preserve">29.0</w:t>
                  </w:r>
                </w:p>
              </w:tc>
            </w:tr>
            <w:tr>
              <w:tc>
                <w:tcPr/>
                <w:p>
                  <w:pPr>
                    <w:pStyle w:val="Compact"/>
                    <w:jc w:val="left"/>
                    <w:jc w:val="center"/>
                  </w:pPr>
                  <w:r>
                    <w:t xml:space="preserve">CM marié(e)/en union (%)</w:t>
                  </w:r>
                </w:p>
              </w:tc>
              <w:tc>
                <w:tcPr/>
                <w:p>
                  <w:pPr>
                    <w:pStyle w:val="Compact"/>
                    <w:jc w:val="right"/>
                    <w:jc w:val="center"/>
                  </w:pPr>
                  <w:r>
                    <w:t xml:space="preserve">73.3</w:t>
                  </w:r>
                </w:p>
              </w:tc>
              <w:tc>
                <w:tcPr/>
                <w:p>
                  <w:pPr>
                    <w:pStyle w:val="Compact"/>
                    <w:jc w:val="right"/>
                    <w:jc w:val="center"/>
                  </w:pPr>
                  <w:r>
                    <w:t xml:space="preserve">77.7</w:t>
                  </w:r>
                </w:p>
              </w:tc>
              <w:tc>
                <w:tcPr/>
                <w:p>
                  <w:pPr>
                    <w:pStyle w:val="Compact"/>
                    <w:jc w:val="right"/>
                    <w:jc w:val="center"/>
                  </w:pPr>
                  <w:r>
                    <w:t xml:space="preserve">72.9</w:t>
                  </w:r>
                </w:p>
              </w:tc>
              <w:tc>
                <w:tcPr/>
                <w:p>
                  <w:pPr>
                    <w:pStyle w:val="Compact"/>
                    <w:jc w:val="right"/>
                    <w:jc w:val="center"/>
                  </w:pPr>
                  <w:r>
                    <w:t xml:space="preserve">72.4</w:t>
                  </w:r>
                </w:p>
              </w:tc>
            </w:tr>
            <w:tr>
              <w:tc>
                <w:tcPr/>
                <w:p>
                  <w:pPr>
                    <w:pStyle w:val="Compact"/>
                    <w:jc w:val="left"/>
                    <w:jc w:val="center"/>
                  </w:pPr>
                  <w:r>
                    <w:t xml:space="preserve">CM veuf/divorcé (%)</w:t>
                  </w:r>
                </w:p>
              </w:tc>
              <w:tc>
                <w:tcPr/>
                <w:p>
                  <w:pPr>
                    <w:pStyle w:val="Compact"/>
                    <w:jc w:val="right"/>
                    <w:jc w:val="center"/>
                  </w:pPr>
                  <w:r>
                    <w:t xml:space="preserve">24.4</w:t>
                  </w:r>
                </w:p>
              </w:tc>
              <w:tc>
                <w:tcPr/>
                <w:p>
                  <w:pPr>
                    <w:pStyle w:val="Compact"/>
                    <w:jc w:val="right"/>
                    <w:jc w:val="center"/>
                  </w:pPr>
                  <w:r>
                    <w:t xml:space="preserve">17.6</w:t>
                  </w:r>
                </w:p>
              </w:tc>
              <w:tc>
                <w:tcPr/>
                <w:p>
                  <w:pPr>
                    <w:pStyle w:val="Compact"/>
                    <w:jc w:val="right"/>
                    <w:jc w:val="center"/>
                  </w:pPr>
                  <w:r>
                    <w:t xml:space="preserve">25.8</w:t>
                  </w:r>
                </w:p>
              </w:tc>
              <w:tc>
                <w:tcPr/>
                <w:p>
                  <w:pPr>
                    <w:pStyle w:val="Compact"/>
                    <w:jc w:val="right"/>
                    <w:jc w:val="center"/>
                  </w:pPr>
                  <w:r>
                    <w:t xml:space="preserve">23.0</w:t>
                  </w:r>
                </w:p>
              </w:tc>
            </w:tr>
            <w:tr>
              <w:tc>
                <w:tcPr/>
                <w:p>
                  <w:pPr>
                    <w:pStyle w:val="Compact"/>
                    <w:jc w:val="left"/>
                    <w:jc w:val="center"/>
                  </w:pPr>
                  <w:r>
                    <w:t xml:space="preserve">Murs en dur (%)</w:t>
                  </w:r>
                </w:p>
              </w:tc>
              <w:tc>
                <w:tcPr/>
                <w:p>
                  <w:pPr>
                    <w:pStyle w:val="Compact"/>
                    <w:jc w:val="right"/>
                    <w:jc w:val="center"/>
                  </w:pPr>
                  <w:r>
                    <w:t xml:space="preserve">18.7</w:t>
                  </w:r>
                </w:p>
              </w:tc>
              <w:tc>
                <w:tcPr/>
                <w:p>
                  <w:pPr>
                    <w:pStyle w:val="Compact"/>
                    <w:jc w:val="right"/>
                    <w:jc w:val="center"/>
                  </w:pPr>
                  <w:r>
                    <w:t xml:space="preserve">43.0</w:t>
                  </w:r>
                </w:p>
              </w:tc>
              <w:tc>
                <w:tcPr/>
                <w:p>
                  <w:pPr>
                    <w:pStyle w:val="Compact"/>
                    <w:jc w:val="right"/>
                    <w:jc w:val="center"/>
                  </w:pPr>
                  <w:r>
                    <w:t xml:space="preserve">7.2</w:t>
                  </w:r>
                </w:p>
              </w:tc>
              <w:tc>
                <w:tcPr/>
                <w:p>
                  <w:pPr>
                    <w:pStyle w:val="Compact"/>
                    <w:jc w:val="right"/>
                    <w:jc w:val="center"/>
                  </w:pPr>
                  <w:r>
                    <w:t xml:space="preserve">8.6</w:t>
                  </w:r>
                </w:p>
              </w:tc>
            </w:tr>
            <w:tr>
              <w:tc>
                <w:tcPr/>
                <w:p>
                  <w:pPr>
                    <w:pStyle w:val="Compact"/>
                    <w:jc w:val="left"/>
                    <w:jc w:val="center"/>
                  </w:pPr>
                  <w:r>
                    <w:t xml:space="preserve">Murs en terre/pisé (%)</w:t>
                  </w:r>
                </w:p>
              </w:tc>
              <w:tc>
                <w:tcPr/>
                <w:p>
                  <w:pPr>
                    <w:pStyle w:val="Compact"/>
                    <w:jc w:val="right"/>
                    <w:jc w:val="center"/>
                  </w:pPr>
                  <w:r>
                    <w:t xml:space="preserve">81.3</w:t>
                  </w:r>
                </w:p>
              </w:tc>
              <w:tc>
                <w:tcPr/>
                <w:p>
                  <w:pPr>
                    <w:pStyle w:val="Compact"/>
                    <w:jc w:val="right"/>
                    <w:jc w:val="center"/>
                  </w:pPr>
                  <w:r>
                    <w:t xml:space="preserve">55.2</w:t>
                  </w:r>
                </w:p>
              </w:tc>
              <w:tc>
                <w:tcPr/>
                <w:p>
                  <w:pPr>
                    <w:pStyle w:val="Compact"/>
                    <w:jc w:val="right"/>
                    <w:jc w:val="center"/>
                  </w:pPr>
                  <w:r>
                    <w:t xml:space="preserve">42.6</w:t>
                  </w:r>
                </w:p>
              </w:tc>
              <w:tc>
                <w:tcPr/>
                <w:p>
                  <w:pPr>
                    <w:pStyle w:val="Compact"/>
                    <w:jc w:val="right"/>
                    <w:jc w:val="center"/>
                  </w:pPr>
                  <w:r>
                    <w:t xml:space="preserve">56.1</w:t>
                  </w:r>
                </w:p>
              </w:tc>
            </w:tr>
            <w:tr>
              <w:tc>
                <w:tcPr/>
                <w:p>
                  <w:pPr>
                    <w:pStyle w:val="Compact"/>
                    <w:jc w:val="left"/>
                    <w:jc w:val="center"/>
                  </w:pPr>
                  <w:r>
                    <w:t xml:space="preserve">Eau améliorée (%)</w:t>
                  </w:r>
                </w:p>
              </w:tc>
              <w:tc>
                <w:tcPr/>
                <w:p>
                  <w:pPr>
                    <w:pStyle w:val="Compact"/>
                    <w:jc w:val="right"/>
                    <w:jc w:val="center"/>
                  </w:pPr>
                  <w:r>
                    <w:t xml:space="preserve">60.3</w:t>
                  </w:r>
                </w:p>
              </w:tc>
              <w:tc>
                <w:tcPr/>
                <w:p>
                  <w:pPr>
                    <w:pStyle w:val="Compact"/>
                    <w:jc w:val="right"/>
                    <w:jc w:val="center"/>
                  </w:pPr>
                  <w:r>
                    <w:t xml:space="preserve">61.5</w:t>
                  </w:r>
                </w:p>
              </w:tc>
              <w:tc>
                <w:tcPr/>
                <w:p>
                  <w:pPr>
                    <w:pStyle w:val="Compact"/>
                    <w:jc w:val="right"/>
                    <w:jc w:val="center"/>
                  </w:pPr>
                  <w:r>
                    <w:t xml:space="preserve">30.3</w:t>
                  </w:r>
                </w:p>
              </w:tc>
              <w:tc>
                <w:tcPr/>
                <w:p>
                  <w:pPr>
                    <w:pStyle w:val="Compact"/>
                    <w:jc w:val="right"/>
                    <w:jc w:val="center"/>
                  </w:pPr>
                  <w:r>
                    <w:t xml:space="preserve">27.2</w:t>
                  </w:r>
                </w:p>
              </w:tc>
            </w:tr>
            <w:tr>
              <w:tc>
                <w:tcPr>
                  <w:gridSpan w:val="5"/>
                </w:tcPr>
                <w:p>
                  <w:pPr>
                    <w:pStyle w:val="Compact"/>
                    <w:jc w:val="left"/>
                    <w:jc w:val="center"/>
                  </w:pPr>
                  <w:r>
                    <w:rPr>
                      <w:b/>
                      <w:bCs/>
                    </w:rPr>
                    <w:t xml:space="preserve">Sources</w:t>
                  </w:r>
                  <w:r>
                    <w:t xml:space="preserve"> </w:t>
                  </w:r>
                  <w:r>
                    <w:t xml:space="preserve">: Enquête OR 2025 ; RGPH-3 2018 (INSTAT), échantillon 10 %, milieu rural.</w:t>
                  </w:r>
                  <w:r>
                    <w:t xml:space="preserve"> </w:t>
                  </w:r>
                  <w:r>
                    <w:t xml:space="preserve">Alphabétisation : sait lire et écrire en malgache (RGPH) ; sait lire (OR, y compris « avec effort »).</w:t>
                  </w:r>
                  <w:r>
                    <w:t xml:space="preserve"> </w:t>
                  </w:r>
                  <w:r>
                    <w:t xml:space="preserve">Situation matrimoniale harmonisée (marié + union libre + polygame = marié/union).</w:t>
                  </w:r>
                  <w:r>
                    <w:t xml:space="preserve"> </w:t>
                  </w:r>
                  <w:r>
                    <w:t xml:space="preserve">Eau améliorée : robinet, borne fontaine, puits protégé, forage, source (définition JMP/OMS).</w:t>
                  </w:r>
                  <w:r>
                    <w:t xml:space="preserve"> </w:t>
                  </w:r>
                  <w:r>
                    <w:t xml:space="preserve">Murs : « dur » = parpaing, pierre, brique cuite.</w:t>
                  </w:r>
                </w:p>
              </w:tc>
            </w:tr>
            <w:tr>
              <w:tc>
                <w:tcPr>
                  <w:gridSpan w:val="5"/>
                </w:tcPr>
                <w:p>
                  <w:pPr>
                    <w:pStyle w:val="Compact"/>
                    <w:jc w:val="left"/>
                    <w:jc w:val="center"/>
                  </w:pPr>
                  <w:r>
                    <w:rPr>
                      <w:b/>
                      <w:bCs/>
                    </w:rPr>
                    <w:t xml:space="preserve">Source : Enquête auprès des OR 2025</w:t>
                  </w:r>
                </w:p>
              </w:tc>
            </w:tr>
          </w:tbl>
          <w:bookmarkEnd w:id="857"/>
          <w:p/>
        </w:tc>
      </w:tr>
    </w:tbl>
    <w:p>
      <w:pPr>
        <w:pStyle w:val="Corpsdetexte"/>
      </w:pPr>
      <w:r>
        <w:t xml:space="preserve">La comparaison élargie confirme que l’échantillon OR reproduit raisonnablement les structures de la population RGPH pour la plupart des indicateurs, avec quelques écarts notables :</w:t>
      </w:r>
    </w:p>
    <w:p>
      <w:pPr>
        <w:pStyle w:val="Compact"/>
        <w:numPr>
          <w:ilvl w:val="0"/>
          <w:numId w:val="1012"/>
        </w:numPr>
      </w:pPr>
      <w:r>
        <w:rPr>
          <w:b/>
          <w:bCs/>
        </w:rPr>
        <w:t xml:space="preserve">Alphabétisation</w:t>
      </w:r>
      <w:r>
        <w:t xml:space="preserve"> </w:t>
      </w:r>
      <w:r>
        <w:t xml:space="preserve">: l’échantillon OR affiche des taux d’alphabétisation plus élevés que le RGPH, en particulier à Marovoay. L’écart s’explique en partie par le progrès de la scolarisation entre 2018 et 2025, et en partie par la définition plus inclusive retenue dans l’OR (« sait lire, même avec effort »).</w:t>
      </w:r>
    </w:p>
    <w:p>
      <w:pPr>
        <w:pStyle w:val="Compact"/>
        <w:numPr>
          <w:ilvl w:val="0"/>
          <w:numId w:val="1012"/>
        </w:numPr>
      </w:pPr>
      <w:r>
        <w:rPr>
          <w:b/>
          <w:bCs/>
        </w:rPr>
        <w:t xml:space="preserve">Scolarisation</w:t>
      </w:r>
      <w:r>
        <w:t xml:space="preserve"> </w:t>
      </w:r>
      <w:r>
        <w:t xml:space="preserve">: le pourcentage de personnes n’ayant jamais fréquenté l’école est nettement plus faible dans l’OR, ce qui va dans le même sens.</w:t>
      </w:r>
    </w:p>
    <w:p>
      <w:pPr>
        <w:pStyle w:val="Compact"/>
        <w:numPr>
          <w:ilvl w:val="0"/>
          <w:numId w:val="1012"/>
        </w:numPr>
      </w:pPr>
      <w:r>
        <w:rPr>
          <w:b/>
          <w:bCs/>
        </w:rPr>
        <w:t xml:space="preserve">Situation matrimoniale</w:t>
      </w:r>
      <w:r>
        <w:t xml:space="preserve"> </w:t>
      </w:r>
      <w:r>
        <w:t xml:space="preserve">: les proportions de CM veufs/divorcés sont plus élevées dans l’OR, signe possible d’un biais de sélection (les ménages stables, dirigés par des personnes plus âgées, sont plus facilement enquêtés).</w:t>
      </w:r>
    </w:p>
    <w:p>
      <w:pPr>
        <w:pStyle w:val="Compact"/>
        <w:numPr>
          <w:ilvl w:val="0"/>
          <w:numId w:val="1012"/>
        </w:numPr>
      </w:pPr>
      <w:r>
        <w:rPr>
          <w:b/>
          <w:bCs/>
        </w:rPr>
        <w:t xml:space="preserve">Habitat</w:t>
      </w:r>
      <w:r>
        <w:t xml:space="preserve"> </w:t>
      </w:r>
      <w:r>
        <w:t xml:space="preserve">: des écarts importants apparaissent sur les matériaux de construction (murs en dur, terre/pisé), reflet possible de la couverture géographique différente entre les sites OR et l’ensemble des communes RGPH. L’accès à l’eau améliorée est plus élevé dans l’OR que dans le RGPH, possiblement en raison d’améliorations intervenues entre 2018 et 2025.</w:t>
      </w:r>
    </w:p>
    <w:bookmarkEnd w:id="858"/>
    <w:bookmarkStart w:id="863" w:name="pyramides-des-âges"/>
    <w:p>
      <w:pPr>
        <w:pStyle w:val="Titre3"/>
      </w:pPr>
      <w:r>
        <w:t xml:space="preserve">11.2.3 Pyramides des âges</w:t>
      </w:r>
    </w:p>
    <w:tbl>
      <w:tblPr>
        <w:tblStyle w:val="Table"/>
        <w:tblW w:type="pct" w:w="5000"/>
        <w:tblLayout w:type="fixed"/>
        <w:tblLook w:firstRow="0" w:lastRow="0" w:firstColumn="0" w:lastColumn="0" w:noHBand="0" w:noVBand="0" w:val="0000"/>
      </w:tblPr>
      <w:tblGrid>
        <w:gridCol w:w="7920"/>
      </w:tblGrid>
      <w:tr>
        <w:tc>
          <w:tcPr/>
          <w:bookmarkStart w:id="862" w:name="fig-rgph-age-pyramid"/>
          <w:p>
            <w:pPr>
              <w:jc w:val="center"/>
            </w:pPr>
            <w:pPr>
              <w:jc w:val="left"/>
              <w:spacing w:before="200"/>
              <w:pStyle w:val="ImageCaption"/>
            </w:pPr>
            <w:r>
              <w:t xml:space="preserve">Figure 11.2: Pyramides des âges comparées : OR 2025 vs. RGPH 2018 (milieu rural)</w:t>
            </w:r>
          </w:p>
          <w:p>
            <w:pPr>
              <w:pStyle w:val="Compact"/>
              <w:jc w:val="center"/>
            </w:pPr>
            <w:r>
              <w:drawing>
                <wp:inline>
                  <wp:extent cx="5969000" cy="3581400"/>
                  <wp:effectExtent b="0" l="0" r="0" t="0"/>
                  <wp:docPr descr="" title="" id="860" name="Picture"/>
                  <a:graphic>
                    <a:graphicData uri="http://schemas.openxmlformats.org/drawingml/2006/picture">
                      <pic:pic>
                        <pic:nvPicPr>
                          <pic:cNvPr descr="11_representativite_ponderation_files/figure-docx/fig-rgph-age-pyramid-1.png" id="861" name="Picture"/>
                          <pic:cNvPicPr>
                            <a:picLocks noChangeArrowheads="1" noChangeAspect="1"/>
                          </pic:cNvPicPr>
                        </pic:nvPicPr>
                        <pic:blipFill>
                          <a:blip r:embed="rId859"/>
                          <a:stretch>
                            <a:fillRect/>
                          </a:stretch>
                        </pic:blipFill>
                        <pic:spPr bwMode="auto">
                          <a:xfrm>
                            <a:off x="0" y="0"/>
                            <a:ext cx="5969000" cy="3581400"/>
                          </a:xfrm>
                          <a:prstGeom prst="rect">
                            <a:avLst/>
                          </a:prstGeom>
                          <a:noFill/>
                          <a:ln w="9525">
                            <a:noFill/>
                            <a:headEnd/>
                            <a:tailEnd/>
                          </a:ln>
                        </pic:spPr>
                      </pic:pic>
                    </a:graphicData>
                  </a:graphic>
                </wp:inline>
              </w:drawing>
            </w:r>
          </w:p>
          <w:bookmarkEnd w:id="862"/>
        </w:tc>
      </w:tr>
    </w:tbl>
    <w:bookmarkEnd w:id="863"/>
    <w:bookmarkStart w:id="865" w:name="détail-communal"/>
    <w:p>
      <w:pPr>
        <w:pStyle w:val="Titre3"/>
      </w:pPr>
      <w:r>
        <w:t xml:space="preserve">11.2.4 Détail communal</w:t>
      </w:r>
    </w:p>
    <w:p>
      <w:pPr>
        <w:pStyle w:val="FirstParagraph"/>
      </w:pPr>
      <w:r>
        <w:t xml:space="preserve">Le tableau ci-dessous présente les caractéristiques démographiques des communes couvertes par les observatoires, d’après le RGPH-3 (échantillon 10 %, milieu rural uniquement) et l’enquête OR 2025. Seules les communes comprenant au moins un site enquêté sont affichées ; la commune d’Amparafaravola (site Ambatoharanana-Maritampona) ne figure pas dans les données rurales du RGPH.</w:t>
      </w:r>
    </w:p>
    <w:tbl>
      <w:tblPr>
        <w:tblStyle w:val="Table"/>
        <w:tblW w:type="pct" w:w="5000"/>
        <w:tblLayout w:type="fixed"/>
        <w:tblLook w:firstRow="0" w:lastRow="0" w:firstColumn="0" w:lastColumn="0" w:noHBand="0" w:noVBand="0" w:val="0000"/>
      </w:tblPr>
      <w:tblGrid>
        <w:gridCol w:w="7920"/>
      </w:tblGrid>
      <w:tr>
        <w:tc>
          <w:tcPr/>
          <w:bookmarkStart w:id="864" w:name="tbl-communes"/>
          <w:p>
            <w:pPr>
              <w:jc w:val="center"/>
            </w:pPr>
            <w:pPr>
              <w:jc w:val="left"/>
              <w:spacing w:before="200"/>
              <w:pStyle w:val="ImageCaption"/>
            </w:pPr>
            <w:r>
              <w:t xml:space="preserve">Table 11.5: Caractéristiques démographiques par commune — OR 2025 vs. RGPH 2018 (milieu rural)</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left"/>
                    <w:jc w:val="center"/>
                  </w:pPr>
                  <w:r>
                    <w:t xml:space="preserve">Commune</w:t>
                  </w:r>
                </w:p>
              </w:tc>
              <w:tc>
                <w:tcPr>
                  <w:gridSpan w:val="5"/>
                </w:tcPr>
                <w:p>
                  <w:pPr>
                    <w:pStyle w:val="Compact"/>
                    <w:jc w:val="center"/>
                    <w:jc w:val="center"/>
                  </w:pPr>
                  <w:r>
                    <w:t xml:space="preserve">RGPH 2018</w:t>
                  </w:r>
                </w:p>
              </w:tc>
              <w:tc>
                <w:tcPr>
                  <w:gridSpan w:val="5"/>
                </w:tcPr>
                <w:p>
                  <w:pPr>
                    <w:pStyle w:val="Compact"/>
                    <w:jc w:val="center"/>
                    <w:jc w:val="center"/>
                  </w:pPr>
                  <w:r>
                    <w:t xml:space="preserve">OR 2025</w:t>
                  </w:r>
                </w:p>
              </w:tc>
            </w:tr>
            <w:tr>
              <w:trPr>
                <w:tblHeader w:val="on"/>
              </w:trPr>
              <w:tc>
                <w:tcPr>
                  <w:gridSpan w:val="1"/>
                  <w:vMerge w:val="continue"/>
                </w:tcPr>
                <w:p>
                  <w:pP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r>
            <w:tr>
              <w:tc>
                <w:tcPr>
                  <w:gridSpan w:val="11"/>
                </w:tcPr>
                <w:p>
                  <w:pPr>
                    <w:pStyle w:val="Compact"/>
                    <w:jc w:val="left"/>
                    <w:jc w:val="center"/>
                  </w:pPr>
                  <w:r>
                    <w:t xml:space="preserve">Alaotra</w:t>
                  </w:r>
                </w:p>
              </w:tc>
            </w:tr>
            <w:tr>
              <w:tc>
                <w:tcPr/>
                <w:p>
                  <w:pPr>
                    <w:pStyle w:val="Compact"/>
                    <w:jc w:val="left"/>
                    <w:jc w:val="center"/>
                  </w:pPr>
                  <w:r>
                    <w:t xml:space="preserve">Feramanga Nord</w:t>
                  </w:r>
                </w:p>
              </w:tc>
              <w:tc>
                <w:tcPr/>
                <w:p>
                  <w:pPr>
                    <w:pStyle w:val="Compact"/>
                    <w:jc w:val="right"/>
                    <w:jc w:val="center"/>
                  </w:pPr>
                  <w:r>
                    <w:t xml:space="preserve">1408</w:t>
                  </w:r>
                </w:p>
              </w:tc>
              <w:tc>
                <w:tcPr/>
                <w:p>
                  <w:pPr>
                    <w:pStyle w:val="Compact"/>
                    <w:jc w:val="right"/>
                    <w:jc w:val="center"/>
                  </w:pPr>
                  <w:r>
                    <w:t xml:space="preserve">341</w:t>
                  </w:r>
                </w:p>
              </w:tc>
              <w:tc>
                <w:tcPr/>
                <w:p>
                  <w:pPr>
                    <w:pStyle w:val="Compact"/>
                    <w:jc w:val="right"/>
                    <w:jc w:val="center"/>
                  </w:pPr>
                  <w:r>
                    <w:t xml:space="preserve">4.1</w:t>
                  </w:r>
                </w:p>
              </w:tc>
              <w:tc>
                <w:tcPr/>
                <w:p>
                  <w:pPr>
                    <w:pStyle w:val="Compact"/>
                    <w:jc w:val="right"/>
                    <w:jc w:val="center"/>
                  </w:pPr>
                  <w:r>
                    <w:t xml:space="preserve">50.4</w:t>
                  </w:r>
                </w:p>
              </w:tc>
              <w:tc>
                <w:tcPr/>
                <w:p>
                  <w:pPr>
                    <w:pStyle w:val="Compact"/>
                    <w:jc w:val="right"/>
                    <w:jc w:val="center"/>
                  </w:pPr>
                  <w:r>
                    <w:t xml:space="preserve">24.2</w:t>
                  </w:r>
                </w:p>
              </w:tc>
              <w:tc>
                <w:tcPr/>
                <w:p>
                  <w:pPr>
                    <w:pStyle w:val="Compact"/>
                    <w:jc w:val="right"/>
                    <w:jc w:val="center"/>
                  </w:pPr>
                  <w:r>
                    <w:t xml:space="preserve">338</w:t>
                  </w:r>
                </w:p>
              </w:tc>
              <w:tc>
                <w:tcPr/>
                <w:p>
                  <w:pPr>
                    <w:pStyle w:val="Compact"/>
                    <w:jc w:val="right"/>
                    <w:jc w:val="center"/>
                  </w:pPr>
                  <w:r>
                    <w:t xml:space="preserve">90</w:t>
                  </w:r>
                </w:p>
              </w:tc>
              <w:tc>
                <w:tcPr/>
                <w:p>
                  <w:pPr>
                    <w:pStyle w:val="Compact"/>
                    <w:jc w:val="right"/>
                    <w:jc w:val="center"/>
                  </w:pPr>
                  <w:r>
                    <w:t xml:space="preserve">3.8</w:t>
                  </w:r>
                </w:p>
              </w:tc>
              <w:tc>
                <w:tcPr/>
                <w:p>
                  <w:pPr>
                    <w:pStyle w:val="Compact"/>
                    <w:jc w:val="right"/>
                    <w:jc w:val="center"/>
                  </w:pPr>
                  <w:r>
                    <w:t xml:space="preserve">53.0</w:t>
                  </w:r>
                </w:p>
              </w:tc>
              <w:tc>
                <w:tcPr/>
                <w:p>
                  <w:pPr>
                    <w:pStyle w:val="Compact"/>
                    <w:jc w:val="right"/>
                    <w:jc w:val="center"/>
                  </w:pPr>
                  <w:r>
                    <w:t xml:space="preserve">26.2</w:t>
                  </w:r>
                </w:p>
              </w:tc>
            </w:tr>
            <w:tr>
              <w:tc>
                <w:tcPr/>
                <w:p>
                  <w:pPr>
                    <w:pStyle w:val="Compact"/>
                    <w:jc w:val="left"/>
                    <w:jc w:val="center"/>
                  </w:pPr>
                  <w:r>
                    <w:t xml:space="preserve">Ilafy</w:t>
                  </w:r>
                </w:p>
              </w:tc>
              <w:tc>
                <w:tcPr/>
                <w:p>
                  <w:pPr>
                    <w:pStyle w:val="Compact"/>
                    <w:jc w:val="right"/>
                    <w:jc w:val="center"/>
                  </w:pPr>
                  <w:r>
                    <w:t xml:space="preserve">1384</w:t>
                  </w:r>
                </w:p>
              </w:tc>
              <w:tc>
                <w:tcPr/>
                <w:p>
                  <w:pPr>
                    <w:pStyle w:val="Compact"/>
                    <w:jc w:val="right"/>
                    <w:jc w:val="center"/>
                  </w:pPr>
                  <w:r>
                    <w:t xml:space="preserve">340</w:t>
                  </w:r>
                </w:p>
              </w:tc>
              <w:tc>
                <w:tcPr/>
                <w:p>
                  <w:pPr>
                    <w:pStyle w:val="Compact"/>
                    <w:jc w:val="right"/>
                    <w:jc w:val="center"/>
                  </w:pPr>
                  <w:r>
                    <w:t xml:space="preserve">4.1</w:t>
                  </w:r>
                </w:p>
              </w:tc>
              <w:tc>
                <w:tcPr/>
                <w:p>
                  <w:pPr>
                    <w:pStyle w:val="Compact"/>
                    <w:jc w:val="right"/>
                    <w:jc w:val="center"/>
                  </w:pPr>
                  <w:r>
                    <w:t xml:space="preserve">52.0</w:t>
                  </w:r>
                </w:p>
              </w:tc>
              <w:tc>
                <w:tcPr/>
                <w:p>
                  <w:pPr>
                    <w:pStyle w:val="Compact"/>
                    <w:jc w:val="right"/>
                    <w:jc w:val="center"/>
                  </w:pPr>
                  <w:r>
                    <w:t xml:space="preserve">24.4</w:t>
                  </w:r>
                </w:p>
              </w:tc>
              <w:tc>
                <w:tcPr/>
                <w:p>
                  <w:pPr>
                    <w:pStyle w:val="Compact"/>
                    <w:jc w:val="right"/>
                    <w:jc w:val="center"/>
                  </w:pPr>
                  <w:r>
                    <w:t xml:space="preserve">294</w:t>
                  </w:r>
                </w:p>
              </w:tc>
              <w:tc>
                <w:tcPr/>
                <w:p>
                  <w:pPr>
                    <w:pStyle w:val="Compact"/>
                    <w:jc w:val="right"/>
                    <w:jc w:val="center"/>
                  </w:pPr>
                  <w:r>
                    <w:t xml:space="preserve">73</w:t>
                  </w:r>
                </w:p>
              </w:tc>
              <w:tc>
                <w:tcPr/>
                <w:p>
                  <w:pPr>
                    <w:pStyle w:val="Compact"/>
                    <w:jc w:val="right"/>
                    <w:jc w:val="center"/>
                  </w:pPr>
                  <w:r>
                    <w:t xml:space="preserve">4.0</w:t>
                  </w:r>
                </w:p>
              </w:tc>
              <w:tc>
                <w:tcPr/>
                <w:p>
                  <w:pPr>
                    <w:pStyle w:val="Compact"/>
                    <w:jc w:val="right"/>
                    <w:jc w:val="center"/>
                  </w:pPr>
                  <w:r>
                    <w:t xml:space="preserve">49.5</w:t>
                  </w:r>
                </w:p>
              </w:tc>
              <w:tc>
                <w:tcPr/>
                <w:p>
                  <w:pPr>
                    <w:pStyle w:val="Compact"/>
                    <w:jc w:val="right"/>
                    <w:jc w:val="center"/>
                  </w:pPr>
                  <w:r>
                    <w:t xml:space="preserve">26.6</w:t>
                  </w:r>
                </w:p>
              </w:tc>
            </w:tr>
            <w:tr>
              <w:tc>
                <w:tcPr/>
                <w:p>
                  <w:pPr>
                    <w:pStyle w:val="Compact"/>
                    <w:jc w:val="left"/>
                    <w:jc w:val="center"/>
                  </w:pPr>
                  <w:r>
                    <w:t xml:space="preserve">Ambohiboromanga</w:t>
                  </w:r>
                </w:p>
              </w:tc>
              <w:tc>
                <w:tcPr/>
                <w:p>
                  <w:pPr>
                    <w:pStyle w:val="Compact"/>
                    <w:jc w:val="right"/>
                    <w:jc w:val="center"/>
                  </w:pPr>
                  <w:r>
                    <w:t xml:space="preserve">720</w:t>
                  </w:r>
                </w:p>
              </w:tc>
              <w:tc>
                <w:tcPr/>
                <w:p>
                  <w:pPr>
                    <w:pStyle w:val="Compact"/>
                    <w:jc w:val="right"/>
                    <w:jc w:val="center"/>
                  </w:pPr>
                  <w:r>
                    <w:t xml:space="preserve">174</w:t>
                  </w:r>
                </w:p>
              </w:tc>
              <w:tc>
                <w:tcPr/>
                <w:p>
                  <w:pPr>
                    <w:pStyle w:val="Compact"/>
                    <w:jc w:val="right"/>
                    <w:jc w:val="center"/>
                  </w:pPr>
                  <w:r>
                    <w:t xml:space="preserve">4.1</w:t>
                  </w:r>
                </w:p>
              </w:tc>
              <w:tc>
                <w:tcPr/>
                <w:p>
                  <w:pPr>
                    <w:pStyle w:val="Compact"/>
                    <w:jc w:val="right"/>
                    <w:jc w:val="center"/>
                  </w:pPr>
                  <w:r>
                    <w:t xml:space="preserve">50.3</w:t>
                  </w:r>
                </w:p>
              </w:tc>
              <w:tc>
                <w:tcPr/>
                <w:p>
                  <w:pPr>
                    <w:pStyle w:val="Compact"/>
                    <w:jc w:val="right"/>
                    <w:jc w:val="center"/>
                  </w:pPr>
                  <w:r>
                    <w:t xml:space="preserve">23.6</w:t>
                  </w:r>
                </w:p>
              </w:tc>
              <w:tc>
                <w:tcPr/>
                <w:p>
                  <w:pPr>
                    <w:pStyle w:val="Compact"/>
                    <w:jc w:val="right"/>
                    <w:jc w:val="center"/>
                  </w:pPr>
                  <w:r>
                    <w:t xml:space="preserve">339</w:t>
                  </w:r>
                </w:p>
              </w:tc>
              <w:tc>
                <w:tcPr/>
                <w:p>
                  <w:pPr>
                    <w:pStyle w:val="Compact"/>
                    <w:jc w:val="right"/>
                    <w:jc w:val="center"/>
                  </w:pPr>
                  <w:r>
                    <w:t xml:space="preserve">89</w:t>
                  </w:r>
                </w:p>
              </w:tc>
              <w:tc>
                <w:tcPr/>
                <w:p>
                  <w:pPr>
                    <w:pStyle w:val="Compact"/>
                    <w:jc w:val="right"/>
                    <w:jc w:val="center"/>
                  </w:pPr>
                  <w:r>
                    <w:t xml:space="preserve">3.8</w:t>
                  </w:r>
                </w:p>
              </w:tc>
              <w:tc>
                <w:tcPr/>
                <w:p>
                  <w:pPr>
                    <w:pStyle w:val="Compact"/>
                    <w:jc w:val="right"/>
                    <w:jc w:val="center"/>
                  </w:pPr>
                  <w:r>
                    <w:t xml:space="preserve">44.5</w:t>
                  </w:r>
                </w:p>
              </w:tc>
              <w:tc>
                <w:tcPr/>
                <w:p>
                  <w:pPr>
                    <w:pStyle w:val="Compact"/>
                    <w:jc w:val="right"/>
                    <w:jc w:val="center"/>
                  </w:pPr>
                  <w:r>
                    <w:t xml:space="preserve">26.3</w:t>
                  </w:r>
                </w:p>
              </w:tc>
            </w:tr>
            <w:tr>
              <w:tc>
                <w:tcPr/>
                <w:p>
                  <w:pPr>
                    <w:pStyle w:val="Compact"/>
                    <w:jc w:val="left"/>
                    <w:jc w:val="center"/>
                  </w:pPr>
                  <w:r>
                    <w:t xml:space="preserve">Morarano Chrome</w:t>
                  </w:r>
                </w:p>
              </w:tc>
              <w:tc>
                <w:tcPr/>
                <w:p>
                  <w:pPr>
                    <w:pStyle w:val="Compact"/>
                    <w:jc w:val="right"/>
                    <w:jc w:val="center"/>
                  </w:pPr>
                  <w:r>
                    <w:t xml:space="preserve">4183</w:t>
                  </w:r>
                </w:p>
              </w:tc>
              <w:tc>
                <w:tcPr/>
                <w:p>
                  <w:pPr>
                    <w:pStyle w:val="Compact"/>
                    <w:jc w:val="right"/>
                    <w:jc w:val="center"/>
                  </w:pPr>
                  <w:r>
                    <w:t xml:space="preserve">979</w:t>
                  </w:r>
                </w:p>
              </w:tc>
              <w:tc>
                <w:tcPr/>
                <w:p>
                  <w:pPr>
                    <w:pStyle w:val="Compact"/>
                    <w:jc w:val="right"/>
                    <w:jc w:val="center"/>
                  </w:pPr>
                  <w:r>
                    <w:t xml:space="preserve">4.3</w:t>
                  </w:r>
                </w:p>
              </w:tc>
              <w:tc>
                <w:tcPr/>
                <w:p>
                  <w:pPr>
                    <w:pStyle w:val="Compact"/>
                    <w:jc w:val="right"/>
                    <w:jc w:val="center"/>
                  </w:pPr>
                  <w:r>
                    <w:t xml:space="preserve">50.0</w:t>
                  </w:r>
                </w:p>
              </w:tc>
              <w:tc>
                <w:tcPr/>
                <w:p>
                  <w:pPr>
                    <w:pStyle w:val="Compact"/>
                    <w:jc w:val="right"/>
                    <w:jc w:val="center"/>
                  </w:pPr>
                  <w:r>
                    <w:t xml:space="preserve">23.3</w:t>
                  </w:r>
                </w:p>
              </w:tc>
              <w:tc>
                <w:tcPr/>
                <w:p>
                  <w:pPr>
                    <w:pStyle w:val="Compact"/>
                    <w:jc w:val="right"/>
                    <w:jc w:val="center"/>
                  </w:pPr>
                  <w:r>
                    <w:t xml:space="preserve">472</w:t>
                  </w:r>
                </w:p>
              </w:tc>
              <w:tc>
                <w:tcPr/>
                <w:p>
                  <w:pPr>
                    <w:pStyle w:val="Compact"/>
                    <w:jc w:val="right"/>
                    <w:jc w:val="center"/>
                  </w:pPr>
                  <w:r>
                    <w:t xml:space="preserve">120</w:t>
                  </w:r>
                </w:p>
              </w:tc>
              <w:tc>
                <w:tcPr/>
                <w:p>
                  <w:pPr>
                    <w:pStyle w:val="Compact"/>
                    <w:jc w:val="right"/>
                    <w:jc w:val="center"/>
                  </w:pPr>
                  <w:r>
                    <w:t xml:space="preserve">3.9</w:t>
                  </w:r>
                </w:p>
              </w:tc>
              <w:tc>
                <w:tcPr/>
                <w:p>
                  <w:pPr>
                    <w:pStyle w:val="Compact"/>
                    <w:jc w:val="right"/>
                    <w:jc w:val="center"/>
                  </w:pPr>
                  <w:r>
                    <w:t xml:space="preserve">50.2</w:t>
                  </w:r>
                </w:p>
              </w:tc>
              <w:tc>
                <w:tcPr/>
                <w:p>
                  <w:pPr>
                    <w:pStyle w:val="Compact"/>
                    <w:jc w:val="right"/>
                    <w:jc w:val="center"/>
                  </w:pPr>
                  <w:r>
                    <w:t xml:space="preserve">25.0</w:t>
                  </w:r>
                </w:p>
              </w:tc>
            </w:tr>
            <w:tr>
              <w:tc>
                <w:tcPr/>
                <w:p>
                  <w:pPr>
                    <w:pStyle w:val="Compact"/>
                    <w:jc w:val="left"/>
                    <w:jc w:val="center"/>
                  </w:pPr>
                  <w:r>
                    <w:t xml:space="preserve">Amparafaravola</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532</w:t>
                  </w:r>
                </w:p>
              </w:tc>
              <w:tc>
                <w:tcPr/>
                <w:p>
                  <w:pPr>
                    <w:pStyle w:val="Compact"/>
                    <w:jc w:val="right"/>
                    <w:jc w:val="center"/>
                  </w:pPr>
                  <w:r>
                    <w:t xml:space="preserve">135</w:t>
                  </w:r>
                </w:p>
              </w:tc>
              <w:tc>
                <w:tcPr/>
                <w:p>
                  <w:pPr>
                    <w:pStyle w:val="Compact"/>
                    <w:jc w:val="right"/>
                    <w:jc w:val="center"/>
                  </w:pPr>
                  <w:r>
                    <w:t xml:space="preserve">3.9</w:t>
                  </w:r>
                </w:p>
              </w:tc>
              <w:tc>
                <w:tcPr/>
                <w:p>
                  <w:pPr>
                    <w:pStyle w:val="Compact"/>
                    <w:jc w:val="right"/>
                    <w:jc w:val="center"/>
                  </w:pPr>
                  <w:r>
                    <w:t xml:space="preserve">52.1</w:t>
                  </w:r>
                </w:p>
              </w:tc>
              <w:tc>
                <w:tcPr/>
                <w:p>
                  <w:pPr>
                    <w:pStyle w:val="Compact"/>
                    <w:jc w:val="right"/>
                    <w:jc w:val="center"/>
                  </w:pPr>
                  <w:r>
                    <w:t xml:space="preserve">25.8</w:t>
                  </w:r>
                </w:p>
              </w:tc>
            </w:tr>
            <w:tr>
              <w:tc>
                <w:tcPr>
                  <w:gridSpan w:val="11"/>
                </w:tcPr>
                <w:p>
                  <w:pPr>
                    <w:pStyle w:val="Compact"/>
                    <w:jc w:val="left"/>
                    <w:jc w:val="center"/>
                  </w:pPr>
                  <w:r>
                    <w:t xml:space="preserve">Marovoay</w:t>
                  </w:r>
                </w:p>
              </w:tc>
            </w:tr>
            <w:tr>
              <w:tc>
                <w:tcPr/>
                <w:p>
                  <w:pPr>
                    <w:pStyle w:val="Compact"/>
                    <w:jc w:val="left"/>
                    <w:jc w:val="center"/>
                  </w:pPr>
                  <w:r>
                    <w:t xml:space="preserve">Ankazomborona</w:t>
                  </w:r>
                </w:p>
              </w:tc>
              <w:tc>
                <w:tcPr/>
                <w:p>
                  <w:pPr>
                    <w:pStyle w:val="Compact"/>
                    <w:jc w:val="right"/>
                    <w:jc w:val="center"/>
                  </w:pPr>
                  <w:r>
                    <w:t xml:space="preserve">2931</w:t>
                  </w:r>
                </w:p>
              </w:tc>
              <w:tc>
                <w:tcPr/>
                <w:p>
                  <w:pPr>
                    <w:pStyle w:val="Compact"/>
                    <w:jc w:val="right"/>
                    <w:jc w:val="center"/>
                  </w:pPr>
                  <w:r>
                    <w:t xml:space="preserve">718</w:t>
                  </w:r>
                </w:p>
              </w:tc>
              <w:tc>
                <w:tcPr/>
                <w:p>
                  <w:pPr>
                    <w:pStyle w:val="Compact"/>
                    <w:jc w:val="right"/>
                    <w:jc w:val="center"/>
                  </w:pPr>
                  <w:r>
                    <w:t xml:space="preserve">4.1</w:t>
                  </w:r>
                </w:p>
              </w:tc>
              <w:tc>
                <w:tcPr/>
                <w:p>
                  <w:pPr>
                    <w:pStyle w:val="Compact"/>
                    <w:jc w:val="right"/>
                    <w:jc w:val="center"/>
                  </w:pPr>
                  <w:r>
                    <w:t xml:space="preserve">50.5</w:t>
                  </w:r>
                </w:p>
              </w:tc>
              <w:tc>
                <w:tcPr/>
                <w:p>
                  <w:pPr>
                    <w:pStyle w:val="Compact"/>
                    <w:jc w:val="right"/>
                    <w:jc w:val="center"/>
                  </w:pPr>
                  <w:r>
                    <w:t xml:space="preserve">23.2</w:t>
                  </w:r>
                </w:p>
              </w:tc>
              <w:tc>
                <w:tcPr/>
                <w:p>
                  <w:pPr>
                    <w:pStyle w:val="Compact"/>
                    <w:jc w:val="right"/>
                    <w:jc w:val="center"/>
                  </w:pPr>
                  <w:r>
                    <w:t xml:space="preserve">529</w:t>
                  </w:r>
                </w:p>
              </w:tc>
              <w:tc>
                <w:tcPr/>
                <w:p>
                  <w:pPr>
                    <w:pStyle w:val="Compact"/>
                    <w:jc w:val="right"/>
                    <w:jc w:val="center"/>
                  </w:pPr>
                  <w:r>
                    <w:t xml:space="preserve">137</w:t>
                  </w:r>
                </w:p>
              </w:tc>
              <w:tc>
                <w:tcPr/>
                <w:p>
                  <w:pPr>
                    <w:pStyle w:val="Compact"/>
                    <w:jc w:val="right"/>
                    <w:jc w:val="center"/>
                  </w:pPr>
                  <w:r>
                    <w:t xml:space="preserve">3.9</w:t>
                  </w:r>
                </w:p>
              </w:tc>
              <w:tc>
                <w:tcPr/>
                <w:p>
                  <w:pPr>
                    <w:pStyle w:val="Compact"/>
                    <w:jc w:val="right"/>
                    <w:jc w:val="center"/>
                  </w:pPr>
                  <w:r>
                    <w:t xml:space="preserve">48.9</w:t>
                  </w:r>
                </w:p>
              </w:tc>
              <w:tc>
                <w:tcPr/>
                <w:p>
                  <w:pPr>
                    <w:pStyle w:val="Compact"/>
                    <w:jc w:val="right"/>
                    <w:jc w:val="center"/>
                  </w:pPr>
                  <w:r>
                    <w:t xml:space="preserve">28.1</w:t>
                  </w:r>
                </w:p>
              </w:tc>
            </w:tr>
            <w:tr>
              <w:tc>
                <w:tcPr/>
                <w:p>
                  <w:pPr>
                    <w:pStyle w:val="Compact"/>
                    <w:jc w:val="left"/>
                    <w:jc w:val="center"/>
                  </w:pPr>
                  <w:r>
                    <w:t xml:space="preserve">Tsararano</w:t>
                  </w:r>
                </w:p>
              </w:tc>
              <w:tc>
                <w:tcPr/>
                <w:p>
                  <w:pPr>
                    <w:pStyle w:val="Compact"/>
                    <w:jc w:val="right"/>
                    <w:jc w:val="center"/>
                  </w:pPr>
                  <w:r>
                    <w:t xml:space="preserve">1094</w:t>
                  </w:r>
                </w:p>
              </w:tc>
              <w:tc>
                <w:tcPr/>
                <w:p>
                  <w:pPr>
                    <w:pStyle w:val="Compact"/>
                    <w:jc w:val="right"/>
                    <w:jc w:val="center"/>
                  </w:pPr>
                  <w:r>
                    <w:t xml:space="preserve">248</w:t>
                  </w:r>
                </w:p>
              </w:tc>
              <w:tc>
                <w:tcPr/>
                <w:p>
                  <w:pPr>
                    <w:pStyle w:val="Compact"/>
                    <w:jc w:val="right"/>
                    <w:jc w:val="center"/>
                  </w:pPr>
                  <w:r>
                    <w:t xml:space="preserve">4.4</w:t>
                  </w:r>
                </w:p>
              </w:tc>
              <w:tc>
                <w:tcPr/>
                <w:p>
                  <w:pPr>
                    <w:pStyle w:val="Compact"/>
                    <w:jc w:val="right"/>
                    <w:jc w:val="center"/>
                  </w:pPr>
                  <w:r>
                    <w:t xml:space="preserve">50.5</w:t>
                  </w:r>
                </w:p>
              </w:tc>
              <w:tc>
                <w:tcPr/>
                <w:p>
                  <w:pPr>
                    <w:pStyle w:val="Compact"/>
                    <w:jc w:val="right"/>
                    <w:jc w:val="center"/>
                  </w:pPr>
                  <w:r>
                    <w:t xml:space="preserve">22.6</w:t>
                  </w:r>
                </w:p>
              </w:tc>
              <w:tc>
                <w:tcPr/>
                <w:p>
                  <w:pPr>
                    <w:pStyle w:val="Compact"/>
                    <w:jc w:val="right"/>
                    <w:jc w:val="center"/>
                  </w:pPr>
                  <w:r>
                    <w:t xml:space="preserve">535</w:t>
                  </w:r>
                </w:p>
              </w:tc>
              <w:tc>
                <w:tcPr/>
                <w:p>
                  <w:pPr>
                    <w:pStyle w:val="Compact"/>
                    <w:jc w:val="right"/>
                    <w:jc w:val="center"/>
                  </w:pPr>
                  <w:r>
                    <w:t xml:space="preserve">123</w:t>
                  </w:r>
                </w:p>
              </w:tc>
              <w:tc>
                <w:tcPr/>
                <w:p>
                  <w:pPr>
                    <w:pStyle w:val="Compact"/>
                    <w:jc w:val="right"/>
                    <w:jc w:val="center"/>
                  </w:pPr>
                  <w:r>
                    <w:t xml:space="preserve">4.3</w:t>
                  </w:r>
                </w:p>
              </w:tc>
              <w:tc>
                <w:tcPr/>
                <w:p>
                  <w:pPr>
                    <w:pStyle w:val="Compact"/>
                    <w:jc w:val="right"/>
                    <w:jc w:val="center"/>
                  </w:pPr>
                  <w:r>
                    <w:t xml:space="preserve">54.9</w:t>
                  </w:r>
                </w:p>
              </w:tc>
              <w:tc>
                <w:tcPr/>
                <w:p>
                  <w:pPr>
                    <w:pStyle w:val="Compact"/>
                    <w:jc w:val="right"/>
                    <w:jc w:val="center"/>
                  </w:pPr>
                  <w:r>
                    <w:t xml:space="preserve">24.3</w:t>
                  </w:r>
                </w:p>
              </w:tc>
            </w:tr>
            <w:tr>
              <w:tc>
                <w:tcPr/>
                <w:p>
                  <w:pPr>
                    <w:pStyle w:val="Compact"/>
                    <w:jc w:val="left"/>
                    <w:jc w:val="center"/>
                  </w:pPr>
                  <w:r>
                    <w:t xml:space="preserve">Antanimasaka</w:t>
                  </w:r>
                </w:p>
              </w:tc>
              <w:tc>
                <w:tcPr/>
                <w:p>
                  <w:pPr>
                    <w:pStyle w:val="Compact"/>
                    <w:jc w:val="right"/>
                    <w:jc w:val="center"/>
                  </w:pPr>
                  <w:r>
                    <w:t xml:space="preserve">1488</w:t>
                  </w:r>
                </w:p>
              </w:tc>
              <w:tc>
                <w:tcPr/>
                <w:p>
                  <w:pPr>
                    <w:pStyle w:val="Compact"/>
                    <w:jc w:val="right"/>
                    <w:jc w:val="center"/>
                  </w:pPr>
                  <w:r>
                    <w:t xml:space="preserve">318</w:t>
                  </w:r>
                </w:p>
              </w:tc>
              <w:tc>
                <w:tcPr/>
                <w:p>
                  <w:pPr>
                    <w:pStyle w:val="Compact"/>
                    <w:jc w:val="right"/>
                    <w:jc w:val="center"/>
                  </w:pPr>
                  <w:r>
                    <w:t xml:space="preserve">4.7</w:t>
                  </w:r>
                </w:p>
              </w:tc>
              <w:tc>
                <w:tcPr/>
                <w:p>
                  <w:pPr>
                    <w:pStyle w:val="Compact"/>
                    <w:jc w:val="right"/>
                    <w:jc w:val="center"/>
                  </w:pPr>
                  <w:r>
                    <w:t xml:space="preserve">50.1</w:t>
                  </w:r>
                </w:p>
              </w:tc>
              <w:tc>
                <w:tcPr/>
                <w:p>
                  <w:pPr>
                    <w:pStyle w:val="Compact"/>
                    <w:jc w:val="right"/>
                    <w:jc w:val="center"/>
                  </w:pPr>
                  <w:r>
                    <w:t xml:space="preserve">22.1</w:t>
                  </w:r>
                </w:p>
              </w:tc>
              <w:tc>
                <w:tcPr/>
                <w:p>
                  <w:pPr>
                    <w:pStyle w:val="Compact"/>
                    <w:jc w:val="right"/>
                    <w:jc w:val="center"/>
                  </w:pPr>
                  <w:r>
                    <w:t xml:space="preserve">1233</w:t>
                  </w:r>
                </w:p>
              </w:tc>
              <w:tc>
                <w:tcPr/>
                <w:p>
                  <w:pPr>
                    <w:pStyle w:val="Compact"/>
                    <w:jc w:val="right"/>
                    <w:jc w:val="center"/>
                  </w:pPr>
                  <w:r>
                    <w:t xml:space="preserve">259</w:t>
                  </w:r>
                </w:p>
              </w:tc>
              <w:tc>
                <w:tcPr/>
                <w:p>
                  <w:pPr>
                    <w:pStyle w:val="Compact"/>
                    <w:jc w:val="right"/>
                    <w:jc w:val="center"/>
                  </w:pPr>
                  <w:r>
                    <w:t xml:space="preserve">4.8</w:t>
                  </w:r>
                </w:p>
              </w:tc>
              <w:tc>
                <w:tcPr/>
                <w:p>
                  <w:pPr>
                    <w:pStyle w:val="Compact"/>
                    <w:jc w:val="right"/>
                    <w:jc w:val="center"/>
                  </w:pPr>
                  <w:r>
                    <w:t xml:space="preserve">49.4</w:t>
                  </w:r>
                </w:p>
              </w:tc>
              <w:tc>
                <w:tcPr/>
                <w:p>
                  <w:pPr>
                    <w:pStyle w:val="Compact"/>
                    <w:jc w:val="right"/>
                    <w:jc w:val="center"/>
                  </w:pPr>
                  <w:r>
                    <w:t xml:space="preserve">23.4</w:t>
                  </w:r>
                </w:p>
              </w:tc>
            </w:tr>
            <w:tr>
              <w:tc>
                <w:tcPr>
                  <w:gridSpan w:val="11"/>
                </w:tcPr>
                <w:p>
                  <w:pPr>
                    <w:pStyle w:val="Compact"/>
                    <w:jc w:val="left"/>
                    <w:jc w:val="center"/>
                  </w:pPr>
                  <w:r>
                    <w:rPr>
                      <w:b/>
                      <w:bCs/>
                    </w:rPr>
                    <w:t xml:space="preserve">Sources</w:t>
                  </w:r>
                  <w:r>
                    <w:t xml:space="preserve"> </w:t>
                  </w:r>
                  <w:r>
                    <w:t xml:space="preserve">: RGPH-3 2018 (échantillon 10 %, milieu rural) ; Enquête OR 2025.</w:t>
                  </w:r>
                  <w:r>
                    <w:t xml:space="preserve"> </w:t>
                  </w:r>
                  <w:r>
                    <w:t xml:space="preserve">Le site d’Ambatoharanana-Maritampona correspond à la commune d’Amparafaravola,</w:t>
                  </w:r>
                  <w:r>
                    <w:t xml:space="preserve"> </w:t>
                  </w:r>
                  <w:r>
                    <w:t xml:space="preserve">qui n’apparaît pas dans les données rurales du RGPH.</w:t>
                  </w:r>
                </w:p>
              </w:tc>
            </w:tr>
            <w:tr>
              <w:tc>
                <w:tcPr>
                  <w:gridSpan w:val="11"/>
                </w:tcPr>
                <w:p>
                  <w:pPr>
                    <w:pStyle w:val="Compact"/>
                    <w:jc w:val="left"/>
                    <w:jc w:val="center"/>
                  </w:pPr>
                  <w:r>
                    <w:rPr>
                      <w:b/>
                      <w:bCs/>
                    </w:rPr>
                    <w:t xml:space="preserve">Source : Enquête auprès des OR 2025</w:t>
                  </w:r>
                </w:p>
              </w:tc>
            </w:tr>
          </w:tbl>
          <w:bookmarkEnd w:id="864"/>
          <w:p/>
        </w:tc>
      </w:tr>
    </w:tbl>
    <w:bookmarkEnd w:id="865"/>
    <w:bookmarkEnd w:id="866"/>
    <w:bookmarkStart w:id="889" w:name="méthodes-de-correction"/>
    <w:p>
      <w:pPr>
        <w:pStyle w:val="Titre2"/>
      </w:pPr>
      <w:r>
        <w:t xml:space="preserve">11.3 Méthodes de correction</w:t>
      </w:r>
    </w:p>
    <w:p>
      <w:pPr>
        <w:pStyle w:val="FirstParagraph"/>
      </w:pPr>
      <w:r>
        <w:t xml:space="preserve">Les comparaisons précédentes montrent que l’échantillon OR reproduit raisonnablement les grandes structures de la population, mais avec des écarts ponctuels (surreprésentation des CM veufs/divorcés, sous-représentation des jeunes non scolarisés, divergences sur l’habitat). Trois familles de méthodes, d’ambition croissante, permettent de corriger ces biais :</w:t>
      </w:r>
    </w:p>
    <w:p>
      <w:pPr>
        <w:numPr>
          <w:ilvl w:val="0"/>
          <w:numId w:val="1013"/>
        </w:numPr>
      </w:pPr>
      <w:r>
        <w:rPr>
          <w:b/>
          <w:bCs/>
        </w:rPr>
        <w:t xml:space="preserve">Post-stratification</w:t>
      </w:r>
      <w:r>
        <w:t xml:space="preserve"> </w:t>
      </w:r>
      <w:r>
        <w:t xml:space="preserve">— repondérer l’échantillon pour que la distribution d’une variable catégorielle (sexe du CM, classe d’âge) corresponde exactement aux proportions connues dans la population. C’est la correction la plus simple : elle partitionne l’échantillon en strates définies</w:t>
      </w:r>
      <w:r>
        <w:t xml:space="preserve"> </w:t>
      </w:r>
      <w:r>
        <w:rPr>
          <w:i/>
          <w:iCs/>
        </w:rPr>
        <w:t xml:space="preserve">a posteriori</w:t>
      </w:r>
      <w:r>
        <w:t xml:space="preserve">, puis ajuste les poids strate par strate.</w:t>
      </w:r>
    </w:p>
    <w:p>
      <w:pPr>
        <w:numPr>
          <w:ilvl w:val="0"/>
          <w:numId w:val="1013"/>
        </w:numPr>
      </w:pPr>
      <w:r>
        <w:rPr>
          <w:b/>
          <w:bCs/>
        </w:rPr>
        <w:t xml:space="preserve">Calage sur marges</w:t>
      </w:r>
      <w:r>
        <w:t xml:space="preserve"> </w:t>
      </w:r>
      <w:r>
        <w:t xml:space="preserve">(</w:t>
      </w:r>
      <w:r>
        <w:rPr>
          <w:i/>
          <w:iCs/>
        </w:rPr>
        <w:t xml:space="preserve">calibration</w:t>
      </w:r>
      <w:r>
        <w:t xml:space="preserve">) — généralisation de la post-stratification à</w:t>
      </w:r>
      <w:r>
        <w:t xml:space="preserve"> </w:t>
      </w:r>
      <w:r>
        <w:rPr>
          <w:b/>
          <w:bCs/>
        </w:rPr>
        <w:t xml:space="preserve">plusieurs variables simultanées</w:t>
      </w:r>
      <w:r>
        <w:t xml:space="preserve"> </w:t>
      </w:r>
      <w:r>
        <w:t xml:space="preserve">(sexe × classe d’âge, taille du ménage, etc.). La méthode de</w:t>
      </w:r>
      <w:r>
        <w:t xml:space="preserve"> </w:t>
      </w:r>
      <w:r>
        <w:t xml:space="preserve">Deville et Särndal (1992)</w:t>
      </w:r>
      <w:r>
        <w:t xml:space="preserve"> </w:t>
      </w:r>
      <w:r>
        <w:t xml:space="preserve">ajuste les poids de manière continue en minimisant une distance aux poids initiaux, sous la contrainte que les totaux pondérés de variables auxiliaires reproduisent exactement les marges connues. Avec une seule variable binaire, calage et post-stratification sont algébriquement équivalents ; l’intérêt du calage apparaît avec des contraintes multidimensionnelles.</w:t>
      </w:r>
    </w:p>
    <w:p>
      <w:pPr>
        <w:numPr>
          <w:ilvl w:val="0"/>
          <w:numId w:val="1013"/>
        </w:numPr>
      </w:pPr>
      <w:r>
        <w:rPr>
          <w:b/>
          <w:bCs/>
        </w:rPr>
        <w:t xml:space="preserve">Estimation pour petits domaines</w:t>
      </w:r>
      <w:r>
        <w:t xml:space="preserve"> </w:t>
      </w:r>
      <w:r>
        <w:t xml:space="preserve">— lorsque l’on souhaite des estimations à une maille fine (commune, fokontany), les effectifs par domaine sont trop faibles pour une estimation directe fiable. Les modèles de type Fay-Herriot</w:t>
      </w:r>
      <w:r>
        <w:t xml:space="preserve"> </w:t>
      </w:r>
      <w:r>
        <w:t xml:space="preserve">(Fay et Herriot 1979)</w:t>
      </w:r>
      <w:r>
        <w:t xml:space="preserve"> </w:t>
      </w:r>
      <w:r>
        <w:t xml:space="preserve">combinent l’information directe de l’échantillon avec des</w:t>
      </w:r>
      <w:r>
        <w:t xml:space="preserve"> </w:t>
      </w:r>
      <w:r>
        <w:rPr>
          <w:b/>
          <w:bCs/>
        </w:rPr>
        <w:t xml:space="preserve">covariables auxiliaires</w:t>
      </w:r>
      <w:r>
        <w:t xml:space="preserve"> </w:t>
      </w:r>
      <w:r>
        <w:t xml:space="preserve">connues pour tous les domaines, « empruntant de la force » aux relations observées entre domaines</w:t>
      </w:r>
      <w:r>
        <w:t xml:space="preserve"> </w:t>
      </w:r>
      <w:r>
        <w:t xml:space="preserve">(Rao et Molina 2015)</w:t>
      </w:r>
      <w:r>
        <w:t xml:space="preserve">.</w:t>
      </w:r>
    </w:p>
    <w:bookmarkStart w:id="868" w:name="X605732ceafd3d8e1745f82f9aee93bcf884dc84"/>
    <w:p>
      <w:pPr>
        <w:pStyle w:val="Titre3"/>
      </w:pPr>
      <w:r>
        <w:t xml:space="preserve">11.3.1 Post-stratification par sexe du chef de ménage</w:t>
      </w:r>
    </w:p>
    <w:p>
      <w:pPr>
        <w:pStyle w:val="FirstParagraph"/>
      </w:pPr>
      <w:r>
        <w:t xml:space="preserve">Nous illustrons la post-stratification avec le sexe du CM. Les marges — effectifs de CM masculins et féminins — proviennent du RGPH (milieu rural, communes couvertes). Si les strates de post-stratification sont corrélées à la variable d’intérêt, la variance de l’estimateur est réduite</w:t>
      </w:r>
      <w:r>
        <w:t xml:space="preserve"> </w:t>
      </w:r>
      <w:r>
        <w:t xml:space="preserve">(Särndal, Swensson, et Wretman 2003, chap. 7)</w:t>
      </w:r>
      <w:r>
        <w:t xml:space="preserve">.</w:t>
      </w:r>
    </w:p>
    <w:tbl>
      <w:tblPr>
        <w:tblStyle w:val="Table"/>
        <w:tblW w:type="pct" w:w="5000"/>
        <w:tblLayout w:type="fixed"/>
        <w:tblLook w:firstRow="0" w:lastRow="0" w:firstColumn="0" w:lastColumn="0" w:noHBand="0" w:noVBand="0" w:val="0000"/>
      </w:tblPr>
      <w:tblGrid>
        <w:gridCol w:w="7920"/>
      </w:tblGrid>
      <w:tr>
        <w:tc>
          <w:tcPr/>
          <w:bookmarkStart w:id="867" w:name="tbl-post-strat"/>
          <w:p>
            <w:pPr>
              <w:jc w:val="center"/>
            </w:pPr>
            <w:pPr>
              <w:jc w:val="left"/>
              <w:spacing w:before="200"/>
              <w:pStyle w:val="ImageCaption"/>
            </w:pPr>
            <w:r>
              <w:t xml:space="preserve">Table 11.6: Taille moyenne des ménages — comparaison des estimateurs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r>
            <w:tr>
              <w:tc>
                <w:tcPr>
                  <w:gridSpan w:val="5"/>
                </w:tcPr>
                <w:p>
                  <w:pPr>
                    <w:pStyle w:val="Compact"/>
                    <w:jc w:val="left"/>
                    <w:jc w:val="center"/>
                  </w:pPr>
                  <w:r>
                    <w:t xml:space="preserve">ES = erreur standard. Post-stratification sur le sexe du CM, marges RGPH-3 2018.</w:t>
                  </w:r>
                </w:p>
              </w:tc>
            </w:tr>
            <w:tr>
              <w:tc>
                <w:tcPr>
                  <w:gridSpan w:val="5"/>
                </w:tcPr>
                <w:p>
                  <w:pPr>
                    <w:pStyle w:val="Compact"/>
                    <w:jc w:val="left"/>
                    <w:jc w:val="center"/>
                  </w:pPr>
                  <w:r>
                    <w:rPr>
                      <w:b/>
                      <w:bCs/>
                    </w:rPr>
                    <w:t xml:space="preserve">Source : Enquête auprès des OR 2025</w:t>
                  </w:r>
                </w:p>
              </w:tc>
            </w:tr>
          </w:tbl>
          <w:bookmarkEnd w:id="867"/>
          <w:p/>
        </w:tc>
      </w:tr>
    </w:tbl>
    <w:p>
      <w:pPr>
        <w:pStyle w:val="Corpsdetexte"/>
      </w:pPr>
      <w:r>
        <w:t xml:space="preserve">La post-stratification modifie très légèrement les estimations ponctuelles et réduit marginalement l’erreur standard. L’impact limité s’explique par le fait que la proportion de femmes CM dans l’échantillon OR est déjà proche de celle du RGPH.</w:t>
      </w:r>
    </w:p>
    <w:bookmarkEnd w:id="868"/>
    <w:bookmarkStart w:id="870" w:name="calage-sur-marges-calibration"/>
    <w:p>
      <w:pPr>
        <w:pStyle w:val="Titre3"/>
      </w:pPr>
      <w:r>
        <w:t xml:space="preserve">11.3.2 Calage sur marges (calibration)</w:t>
      </w:r>
    </w:p>
    <w:p>
      <w:pPr>
        <w:pStyle w:val="FirstParagraph"/>
      </w:pPr>
      <w:r>
        <w:t xml:space="preserve">Nous appliquons le calage linéaire (</w:t>
      </w:r>
      <w:r>
        <w:rPr>
          <w:rStyle w:val="VerbatimChar"/>
        </w:rPr>
        <w:t xml:space="preserve">survey::calibrate()</w:t>
      </w:r>
      <w:r>
        <w:t xml:space="preserve">) avec le sexe du CM comme seule variable de calage. La méthode minimise la distance chi-deux entre les poids initiaux et les poids calés, sous la contrainte que le total pondéré de femmes CM corresponde exactement à la marge RGPH.</w:t>
      </w:r>
    </w:p>
    <w:tbl>
      <w:tblPr>
        <w:tblStyle w:val="Table"/>
        <w:tblW w:type="pct" w:w="5000"/>
        <w:tblLayout w:type="fixed"/>
        <w:tblLook w:firstRow="0" w:lastRow="0" w:firstColumn="0" w:lastColumn="0" w:noHBand="0" w:noVBand="0" w:val="0000"/>
      </w:tblPr>
      <w:tblGrid>
        <w:gridCol w:w="7920"/>
      </w:tblGrid>
      <w:tr>
        <w:tc>
          <w:tcPr/>
          <w:bookmarkStart w:id="869" w:name="tbl-calibration"/>
          <w:p>
            <w:pPr>
              <w:jc w:val="center"/>
            </w:pPr>
            <w:pPr>
              <w:jc w:val="left"/>
              <w:spacing w:before="200"/>
              <w:pStyle w:val="ImageCaption"/>
            </w:pPr>
            <w:r>
              <w:t xml:space="preserve">Table 11.7: Comparaison des estimateurs — pondération de base, post-stratification et calage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w:t>
                  </w:r>
                </w:p>
              </w:tc>
              <w:tc>
                <w:tcPr>
                  <w:gridSpan w:val="2"/>
                </w:tcPr>
                <w:p>
                  <w:pPr>
                    <w:pStyle w:val="Compact"/>
                    <w:jc w:val="center"/>
                    <w:jc w:val="center"/>
                  </w:pPr>
                  <w:r>
                    <w:t xml:space="preserve">Calage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c>
                <w:tcPr/>
                <w:p>
                  <w:pPr>
                    <w:pStyle w:val="Compact"/>
                    <w:jc w:val="right"/>
                    <w:jc w:val="center"/>
                  </w:pPr>
                  <w:r>
                    <w:t xml:space="preserve">Moy. calée</w:t>
                  </w:r>
                </w:p>
              </w:tc>
              <w:tc>
                <w:tcPr/>
                <w:p>
                  <w:pPr>
                    <w:pStyle w:val="Compact"/>
                    <w:jc w:val="right"/>
                    <w:jc w:val="center"/>
                  </w:pPr>
                  <w:r>
                    <w:t xml:space="preserve">ES calée</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c>
                <w:tcPr/>
                <w:p>
                  <w:pPr>
                    <w:pStyle w:val="Compact"/>
                    <w:jc w:val="right"/>
                    <w:jc w:val="center"/>
                  </w:pPr>
                  <w:r>
                    <w:t xml:space="preserve">4.399</w:t>
                  </w:r>
                </w:p>
              </w:tc>
              <w:tc>
                <w:tcPr/>
                <w:p>
                  <w:pPr>
                    <w:pStyle w:val="Compact"/>
                    <w:jc w:val="right"/>
                    <w:jc w:val="center"/>
                  </w:pPr>
                  <w:r>
                    <w:t xml:space="preserve">0.094</w:t>
                  </w:r>
                </w:p>
              </w:tc>
            </w:tr>
            <w:tr>
              <w:tc>
                <w:tcPr>
                  <w:gridSpan w:val="7"/>
                </w:tcPr>
                <w:p>
                  <w:pPr>
                    <w:pStyle w:val="Compact"/>
                    <w:jc w:val="left"/>
                    <w:jc w:val="center"/>
                  </w:pPr>
                  <w:r>
                    <w:t xml:space="preserve">Post-stratification et calage sur le sexe du CM ; marges RGPH-3 2018.</w:t>
                  </w:r>
                  <w:r>
                    <w:t xml:space="preserve"> </w:t>
                  </w:r>
                  <w:r>
                    <w:t xml:space="preserve">Avec une seule variable binaire, les deux méthodes produisent des résultats identiques</w:t>
                  </w:r>
                  <w:r>
                    <w:t xml:space="preserve"> </w:t>
                  </w:r>
                  <w:r>
                    <w:t xml:space="preserve">(Deville et Särndal 1992)</w:t>
                  </w:r>
                  <w:r>
                    <w:t xml:space="preserve">.</w:t>
                  </w:r>
                </w:p>
              </w:tc>
            </w:tr>
            <w:tr>
              <w:tc>
                <w:tcPr>
                  <w:gridSpan w:val="7"/>
                </w:tcPr>
                <w:p>
                  <w:pPr>
                    <w:pStyle w:val="Compact"/>
                    <w:jc w:val="left"/>
                    <w:jc w:val="center"/>
                  </w:pPr>
                  <w:r>
                    <w:rPr>
                      <w:b/>
                      <w:bCs/>
                    </w:rPr>
                    <w:t xml:space="preserve">Source : Enquête auprès des OR 2025</w:t>
                  </w:r>
                </w:p>
              </w:tc>
            </w:tr>
          </w:tbl>
          <w:bookmarkEnd w:id="869"/>
          <w:p/>
        </w:tc>
      </w:tr>
    </w:tbl>
    <w:p>
      <w:pPr>
        <w:pStyle w:val="Corpsdetexte"/>
      </w:pPr>
      <w:r>
        <w:t xml:space="preserve">Comme attendu, calage et post-stratification produisent des résultats identiques avec une seule variable binaire. L’intérêt du calage apparaîtrait avec plusieurs variables simultanées (sexe × classe d’âge du CM, taille du ménage, etc.), permettant de corriger des biais multidimensionnels en un seul ajustement.</w:t>
      </w:r>
    </w:p>
    <w:bookmarkEnd w:id="870"/>
    <w:bookmarkStart w:id="874" w:name="Xe78546f05516088558e60b1e71b7aafd4e5d89a"/>
    <w:p>
      <w:pPr>
        <w:pStyle w:val="Titre3"/>
      </w:pPr>
      <w:r>
        <w:t xml:space="preserve">11.3.3 Estimation pour petits domaines : modèle de Fay-Herriot</w:t>
      </w:r>
    </w:p>
    <w:p>
      <w:pPr>
        <w:pStyle w:val="FirstParagraph"/>
      </w:pPr>
      <w:r>
        <w:t xml:space="preserve">Le modèle de Fay-Herriot</w:t>
      </w:r>
      <w:r>
        <w:t xml:space="preserve"> </w:t>
      </w:r>
      <w:r>
        <w:t xml:space="preserve">(Fay et Herriot 1979)</w:t>
      </w:r>
      <w:r>
        <w:t xml:space="preserve"> </w:t>
      </w:r>
      <w:r>
        <w:t xml:space="preserve">combine les estimations directes au niveau communal avec des covariables auxiliaires issues du RGPH :</w:t>
      </w:r>
    </w:p>
    <w:p>
      <w:pPr>
        <w:pStyle w:val="Corpsdetexte"/>
      </w:pPr>
      <m:oMathPara>
        <m:oMathParaPr>
          <m:jc m:val="center"/>
        </m:oMathParaPr>
        <m:oMath>
          <m:sSubSup>
            <m:e>
              <m:acc>
                <m:accPr>
                  <m:chr m:val="̂"/>
                </m:accPr>
                <m:e>
                  <m:r>
                    <m:t>y</m:t>
                  </m:r>
                </m:e>
              </m:acc>
            </m:e>
            <m:sub>
              <m:r>
                <m:t>i</m:t>
              </m:r>
            </m:sub>
            <m:sup>
              <m:r>
                <m:t>F</m:t>
              </m:r>
              <m:r>
                <m:t>H</m:t>
              </m:r>
            </m:sup>
          </m:sSubSup>
          <m:r>
            <m:rPr>
              <m:sty m:val="p"/>
            </m:rPr>
            <m:t>=</m:t>
          </m:r>
          <m:sSub>
            <m:e>
              <m:r>
                <m:t>γ</m:t>
              </m:r>
            </m:e>
            <m:sub>
              <m:r>
                <m:t>i</m:t>
              </m:r>
            </m:sub>
          </m:sSub>
          <m:sSubSup>
            <m:e>
              <m:acc>
                <m:accPr>
                  <m:chr m:val="̂"/>
                </m:accPr>
                <m:e>
                  <m:r>
                    <m:t>y</m:t>
                  </m:r>
                </m:e>
              </m:acc>
            </m:e>
            <m:sub>
              <m:r>
                <m:t>i</m:t>
              </m:r>
            </m:sub>
            <m:sup>
              <m:r>
                <m:t>d</m:t>
              </m:r>
              <m:r>
                <m:t>i</m:t>
              </m:r>
              <m:r>
                <m:t>r</m:t>
              </m:r>
            </m:sup>
          </m:sSubSup>
          <m:r>
            <m:rPr>
              <m:sty m:val="p"/>
            </m:rPr>
            <m:t>+</m:t>
          </m:r>
          <m:d>
            <m:dPr>
              <m:begChr m:val="("/>
              <m:sepChr m:val=""/>
              <m:endChr m:val=")"/>
              <m:grow/>
            </m:dPr>
            <m:e>
              <m:r>
                <m:t>1</m:t>
              </m:r>
              <m:r>
                <m:rPr>
                  <m:sty m:val="p"/>
                </m:rPr>
                <m:t>−</m:t>
              </m:r>
              <m:sSub>
                <m:e>
                  <m:r>
                    <m:t>γ</m:t>
                  </m:r>
                </m:e>
                <m:sub>
                  <m:r>
                    <m:t>i</m:t>
                  </m:r>
                </m:sub>
              </m:sSub>
            </m:e>
          </m:d>
          <m:sSub>
            <m:e>
              <m:r>
                <m:rPr>
                  <m:sty m:val="b"/>
                </m:rPr>
                <m:t>x</m:t>
              </m:r>
            </m:e>
            <m:sub>
              <m:r>
                <m:t>i</m:t>
              </m:r>
            </m:sub>
          </m:sSub>
          <m:r>
            <m:rPr>
              <m:sty m:val="p"/>
            </m:rPr>
            <m:t>′</m:t>
          </m:r>
          <m:acc>
            <m:accPr>
              <m:chr m:val="̂"/>
            </m:accPr>
            <m:e>
              <m:r>
                <m:rPr>
                  <m:sty m:val="b"/>
                </m:rPr>
                <m:t>β</m:t>
              </m:r>
            </m:e>
          </m:acc>
        </m:oMath>
      </m:oMathPara>
    </w:p>
    <w:p>
      <w:pPr>
        <w:pStyle w:val="FirstParagraph"/>
      </w:pPr>
      <w:r>
        <w:t xml:space="preserve">où</w:t>
      </w:r>
      <w:r>
        <w:t xml:space="preserve"> </w:t>
      </w:r>
      <m:oMath>
        <m:sSub>
          <m:e>
            <m:r>
              <m:t>γ</m:t>
            </m:r>
          </m:e>
          <m:sub>
            <m:r>
              <m:t>i</m:t>
            </m:r>
          </m:sub>
        </m:sSub>
        <m:r>
          <m:rPr>
            <m:sty m:val="p"/>
          </m:rPr>
          <m:t>=</m:t>
        </m:r>
        <m:sSubSup>
          <m:e>
            <m:acc>
              <m:accPr>
                <m:chr m:val="̂"/>
              </m:accPr>
              <m:e>
                <m:r>
                  <m:t>σ</m:t>
                </m:r>
              </m:e>
            </m:acc>
          </m:e>
          <m:sub>
            <m:r>
              <m:t>v</m:t>
            </m:r>
          </m:sub>
          <m:sup>
            <m:r>
              <m:t>2</m:t>
            </m:r>
          </m:sup>
        </m:sSubSup>
        <m:r>
          <m:rPr>
            <m:sty m:val="p"/>
          </m:rPr>
          <m:t>/</m:t>
        </m:r>
        <m:d>
          <m:dPr>
            <m:begChr m:val="("/>
            <m:sepChr m:val=""/>
            <m:endChr m:val=")"/>
            <m:grow/>
          </m:dPr>
          <m:e>
            <m:sSubSup>
              <m:e>
                <m:acc>
                  <m:accPr>
                    <m:chr m:val="̂"/>
                  </m:accPr>
                  <m:e>
                    <m:r>
                      <m:t>σ</m:t>
                    </m:r>
                  </m:e>
                </m:acc>
              </m:e>
              <m:sub>
                <m:r>
                  <m:t>v</m:t>
                </m:r>
              </m:sub>
              <m:sup>
                <m:r>
                  <m:t>2</m:t>
                </m:r>
              </m:sup>
            </m:sSubSup>
            <m:r>
              <m:rPr>
                <m:sty m:val="p"/>
              </m:rPr>
              <m:t>+</m:t>
            </m:r>
            <m:sSub>
              <m:e>
                <m:acc>
                  <m:accPr>
                    <m:chr m:val="̂"/>
                  </m:accPr>
                  <m:e>
                    <m:r>
                      <m:t>ψ</m:t>
                    </m:r>
                  </m:e>
                </m:acc>
              </m:e>
              <m:sub>
                <m:r>
                  <m:t>i</m:t>
                </m:r>
              </m:sub>
            </m:sSub>
          </m:e>
        </m:d>
      </m:oMath>
      <w:r>
        <w:t xml:space="preserve"> </w:t>
      </w:r>
      <w:r>
        <w:t xml:space="preserve">est le facteur de retrait (</w:t>
      </w:r>
      <w:r>
        <w:rPr>
          <w:i/>
          <w:iCs/>
        </w:rPr>
        <w:t xml:space="preserve">shrinkage</w:t>
      </w:r>
      <w:r>
        <w:t xml:space="preserve">),</w:t>
      </w:r>
      <w:r>
        <w:t xml:space="preserve"> </w:t>
      </w:r>
      <m:oMath>
        <m:sSubSup>
          <m:e>
            <m:acc>
              <m:accPr>
                <m:chr m:val="̂"/>
              </m:accPr>
              <m:e>
                <m:r>
                  <m:t>σ</m:t>
                </m:r>
              </m:e>
            </m:acc>
          </m:e>
          <m:sub>
            <m:r>
              <m:t>v</m:t>
            </m:r>
          </m:sub>
          <m:sup>
            <m:r>
              <m:t>2</m:t>
            </m:r>
          </m:sup>
        </m:sSubSup>
      </m:oMath>
      <w:r>
        <w:t xml:space="preserve"> </w:t>
      </w:r>
      <w:r>
        <w:t xml:space="preserve">la variance inter-domaines estimée et</w:t>
      </w:r>
      <w:r>
        <w:t xml:space="preserve"> </w:t>
      </w:r>
      <m:oMath>
        <m:sSub>
          <m:e>
            <m:acc>
              <m:accPr>
                <m:chr m:val="̂"/>
              </m:accPr>
              <m:e>
                <m:r>
                  <m:t>ψ</m:t>
                </m:r>
              </m:e>
            </m:acc>
          </m:e>
          <m:sub>
            <m:r>
              <m:t>i</m:t>
            </m:r>
          </m:sub>
        </m:sSub>
      </m:oMath>
      <w:r>
        <w:t xml:space="preserve"> </w:t>
      </w:r>
      <w:r>
        <w:t xml:space="preserve">la variance d’échantillonnage du domaine</w:t>
      </w:r>
      <w:r>
        <w:t xml:space="preserve"> </w:t>
      </w:r>
      <m:oMath>
        <m:r>
          <m:t>i</m:t>
        </m:r>
      </m:oMath>
      <w:r>
        <w:t xml:space="preserve">.</w:t>
      </w:r>
    </w:p>
    <w:tbl>
      <w:tblPr>
        <w:tblStyle w:val="Table"/>
        <w:tblW w:type="pct" w:w="5000"/>
        <w:tblLayout w:type="fixed"/>
        <w:tblLook w:firstRow="0" w:lastRow="0" w:firstColumn="0" w:lastColumn="0" w:noHBand="0" w:noVBand="0" w:val="0000"/>
      </w:tblPr>
      <w:tblGrid>
        <w:gridCol w:w="7920"/>
      </w:tblGrid>
      <w:tr>
        <w:tc>
          <w:tcPr/>
          <w:bookmarkStart w:id="871" w:name="tbl-fay-herriot"/>
          <w:p>
            <w:pPr>
              <w:jc w:val="center"/>
            </w:pPr>
            <w:pPr>
              <w:jc w:val="left"/>
              <w:spacing w:before="200"/>
              <w:pStyle w:val="ImageCaption"/>
            </w:pPr>
            <w:r>
              <w:t xml:space="preserve">Table 11.8: Estimation de la taille moyenne des ménages par commune — estimateur direct vs. Fay-Herriot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Commune</w:t>
                  </w:r>
                </w:p>
              </w:tc>
              <w:tc>
                <w:tcPr>
                  <w:vMerge w:val="restart"/>
                </w:tcPr>
                <w:p>
                  <w:pPr>
                    <w:pStyle w:val="Compact"/>
                    <w:jc w:val="right"/>
                    <w:jc w:val="center"/>
                  </w:pPr>
                  <w:r>
                    <w:t xml:space="preserve">n (OR)</w:t>
                  </w:r>
                </w:p>
              </w:tc>
              <w:tc>
                <w:tcPr>
                  <w:gridSpan w:val="2"/>
                </w:tcPr>
                <w:p>
                  <w:pPr>
                    <w:pStyle w:val="Compact"/>
                    <w:jc w:val="center"/>
                    <w:jc w:val="center"/>
                  </w:pPr>
                  <w:r>
                    <w:t xml:space="preserve">Taille moy. ménage</w:t>
                  </w:r>
                </w:p>
              </w:tc>
              <w:tc>
                <w:tcPr/>
                <w:p>
                  <w:pPr>
                    <w:pStyle w:val="Compact"/>
                    <w:jc w:val="center"/>
                    <w:jc w:val="center"/>
                  </w:pPr>
                  <w:r>
                    <w:t xml:space="preserve">Covariable</w:t>
                  </w:r>
                </w:p>
              </w:tc>
              <w:tc>
                <w:tcPr>
                  <w:gridSpan w:val="2"/>
                </w:tcPr>
                <w:p>
                  <w:pPr>
                    <w:pStyle w:val="Compact"/>
                    <w:jc w:val="center"/>
                    <w:jc w:val="center"/>
                  </w:pPr>
                  <w:r>
                    <w:t xml:space="preserve">Fay-Herriot</w:t>
                  </w:r>
                </w:p>
              </w:tc>
            </w:tr>
            <w:tr>
              <w:trPr>
                <w:tblHeader w:val="on"/>
              </w:trPr>
              <w:tc>
                <w:tcPr>
                  <w:gridSpan w:val="1"/>
                  <w:vMerge w:val="continue"/>
                </w:tcPr>
                <w:p>
                  <w:pPr/>
                </w:p>
              </w:tc>
              <w:tc>
                <w:tcPr>
                  <w:gridSpan w:val="1"/>
                  <w:vMerge w:val="continue"/>
                </w:tcPr>
                <w:p>
                  <w:pPr/>
                </w:p>
              </w:tc>
              <w:tc>
                <w:tcPr/>
                <w:p>
                  <w:pPr>
                    <w:pStyle w:val="Compact"/>
                    <w:jc w:val="right"/>
                    <w:jc w:val="center"/>
                  </w:pPr>
                  <w:r>
                    <w:t xml:space="preserve">Directe</w:t>
                  </w:r>
                </w:p>
              </w:tc>
              <w:tc>
                <w:tcPr/>
                <w:p>
                  <w:pPr>
                    <w:pStyle w:val="Compact"/>
                    <w:jc w:val="right"/>
                    <w:jc w:val="center"/>
                  </w:pPr>
                  <w:r>
                    <w:t xml:space="preserve">ES dir.</w:t>
                  </w:r>
                </w:p>
              </w:tc>
              <w:tc>
                <w:tcPr/>
                <w:p>
                  <w:pPr>
                    <w:pStyle w:val="Compact"/>
                    <w:jc w:val="right"/>
                    <w:jc w:val="center"/>
                  </w:pPr>
                  <w:r>
                    <w:t xml:space="preserve">RGPH</w:t>
                  </w:r>
                </w:p>
              </w:tc>
              <w:tc>
                <w:tcPr/>
                <w:p>
                  <w:pPr>
                    <w:pStyle w:val="Compact"/>
                    <w:jc w:val="right"/>
                    <w:jc w:val="center"/>
                  </w:pPr>
                  <w:r>
                    <w:t xml:space="preserve">FH-EBLUP</w:t>
                  </w:r>
                </w:p>
              </w:tc>
              <w:tc>
                <w:tcPr/>
                <w:p>
                  <w:pPr>
                    <w:pStyle w:val="Compact"/>
                    <w:jc w:val="right"/>
                    <w:jc w:val="center"/>
                  </w:pPr>
                  <w:r>
                    <w:t xml:space="preserve">ES FH</w:t>
                  </w:r>
                </w:p>
              </w:tc>
            </w:tr>
            <w:tr>
              <w:tc>
                <w:tcPr>
                  <w:gridSpan w:val="7"/>
                </w:tcPr>
                <w:p>
                  <w:pPr>
                    <w:pStyle w:val="Compact"/>
                    <w:jc w:val="left"/>
                    <w:jc w:val="center"/>
                  </w:pPr>
                  <w:r>
                    <w:t xml:space="preserve">Alaotra</w:t>
                  </w:r>
                </w:p>
              </w:tc>
            </w:tr>
            <w:tr>
              <w:tc>
                <w:tcPr/>
                <w:p>
                  <w:pPr>
                    <w:pStyle w:val="Compact"/>
                    <w:jc w:val="left"/>
                    <w:jc w:val="center"/>
                  </w:pPr>
                  <w:r>
                    <w:t xml:space="preserve">Morarano Chrome</w:t>
                  </w:r>
                </w:p>
              </w:tc>
              <w:tc>
                <w:tcPr/>
                <w:p>
                  <w:pPr>
                    <w:pStyle w:val="Compact"/>
                    <w:jc w:val="right"/>
                    <w:jc w:val="center"/>
                  </w:pPr>
                  <w:r>
                    <w:t xml:space="preserve">120</w:t>
                  </w:r>
                </w:p>
              </w:tc>
              <w:tc>
                <w:tcPr/>
                <w:p>
                  <w:pPr>
                    <w:pStyle w:val="Compact"/>
                    <w:jc w:val="right"/>
                    <w:jc w:val="center"/>
                  </w:pPr>
                  <w:r>
                    <w:t xml:space="preserve">3.93</w:t>
                  </w:r>
                </w:p>
              </w:tc>
              <w:tc>
                <w:tcPr/>
                <w:p>
                  <w:pPr>
                    <w:pStyle w:val="Compact"/>
                    <w:jc w:val="right"/>
                    <w:jc w:val="center"/>
                  </w:pPr>
                  <w:r>
                    <w:t xml:space="preserve">0.151</w:t>
                  </w:r>
                </w:p>
              </w:tc>
              <w:tc>
                <w:tcPr/>
                <w:p>
                  <w:pPr>
                    <w:pStyle w:val="Compact"/>
                    <w:jc w:val="right"/>
                    <w:jc w:val="center"/>
                  </w:pPr>
                  <w:r>
                    <w:t xml:space="preserve">4.27</w:t>
                  </w:r>
                </w:p>
              </w:tc>
              <w:tc>
                <w:tcPr/>
                <w:p>
                  <w:pPr>
                    <w:pStyle w:val="Compact"/>
                    <w:jc w:val="right"/>
                    <w:jc w:val="center"/>
                  </w:pPr>
                  <w:r>
                    <w:t xml:space="preserve">4.08</w:t>
                  </w:r>
                </w:p>
              </w:tc>
              <w:tc>
                <w:tcPr/>
                <w:p>
                  <w:pPr>
                    <w:pStyle w:val="Compact"/>
                    <w:jc w:val="right"/>
                    <w:jc w:val="center"/>
                  </w:pPr>
                  <w:r>
                    <w:t xml:space="preserve">0.144</w:t>
                  </w:r>
                </w:p>
              </w:tc>
            </w:tr>
            <w:tr>
              <w:tc>
                <w:tcPr/>
                <w:p>
                  <w:pPr>
                    <w:pStyle w:val="Compact"/>
                    <w:jc w:val="left"/>
                    <w:jc w:val="center"/>
                  </w:pPr>
                  <w:r>
                    <w:t xml:space="preserve">Ilafy</w:t>
                  </w:r>
                </w:p>
              </w:tc>
              <w:tc>
                <w:tcPr/>
                <w:p>
                  <w:pPr>
                    <w:pStyle w:val="Compact"/>
                    <w:jc w:val="right"/>
                    <w:jc w:val="center"/>
                  </w:pPr>
                  <w:r>
                    <w:t xml:space="preserve">73</w:t>
                  </w:r>
                </w:p>
              </w:tc>
              <w:tc>
                <w:tcPr/>
                <w:p>
                  <w:pPr>
                    <w:pStyle w:val="Compact"/>
                    <w:jc w:val="right"/>
                    <w:jc w:val="center"/>
                  </w:pPr>
                  <w:r>
                    <w:t xml:space="preserve">4.03</w:t>
                  </w:r>
                </w:p>
              </w:tc>
              <w:tc>
                <w:tcPr/>
                <w:p>
                  <w:pPr>
                    <w:pStyle w:val="Compact"/>
                    <w:jc w:val="right"/>
                    <w:jc w:val="center"/>
                  </w:pPr>
                  <w:r>
                    <w:t xml:space="preserve">0.223</w:t>
                  </w:r>
                </w:p>
              </w:tc>
              <w:tc>
                <w:tcPr/>
                <w:p>
                  <w:pPr>
                    <w:pStyle w:val="Compact"/>
                    <w:jc w:val="right"/>
                    <w:jc w:val="center"/>
                  </w:pPr>
                  <w:r>
                    <w:t xml:space="preserve">4.07</w:t>
                  </w:r>
                </w:p>
              </w:tc>
              <w:tc>
                <w:tcPr/>
                <w:p>
                  <w:pPr>
                    <w:pStyle w:val="Compact"/>
                    <w:jc w:val="right"/>
                    <w:jc w:val="center"/>
                  </w:pPr>
                  <w:r>
                    <w:t xml:space="preserve">3.76</w:t>
                  </w:r>
                </w:p>
              </w:tc>
              <w:tc>
                <w:tcPr/>
                <w:p>
                  <w:pPr>
                    <w:pStyle w:val="Compact"/>
                    <w:jc w:val="right"/>
                    <w:jc w:val="center"/>
                  </w:pPr>
                  <w:r>
                    <w:t xml:space="preserve">0.122</w:t>
                  </w:r>
                </w:p>
              </w:tc>
            </w:tr>
            <w:tr>
              <w:tc>
                <w:tcPr/>
                <w:p>
                  <w:pPr>
                    <w:pStyle w:val="Compact"/>
                    <w:jc w:val="left"/>
                    <w:jc w:val="center"/>
                  </w:pPr>
                  <w:r>
                    <w:t xml:space="preserve">Feramanga Nord</w:t>
                  </w:r>
                </w:p>
              </w:tc>
              <w:tc>
                <w:tcPr/>
                <w:p>
                  <w:pPr>
                    <w:pStyle w:val="Compact"/>
                    <w:jc w:val="right"/>
                    <w:jc w:val="center"/>
                  </w:pPr>
                  <w:r>
                    <w:t xml:space="preserve">90</w:t>
                  </w:r>
                </w:p>
              </w:tc>
              <w:tc>
                <w:tcPr/>
                <w:p>
                  <w:pPr>
                    <w:pStyle w:val="Compact"/>
                    <w:jc w:val="right"/>
                    <w:jc w:val="center"/>
                  </w:pPr>
                  <w:r>
                    <w:t xml:space="preserve">3.76</w:t>
                  </w:r>
                </w:p>
              </w:tc>
              <w:tc>
                <w:tcPr/>
                <w:p>
                  <w:pPr>
                    <w:pStyle w:val="Compact"/>
                    <w:jc w:val="right"/>
                    <w:jc w:val="center"/>
                  </w:pPr>
                  <w:r>
                    <w:t xml:space="preserve">0.163</w:t>
                  </w:r>
                </w:p>
              </w:tc>
              <w:tc>
                <w:tcPr/>
                <w:p>
                  <w:pPr>
                    <w:pStyle w:val="Compact"/>
                    <w:jc w:val="right"/>
                    <w:jc w:val="center"/>
                  </w:pPr>
                  <w:r>
                    <w:t xml:space="preserve">4.13</w:t>
                  </w:r>
                </w:p>
              </w:tc>
              <w:tc>
                <w:tcPr/>
                <w:p>
                  <w:pPr>
                    <w:pStyle w:val="Compact"/>
                    <w:jc w:val="right"/>
                    <w:jc w:val="center"/>
                  </w:pPr>
                  <w:r>
                    <w:t xml:space="preserve">3.85</w:t>
                  </w:r>
                </w:p>
              </w:tc>
              <w:tc>
                <w:tcPr/>
                <w:p>
                  <w:pPr>
                    <w:pStyle w:val="Compact"/>
                    <w:jc w:val="right"/>
                    <w:jc w:val="center"/>
                  </w:pPr>
                  <w:r>
                    <w:t xml:space="preserve">0.141</w:t>
                  </w:r>
                </w:p>
              </w:tc>
            </w:tr>
            <w:tr>
              <w:tc>
                <w:tcPr/>
                <w:p>
                  <w:pPr>
                    <w:pStyle w:val="Compact"/>
                    <w:jc w:val="left"/>
                    <w:jc w:val="center"/>
                  </w:pPr>
                  <w:r>
                    <w:t xml:space="preserve">Ambohiboromanga</w:t>
                  </w:r>
                </w:p>
              </w:tc>
              <w:tc>
                <w:tcPr/>
                <w:p>
                  <w:pPr>
                    <w:pStyle w:val="Compact"/>
                    <w:jc w:val="right"/>
                    <w:jc w:val="center"/>
                  </w:pPr>
                  <w:r>
                    <w:t xml:space="preserve">89</w:t>
                  </w:r>
                </w:p>
              </w:tc>
              <w:tc>
                <w:tcPr/>
                <w:p>
                  <w:pPr>
                    <w:pStyle w:val="Compact"/>
                    <w:jc w:val="right"/>
                    <w:jc w:val="center"/>
                  </w:pPr>
                  <w:r>
                    <w:t xml:space="preserve">3.81</w:t>
                  </w:r>
                </w:p>
              </w:tc>
              <w:tc>
                <w:tcPr/>
                <w:p>
                  <w:pPr>
                    <w:pStyle w:val="Compact"/>
                    <w:jc w:val="right"/>
                    <w:jc w:val="center"/>
                  </w:pPr>
                  <w:r>
                    <w:t xml:space="preserve">0.156</w:t>
                  </w:r>
                </w:p>
              </w:tc>
              <w:tc>
                <w:tcPr/>
                <w:p>
                  <w:pPr>
                    <w:pStyle w:val="Compact"/>
                    <w:jc w:val="right"/>
                    <w:jc w:val="center"/>
                  </w:pPr>
                  <w:r>
                    <w:t xml:space="preserve">4.14</w:t>
                  </w:r>
                </w:p>
              </w:tc>
              <w:tc>
                <w:tcPr/>
                <w:p>
                  <w:pPr>
                    <w:pStyle w:val="Compact"/>
                    <w:jc w:val="right"/>
                    <w:jc w:val="center"/>
                  </w:pPr>
                  <w:r>
                    <w:t xml:space="preserve">3.87</w:t>
                  </w:r>
                </w:p>
              </w:tc>
              <w:tc>
                <w:tcPr/>
                <w:p>
                  <w:pPr>
                    <w:pStyle w:val="Compact"/>
                    <w:jc w:val="right"/>
                    <w:jc w:val="center"/>
                  </w:pPr>
                  <w:r>
                    <w:t xml:space="preserve">0.145</w:t>
                  </w:r>
                </w:p>
              </w:tc>
            </w:tr>
            <w:tr>
              <w:tc>
                <w:tcPr>
                  <w:gridSpan w:val="7"/>
                </w:tcPr>
                <w:p>
                  <w:pPr>
                    <w:pStyle w:val="Compact"/>
                    <w:jc w:val="left"/>
                    <w:jc w:val="center"/>
                  </w:pPr>
                  <w:r>
                    <w:t xml:space="preserve">Marovoay</w:t>
                  </w:r>
                </w:p>
              </w:tc>
            </w:tr>
            <w:tr>
              <w:tc>
                <w:tcPr/>
                <w:p>
                  <w:pPr>
                    <w:pStyle w:val="Compact"/>
                    <w:jc w:val="left"/>
                    <w:jc w:val="center"/>
                  </w:pPr>
                  <w:r>
                    <w:t xml:space="preserve">Antanimasaka</w:t>
                  </w:r>
                </w:p>
              </w:tc>
              <w:tc>
                <w:tcPr/>
                <w:p>
                  <w:pPr>
                    <w:pStyle w:val="Compact"/>
                    <w:jc w:val="right"/>
                    <w:jc w:val="center"/>
                  </w:pPr>
                  <w:r>
                    <w:t xml:space="preserve">259</w:t>
                  </w:r>
                </w:p>
              </w:tc>
              <w:tc>
                <w:tcPr/>
                <w:p>
                  <w:pPr>
                    <w:pStyle w:val="Compact"/>
                    <w:jc w:val="right"/>
                    <w:jc w:val="center"/>
                  </w:pPr>
                  <w:r>
                    <w:t xml:space="preserve">4.76</w:t>
                  </w:r>
                </w:p>
              </w:tc>
              <w:tc>
                <w:tcPr/>
                <w:p>
                  <w:pPr>
                    <w:pStyle w:val="Compact"/>
                    <w:jc w:val="right"/>
                    <w:jc w:val="center"/>
                  </w:pPr>
                  <w:r>
                    <w:t xml:space="preserve">0.146</w:t>
                  </w:r>
                </w:p>
              </w:tc>
              <w:tc>
                <w:tcPr/>
                <w:p>
                  <w:pPr>
                    <w:pStyle w:val="Compact"/>
                    <w:jc w:val="right"/>
                    <w:jc w:val="center"/>
                  </w:pPr>
                  <w:r>
                    <w:t xml:space="preserve">4.68</w:t>
                  </w:r>
                </w:p>
              </w:tc>
              <w:tc>
                <w:tcPr/>
                <w:p>
                  <w:pPr>
                    <w:pStyle w:val="Compact"/>
                    <w:jc w:val="right"/>
                    <w:jc w:val="center"/>
                  </w:pPr>
                  <w:r>
                    <w:t xml:space="preserve">4.72</w:t>
                  </w:r>
                </w:p>
              </w:tc>
              <w:tc>
                <w:tcPr/>
                <w:p>
                  <w:pPr>
                    <w:pStyle w:val="Compact"/>
                    <w:jc w:val="right"/>
                    <w:jc w:val="center"/>
                  </w:pPr>
                  <w:r>
                    <w:t xml:space="preserve">0.189</w:t>
                  </w:r>
                </w:p>
              </w:tc>
            </w:tr>
            <w:tr>
              <w:tc>
                <w:tcPr/>
                <w:p>
                  <w:pPr>
                    <w:pStyle w:val="Compact"/>
                    <w:jc w:val="left"/>
                    <w:jc w:val="center"/>
                  </w:pPr>
                  <w:r>
                    <w:t xml:space="preserve">Ankazomborona</w:t>
                  </w:r>
                </w:p>
              </w:tc>
              <w:tc>
                <w:tcPr/>
                <w:p>
                  <w:pPr>
                    <w:pStyle w:val="Compact"/>
                    <w:jc w:val="right"/>
                    <w:jc w:val="center"/>
                  </w:pPr>
                  <w:r>
                    <w:t xml:space="preserve">137</w:t>
                  </w:r>
                </w:p>
              </w:tc>
              <w:tc>
                <w:tcPr/>
                <w:p>
                  <w:pPr>
                    <w:pStyle w:val="Compact"/>
                    <w:jc w:val="right"/>
                    <w:jc w:val="center"/>
                  </w:pPr>
                  <w:r>
                    <w:t xml:space="preserve">3.86</w:t>
                  </w:r>
                </w:p>
              </w:tc>
              <w:tc>
                <w:tcPr/>
                <w:p>
                  <w:pPr>
                    <w:pStyle w:val="Compact"/>
                    <w:jc w:val="right"/>
                    <w:jc w:val="center"/>
                  </w:pPr>
                  <w:r>
                    <w:t xml:space="preserve">0.148</w:t>
                  </w:r>
                </w:p>
              </w:tc>
              <w:tc>
                <w:tcPr/>
                <w:p>
                  <w:pPr>
                    <w:pStyle w:val="Compact"/>
                    <w:jc w:val="right"/>
                    <w:jc w:val="center"/>
                  </w:pPr>
                  <w:r>
                    <w:t xml:space="preserve">4.08</w:t>
                  </w:r>
                </w:p>
              </w:tc>
              <w:tc>
                <w:tcPr/>
                <w:p>
                  <w:pPr>
                    <w:pStyle w:val="Compact"/>
                    <w:jc w:val="right"/>
                    <w:jc w:val="center"/>
                  </w:pPr>
                  <w:r>
                    <w:t xml:space="preserve">3.78</w:t>
                  </w:r>
                </w:p>
              </w:tc>
              <w:tc>
                <w:tcPr/>
                <w:p>
                  <w:pPr>
                    <w:pStyle w:val="Compact"/>
                    <w:jc w:val="right"/>
                    <w:jc w:val="center"/>
                  </w:pPr>
                  <w:r>
                    <w:t xml:space="preserve">0.156</w:t>
                  </w:r>
                </w:p>
              </w:tc>
            </w:tr>
            <w:tr>
              <w:tc>
                <w:tcPr/>
                <w:p>
                  <w:pPr>
                    <w:pStyle w:val="Compact"/>
                    <w:jc w:val="left"/>
                    <w:jc w:val="center"/>
                  </w:pPr>
                  <w:r>
                    <w:t xml:space="preserve">Tsararano</w:t>
                  </w:r>
                </w:p>
              </w:tc>
              <w:tc>
                <w:tcPr/>
                <w:p>
                  <w:pPr>
                    <w:pStyle w:val="Compact"/>
                    <w:jc w:val="right"/>
                    <w:jc w:val="center"/>
                  </w:pPr>
                  <w:r>
                    <w:t xml:space="preserve">123</w:t>
                  </w:r>
                </w:p>
              </w:tc>
              <w:tc>
                <w:tcPr/>
                <w:p>
                  <w:pPr>
                    <w:pStyle w:val="Compact"/>
                    <w:jc w:val="right"/>
                    <w:jc w:val="center"/>
                  </w:pPr>
                  <w:r>
                    <w:t xml:space="preserve">4.35</w:t>
                  </w:r>
                </w:p>
              </w:tc>
              <w:tc>
                <w:tcPr/>
                <w:p>
                  <w:pPr>
                    <w:pStyle w:val="Compact"/>
                    <w:jc w:val="right"/>
                    <w:jc w:val="center"/>
                  </w:pPr>
                  <w:r>
                    <w:t xml:space="preserve">0.197</w:t>
                  </w:r>
                </w:p>
              </w:tc>
              <w:tc>
                <w:tcPr/>
                <w:p>
                  <w:pPr>
                    <w:pStyle w:val="Compact"/>
                    <w:jc w:val="right"/>
                    <w:jc w:val="center"/>
                  </w:pPr>
                  <w:r>
                    <w:t xml:space="preserve">4.41</w:t>
                  </w:r>
                </w:p>
              </w:tc>
              <w:tc>
                <w:tcPr/>
                <w:p>
                  <w:pPr>
                    <w:pStyle w:val="Compact"/>
                    <w:jc w:val="right"/>
                    <w:jc w:val="center"/>
                  </w:pPr>
                  <w:r>
                    <w:t xml:space="preserve">4.30</w:t>
                  </w:r>
                </w:p>
              </w:tc>
              <w:tc>
                <w:tcPr/>
                <w:p>
                  <w:pPr>
                    <w:pStyle w:val="Compact"/>
                    <w:jc w:val="right"/>
                    <w:jc w:val="center"/>
                  </w:pPr>
                  <w:r>
                    <w:t xml:space="preserve">0.124</w:t>
                  </w:r>
                </w:p>
              </w:tc>
            </w:tr>
            <w:tr>
              <w:tc>
                <w:tcPr>
                  <w:gridSpan w:val="7"/>
                </w:tcPr>
                <w:p>
                  <w:pPr>
                    <w:pStyle w:val="Compact"/>
                    <w:jc w:val="left"/>
                    <w:jc w:val="center"/>
                  </w:pPr>
                  <w:r>
                    <w:t xml:space="preserve">Modèle de Fay-Herriot (REML) ; covariable : taille moyenne des ménages RGPH-3 2018.</w:t>
                  </w:r>
                  <w:r>
                    <w:t xml:space="preserve"> </w:t>
                  </w:r>
                  <w:r>
                    <w:t xml:space="preserve">Amparafaravola (entièrement urbaine dans le RGPH) est exclue.</w:t>
                  </w:r>
                </w:p>
              </w:tc>
            </w:tr>
            <w:tr>
              <w:tc>
                <w:tcPr>
                  <w:gridSpan w:val="7"/>
                </w:tcPr>
                <w:p>
                  <w:pPr>
                    <w:pStyle w:val="Compact"/>
                    <w:jc w:val="left"/>
                    <w:jc w:val="center"/>
                  </w:pPr>
                  <w:r>
                    <w:rPr>
                      <w:b/>
                      <w:bCs/>
                    </w:rPr>
                    <w:t xml:space="preserve">Source : Enquête auprès des OR 2025</w:t>
                  </w:r>
                </w:p>
              </w:tc>
            </w:tr>
          </w:tbl>
          <w:bookmarkEnd w:id="871"/>
          <w:p/>
        </w:tc>
      </w:tr>
    </w:tbl>
    <w:p>
      <w:pPr>
        <w:pStyle w:val="Corpsdetexte"/>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872" name="Picture"/>
                  <a:graphic>
                    <a:graphicData uri="http://schemas.openxmlformats.org/drawingml/2006/picture">
                      <pic:pic>
                        <pic:nvPicPr>
                          <pic:cNvPr descr="C:\Users\fbede\AppData\Local\Programs\Quarto\share\formats\docx\note.png" id="87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du modèle de Fay-Herriot</w:t>
            </w:r>
          </w:p>
        </w:tc>
      </w:tr>
      <w:tr>
        <w:trPr>
          <w:cantSplit/>
        </w:trPr>
        <w:tc>
          <w:tcPr>
            <w:tcMar>
              <w:top w:w="108" w:type="dxa"/>
              <w:bottom w:w="108" w:type="dxa"/>
            </w:tcMar>
          </w:tcPr>
          <w:p>
            <w:pPr>
              <w:pStyle w:val="Corpsdetexte"/>
            </w:pPr>
            <w:pPr>
              <w:spacing w:before="16"/>
            </w:pPr>
            <w:r>
              <w:t xml:space="preserve">Le modèle estimé a une variance inter-domaines</w:t>
            </w:r>
            <w:r>
              <w:t xml:space="preserve"> </w:t>
            </w:r>
            <m:oMath>
              <m:sSubSup>
                <m:e>
                  <m:acc>
                    <m:accPr>
                      <m:chr m:val="̂"/>
                    </m:accPr>
                    <m:e>
                      <m:r>
                        <m:t>σ</m:t>
                      </m:r>
                    </m:e>
                  </m:acc>
                </m:e>
                <m:sub>
                  <m:r>
                    <m:t>v</m:t>
                  </m:r>
                </m:sub>
                <m:sup>
                  <m:r>
                    <m:t>2</m:t>
                  </m:r>
                </m:sup>
              </m:sSubSup>
              <m:r>
                <m:rPr>
                  <m:sty m:val="p"/>
                </m:rPr>
                <m:t>=</m:t>
              </m:r>
              <m:r>
                <m:t>0</m:t>
              </m:r>
            </m:oMath>
            <w:r>
              <w:t xml:space="preserve">, ce qui signifie que toute la variabilité entre communes est expliquée par la covariable (taille moyenne des ménages RGPH). Le modèle se réduit alors à un</w:t>
            </w:r>
            <w:r>
              <w:t xml:space="preserve"> </w:t>
            </w:r>
            <w:r>
              <w:rPr>
                <w:b/>
                <w:bCs/>
              </w:rPr>
              <w:t xml:space="preserve">estimateur synthétique</w:t>
            </w:r>
            <w:r>
              <w:t xml:space="preserve"> </w:t>
            </w:r>
            <w:r>
              <w:t xml:space="preserve">pur : les estimations FH-EBLUP sont entièrement tirées de la régression, sans composante aléatoire spécifique au domaine.</w:t>
            </w:r>
          </w:p>
          <w:p>
            <w:pPr>
              <w:pStyle w:val="Corpsdetexte"/>
            </w:pPr>
            <w:pPr>
              <w:spacing w:after="16"/>
            </w:pPr>
            <w:r>
              <w:t xml:space="preserve">Ce résultat n’est pas surprenant : avec seulement 7 communes, le nombre de domaines est insuffisant pour estimer une variance inter-domaines de manière fiable. L’intérêt pratique du modèle de Fay-Herriot apparaîtrait avec un nombre plus élevé de petits domaines, par exemple en étendant l’analyse à l’ensemble des communes des districts concernés.</w:t>
            </w:r>
          </w:p>
          <w:p/>
        </w:tc>
      </w:tr>
    </w:tbl>
    <w:bookmarkEnd w:id="874"/>
    <w:bookmarkStart w:id="888" w:name="sources-de-données-auxiliaires"/>
    <w:p>
      <w:pPr>
        <w:pStyle w:val="Titre3"/>
      </w:pPr>
      <w:r>
        <w:t xml:space="preserve">11.3.4 Sources de données auxiliaires</w:t>
      </w:r>
    </w:p>
    <w:p>
      <w:pPr>
        <w:pStyle w:val="FirstParagraph"/>
      </w:pPr>
      <w:r>
        <w:t xml:space="preserve">Les méthodes de calage et d’estimation pour petits domaines reposent sur des</w:t>
      </w:r>
      <w:r>
        <w:t xml:space="preserve"> </w:t>
      </w:r>
      <w:r>
        <w:rPr>
          <w:b/>
          <w:bCs/>
        </w:rPr>
        <w:t xml:space="preserve">covariables auxiliaires</w:t>
      </w:r>
      <w:r>
        <w:t xml:space="preserve"> </w:t>
      </w:r>
      <w:r>
        <w:t xml:space="preserve">connues au niveau de la population ou des domaines. Au-delà du RGPH-3, plusieurs sources de données géospatiales ouvertes pourraient enrichir les modèles :</w:t>
      </w:r>
    </w:p>
    <w:tbl>
      <w:tblPr>
        <w:tblStyle w:val="Table"/>
        <w:tblW w:type="pct" w:w="5000"/>
        <w:tblLayout w:type="fixed"/>
        <w:tblLook w:firstRow="0" w:lastRow="0" w:firstColumn="0" w:lastColumn="0" w:noHBand="0" w:noVBand="0" w:val="0000"/>
      </w:tblPr>
      <w:tblGrid>
        <w:gridCol w:w="7920"/>
      </w:tblGrid>
      <w:tr>
        <w:tc>
          <w:tcPr/>
          <w:bookmarkStart w:id="883" w:name="tbl-aux-data"/>
          <w:p>
            <w:pPr>
              <w:jc w:val="center"/>
            </w:pPr>
            <w:pPr>
              <w:jc w:val="left"/>
              <w:spacing w:before="200"/>
              <w:pStyle w:val="ImageCaption"/>
            </w:pPr>
            <w:r>
              <w:t xml:space="preserve">Table 11.9: Sources de données auxiliaires potentielles pour l’estimation sur petits domaines</w:t>
            </w:r>
          </w:p>
          <w:tbl>
            <w:tblPr>
              <w:tblStyle w:val="Table"/>
              <w:tblW w:type="pct" w:w="5000"/>
              <w:tblLayout w:type="fixed"/>
              <w:tblLook w:firstRow="1" w:lastRow="0" w:firstColumn="0" w:lastColumn="0" w:noHBand="0" w:noVBand="0" w:val="0020"/>
            </w:tblPr>
            <w:tblGrid>
              <w:gridCol w:w="1545"/>
              <w:gridCol w:w="2124"/>
              <w:gridCol w:w="1931"/>
              <w:gridCol w:w="2318"/>
            </w:tblGrid>
            <w:tr>
              <w:trPr>
                <w:tblHeader w:val="on"/>
              </w:trPr>
              <w:tc>
                <w:tcPr/>
                <w:p>
                  <w:pPr>
                    <w:pStyle w:val="Compact"/>
                    <w:jc w:val="center"/>
                  </w:pPr>
                  <w:r>
                    <w:t xml:space="preserve">Source</w:t>
                  </w:r>
                </w:p>
              </w:tc>
              <w:tc>
                <w:tcPr/>
                <w:p>
                  <w:pPr>
                    <w:pStyle w:val="Compact"/>
                    <w:jc w:val="center"/>
                  </w:pPr>
                  <w:r>
                    <w:t xml:space="preserve">Résolution</w:t>
                  </w:r>
                </w:p>
              </w:tc>
              <w:tc>
                <w:tcPr/>
                <w:p>
                  <w:pPr>
                    <w:pStyle w:val="Compact"/>
                    <w:jc w:val="center"/>
                  </w:pPr>
                  <w:r>
                    <w:t xml:space="preserve">Variable</w:t>
                  </w:r>
                </w:p>
              </w:tc>
              <w:tc>
                <w:tcPr/>
                <w:p>
                  <w:pPr>
                    <w:pStyle w:val="Compact"/>
                    <w:jc w:val="center"/>
                  </w:pPr>
                  <w:r>
                    <w:t xml:space="preserve">Pertinence</w:t>
                  </w:r>
                </w:p>
              </w:tc>
            </w:tr>
            <w:tr>
              <w:tc>
                <w:tcPr/>
                <w:p>
                  <w:pPr>
                    <w:pStyle w:val="Compact"/>
                    <w:jc w:val="center"/>
                  </w:pPr>
                  <w:hyperlink r:id="rId875">
                    <w:r>
                      <w:rPr>
                        <w:rStyle w:val="Lienhypertexte"/>
                      </w:rPr>
                      <w:t xml:space="preserve">GHS Population Grid</w:t>
                    </w:r>
                  </w:hyperlink>
                </w:p>
              </w:tc>
              <w:tc>
                <w:tcPr/>
                <w:p>
                  <w:pPr>
                    <w:pStyle w:val="Compact"/>
                    <w:jc w:val="center"/>
                  </w:pPr>
                  <w:r>
                    <w:t xml:space="preserve">100 m</w:t>
                  </w:r>
                </w:p>
              </w:tc>
              <w:tc>
                <w:tcPr/>
                <w:p>
                  <w:pPr>
                    <w:pStyle w:val="Compact"/>
                    <w:jc w:val="center"/>
                  </w:pPr>
                  <w:r>
                    <w:t xml:space="preserve">Densité de population</w:t>
                  </w:r>
                </w:p>
              </w:tc>
              <w:tc>
                <w:tcPr/>
                <w:p>
                  <w:pPr>
                    <w:pStyle w:val="Compact"/>
                    <w:jc w:val="center"/>
                  </w:pPr>
                  <w:r>
                    <w:t xml:space="preserve">Proxy de l’urbanisation</w:t>
                  </w:r>
                </w:p>
              </w:tc>
            </w:tr>
            <w:tr>
              <w:tc>
                <w:tcPr/>
                <w:p>
                  <w:pPr>
                    <w:pStyle w:val="Compact"/>
                    <w:jc w:val="center"/>
                  </w:pPr>
                  <w:hyperlink r:id="rId876">
                    <w:r>
                      <w:rPr>
                        <w:rStyle w:val="Lienhypertexte"/>
                      </w:rPr>
                      <w:t xml:space="preserve">Meta Data for Good</w:t>
                    </w:r>
                  </w:hyperlink>
                </w:p>
              </w:tc>
              <w:tc>
                <w:tcPr/>
                <w:p>
                  <w:pPr>
                    <w:pStyle w:val="Compact"/>
                    <w:jc w:val="center"/>
                  </w:pPr>
                  <w:r>
                    <w:t xml:space="preserve">30 m</w:t>
                  </w:r>
                </w:p>
              </w:tc>
              <w:tc>
                <w:tcPr/>
                <w:p>
                  <w:pPr>
                    <w:pStyle w:val="Compact"/>
                    <w:jc w:val="center"/>
                  </w:pPr>
                  <w:r>
                    <w:t xml:space="preserve">Densité de population</w:t>
                  </w:r>
                </w:p>
              </w:tc>
              <w:tc>
                <w:tcPr/>
                <w:p>
                  <w:pPr>
                    <w:pStyle w:val="Compact"/>
                    <w:jc w:val="center"/>
                  </w:pPr>
                  <w:r>
                    <w:t xml:space="preserve">Mise à jour récente</w:t>
                  </w:r>
                </w:p>
              </w:tc>
            </w:tr>
            <w:tr>
              <w:tc>
                <w:tcPr/>
                <w:p>
                  <w:pPr>
                    <w:pStyle w:val="Compact"/>
                    <w:jc w:val="center"/>
                  </w:pPr>
                  <w:hyperlink r:id="rId877">
                    <w:r>
                      <w:rPr>
                        <w:rStyle w:val="Lienhypertexte"/>
                      </w:rPr>
                      <w:t xml:space="preserve">ESA WorldCover</w:t>
                    </w:r>
                  </w:hyperlink>
                </w:p>
              </w:tc>
              <w:tc>
                <w:tcPr/>
                <w:p>
                  <w:pPr>
                    <w:pStyle w:val="Compact"/>
                    <w:jc w:val="center"/>
                  </w:pPr>
                  <w:r>
                    <w:t xml:space="preserve">10 m</w:t>
                  </w:r>
                </w:p>
              </w:tc>
              <w:tc>
                <w:tcPr/>
                <w:p>
                  <w:pPr>
                    <w:pStyle w:val="Compact"/>
                    <w:jc w:val="center"/>
                  </w:pPr>
                  <w:r>
                    <w:t xml:space="preserve">Occupation du sol</w:t>
                  </w:r>
                </w:p>
              </w:tc>
              <w:tc>
                <w:tcPr/>
                <w:p>
                  <w:pPr>
                    <w:pStyle w:val="Compact"/>
                    <w:jc w:val="center"/>
                  </w:pPr>
                  <w:r>
                    <w:t xml:space="preserve">Part de surface cultivée</w:t>
                  </w:r>
                </w:p>
              </w:tc>
            </w:tr>
            <w:tr>
              <w:tc>
                <w:tcPr/>
                <w:p>
                  <w:pPr>
                    <w:pStyle w:val="Compact"/>
                    <w:jc w:val="center"/>
                  </w:pPr>
                  <w:hyperlink r:id="rId878">
                    <w:r>
                      <w:rPr>
                        <w:rStyle w:val="Lienhypertexte"/>
                      </w:rPr>
                      <w:t xml:space="preserve">VIIRS Nighttime Lights</w:t>
                    </w:r>
                  </w:hyperlink>
                </w:p>
              </w:tc>
              <w:tc>
                <w:tcPr/>
                <w:p>
                  <w:pPr>
                    <w:pStyle w:val="Compact"/>
                    <w:jc w:val="center"/>
                  </w:pPr>
                  <w:r>
                    <w:t xml:space="preserve">500 m</w:t>
                  </w:r>
                </w:p>
              </w:tc>
              <w:tc>
                <w:tcPr/>
                <w:p>
                  <w:pPr>
                    <w:pStyle w:val="Compact"/>
                    <w:jc w:val="center"/>
                  </w:pPr>
                  <w:r>
                    <w:t xml:space="preserve">Luminosité nocturne</w:t>
                  </w:r>
                </w:p>
              </w:tc>
              <w:tc>
                <w:tcPr/>
                <w:p>
                  <w:pPr>
                    <w:pStyle w:val="Compact"/>
                    <w:jc w:val="center"/>
                  </w:pPr>
                  <w:r>
                    <w:t xml:space="preserve">Proxy de l’activité économique</w:t>
                  </w:r>
                </w:p>
              </w:tc>
            </w:tr>
            <w:tr>
              <w:tc>
                <w:tcPr/>
                <w:p>
                  <w:pPr>
                    <w:pStyle w:val="Compact"/>
                    <w:jc w:val="center"/>
                  </w:pPr>
                  <w:hyperlink r:id="rId879">
                    <w:r>
                      <w:rPr>
                        <w:rStyle w:val="Lienhypertexte"/>
                      </w:rPr>
                      <w:t xml:space="preserve">CHELSA Climate</w:t>
                    </w:r>
                  </w:hyperlink>
                </w:p>
              </w:tc>
              <w:tc>
                <w:tcPr/>
                <w:p>
                  <w:pPr>
                    <w:pStyle w:val="Compact"/>
                    <w:jc w:val="center"/>
                  </w:pPr>
                  <w:r>
                    <w:t xml:space="preserve">1 km</w:t>
                  </w:r>
                </w:p>
              </w:tc>
              <w:tc>
                <w:tcPr/>
                <w:p>
                  <w:pPr>
                    <w:pStyle w:val="Compact"/>
                    <w:jc w:val="center"/>
                  </w:pPr>
                  <w:r>
                    <w:t xml:space="preserve">Précipitations, température</w:t>
                  </w:r>
                </w:p>
              </w:tc>
              <w:tc>
                <w:tcPr/>
                <w:p>
                  <w:pPr>
                    <w:pStyle w:val="Compact"/>
                    <w:jc w:val="center"/>
                  </w:pPr>
                  <w:r>
                    <w:t xml:space="preserve">Potentiel agro-climatique</w:t>
                  </w:r>
                </w:p>
              </w:tc>
            </w:tr>
            <w:tr>
              <w:tc>
                <w:tcPr/>
                <w:p>
                  <w:pPr>
                    <w:pStyle w:val="Compact"/>
                    <w:jc w:val="center"/>
                  </w:pPr>
                  <w:hyperlink r:id="rId880">
                    <w:r>
                      <w:rPr>
                        <w:rStyle w:val="Lienhypertexte"/>
                      </w:rPr>
                      <w:t xml:space="preserve">SoilGrids</w:t>
                    </w:r>
                  </w:hyperlink>
                </w:p>
              </w:tc>
              <w:tc>
                <w:tcPr/>
                <w:p>
                  <w:pPr>
                    <w:pStyle w:val="Compact"/>
                    <w:jc w:val="center"/>
                  </w:pPr>
                  <w:r>
                    <w:t xml:space="preserve">250 m</w:t>
                  </w:r>
                </w:p>
              </w:tc>
              <w:tc>
                <w:tcPr/>
                <w:p>
                  <w:pPr>
                    <w:pStyle w:val="Compact"/>
                    <w:jc w:val="center"/>
                  </w:pPr>
                  <w:r>
                    <w:t xml:space="preserve">Propriétés des sols</w:t>
                  </w:r>
                </w:p>
              </w:tc>
              <w:tc>
                <w:tcPr/>
                <w:p>
                  <w:pPr>
                    <w:pStyle w:val="Compact"/>
                    <w:jc w:val="center"/>
                  </w:pPr>
                  <w:r>
                    <w:t xml:space="preserve">Fertilité agricole</w:t>
                  </w:r>
                </w:p>
              </w:tc>
            </w:tr>
            <w:tr>
              <w:tc>
                <w:tcPr/>
                <w:p>
                  <w:pPr>
                    <w:pStyle w:val="Compact"/>
                    <w:jc w:val="center"/>
                  </w:pPr>
                  <w:hyperlink r:id="rId881">
                    <w:r>
                      <w:rPr>
                        <w:rStyle w:val="Lienhypertexte"/>
                      </w:rPr>
                      <w:t xml:space="preserve">MODIS NDVI</w:t>
                    </w:r>
                  </w:hyperlink>
                </w:p>
              </w:tc>
              <w:tc>
                <w:tcPr/>
                <w:p>
                  <w:pPr>
                    <w:pStyle w:val="Compact"/>
                    <w:jc w:val="center"/>
                  </w:pPr>
                  <w:r>
                    <w:t xml:space="preserve">250 m</w:t>
                  </w:r>
                </w:p>
              </w:tc>
              <w:tc>
                <w:tcPr/>
                <w:p>
                  <w:pPr>
                    <w:pStyle w:val="Compact"/>
                    <w:jc w:val="center"/>
                  </w:pPr>
                  <w:r>
                    <w:t xml:space="preserve">Indice de végétation (NDVI)</w:t>
                  </w:r>
                </w:p>
              </w:tc>
              <w:tc>
                <w:tcPr/>
                <w:p>
                  <w:pPr>
                    <w:pStyle w:val="Compact"/>
                    <w:jc w:val="center"/>
                  </w:pPr>
                  <w:r>
                    <w:t xml:space="preserve">Potentiel agricole annuel</w:t>
                  </w:r>
                </w:p>
              </w:tc>
            </w:tr>
            <w:tr>
              <w:tc>
                <w:tcPr/>
                <w:p>
                  <w:pPr>
                    <w:pStyle w:val="Compact"/>
                    <w:jc w:val="center"/>
                  </w:pPr>
                  <w:hyperlink r:id="rId882">
                    <w:r>
                      <w:rPr>
                        <w:rStyle w:val="Lienhypertexte"/>
                      </w:rPr>
                      <w:t xml:space="preserve">Accessibility Map</w:t>
                    </w:r>
                  </w:hyperlink>
                </w:p>
              </w:tc>
              <w:tc>
                <w:tcPr/>
                <w:p>
                  <w:pPr>
                    <w:pStyle w:val="Compact"/>
                    <w:jc w:val="center"/>
                  </w:pPr>
                  <w:r>
                    <w:t xml:space="preserve">1 km</w:t>
                  </w:r>
                </w:p>
              </w:tc>
              <w:tc>
                <w:tcPr/>
                <w:p>
                  <w:pPr>
                    <w:pStyle w:val="Compact"/>
                    <w:jc w:val="center"/>
                  </w:pPr>
                  <w:r>
                    <w:t xml:space="preserve">Temps de trajet</w:t>
                  </w:r>
                </w:p>
              </w:tc>
              <w:tc>
                <w:tcPr/>
                <w:p>
                  <w:pPr>
                    <w:pStyle w:val="Compact"/>
                    <w:jc w:val="center"/>
                  </w:pPr>
                  <w:r>
                    <w:t xml:space="preserve">Enclavement</w:t>
                  </w:r>
                </w:p>
              </w:tc>
            </w:tr>
          </w:tbl>
          <w:bookmarkEnd w:id="883"/>
          <w:p/>
        </w:tc>
      </w:tr>
    </w:tbl>
    <w:p>
      <w:pPr>
        <w:pStyle w:val="Corpsdetexte"/>
      </w:pPr>
      <w:r>
        <w:t xml:space="preserve">Les données géospatiales sont accessibles via le catalogue</w:t>
      </w:r>
      <w:r>
        <w:t xml:space="preserve"> </w:t>
      </w:r>
      <w:hyperlink r:id="rId884">
        <w:r>
          <w:rPr>
            <w:rStyle w:val="Lienhypertexte"/>
          </w:rPr>
          <w:t xml:space="preserve">OpenLandMap</w:t>
        </w:r>
      </w:hyperlink>
      <w:r>
        <w:t xml:space="preserve">. L’extraction par agrégation zonale des rasters sur les limites des communes des observatoires permettrait de construire des covariables au niveau communal ou infra-communal. En particulier, le</w:t>
      </w:r>
      <w:r>
        <w:t xml:space="preserve"> </w:t>
      </w:r>
      <w:r>
        <w:rPr>
          <w:b/>
          <w:bCs/>
        </w:rPr>
        <w:t xml:space="preserve">NDVI annuel</w:t>
      </w:r>
      <w:r>
        <w:t xml:space="preserve"> </w:t>
      </w:r>
      <w:r>
        <w:t xml:space="preserve">(MODIS) constitue un proxy du potentiel agricole qui varie dans le temps, ce qui le rend complémentaire des données statiques du RGPH pour des analyses longitudinales.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886" name="Picture"/>
                  <a:graphic>
                    <a:graphicData uri="http://schemas.openxmlformats.org/drawingml/2006/picture">
                      <pic:pic>
                        <pic:nvPicPr>
                          <pic:cNvPr descr="C:\Users\fbede\AppData\Local\Programs\Quarto\share\formats\docx\tip.png" id="887" name="Picture"/>
                          <pic:cNvPicPr>
                            <a:picLocks noChangeArrowheads="1" noChangeAspect="1"/>
                          </pic:cNvPicPr>
                        </pic:nvPicPr>
                        <pic:blipFill>
                          <a:blip r:embed="rId8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Recommandations</w:t>
            </w:r>
          </w:p>
        </w:tc>
      </w:tr>
      <w:tr>
        <w:trPr>
          <w:cantSplit/>
        </w:trPr>
        <w:tc>
          <w:tcPr>
            <w:tcMar>
              <w:top w:w="108" w:type="dxa"/>
              <w:bottom w:w="108" w:type="dxa"/>
            </w:tcMar>
          </w:tcPr>
          <w:p>
            <w:pPr>
              <w:numPr>
                <w:ilvl w:val="0"/>
                <w:numId w:val="1014"/>
              </w:numPr>
            </w:pPr>
            <w:r>
              <w:rPr>
                <w:b/>
                <w:bCs/>
              </w:rPr>
              <w:t xml:space="preserve">Poids de base</w:t>
            </w:r>
            <w:r>
              <w:t xml:space="preserve"> </w:t>
            </w:r>
            <w:r>
              <w:t xml:space="preserve">: les statistiques descriptives de ce rapport ne sont pas pondérées, les taux de sondage étant relativement homogènes au sein de chaque observatoire. Une analyse de sensibilité systématique (comparaison pondéré / non pondéré) est recommandée pour les indicateurs publiés.</w:t>
            </w:r>
          </w:p>
          <w:p>
            <w:pPr>
              <w:numPr>
                <w:ilvl w:val="0"/>
                <w:numId w:val="1014"/>
              </w:numPr>
            </w:pPr>
            <w:r>
              <w:rPr>
                <w:b/>
                <w:bCs/>
              </w:rPr>
              <w:t xml:space="preserve">Calage</w:t>
            </w:r>
            <w:r>
              <w:t xml:space="preserve"> </w:t>
            </w:r>
            <w:r>
              <w:t xml:space="preserve">: un calage sur la structure par sexe et âge du RGPH 2018, en retenant le milieu rural des districts concernés, améliorerait la représentativité externe. L’écart temporel (2018–2025) est une limite à garder à l’esprit.</w:t>
            </w:r>
          </w:p>
          <w:p>
            <w:pPr>
              <w:numPr>
                <w:ilvl w:val="0"/>
                <w:numId w:val="1014"/>
              </w:numPr>
            </w:pPr>
            <w:r>
              <w:rPr>
                <w:b/>
                <w:bCs/>
              </w:rPr>
              <w:t xml:space="preserve">Estimation pour petits domaines</w:t>
            </w:r>
            <w:r>
              <w:t xml:space="preserve"> </w:t>
            </w:r>
            <w:r>
              <w:t xml:space="preserve">: si des analyses infra-observatoire (par commune, fokontany ou hameau) sont requises, une modélisation de type Fay-Herriot est préférable à une estimation directe, compte tenu des effectifs réduits.</w:t>
            </w:r>
          </w:p>
          <w:p>
            <w:pPr>
              <w:numPr>
                <w:ilvl w:val="0"/>
                <w:numId w:val="1014"/>
              </w:numPr>
            </w:pPr>
            <w:r>
              <w:rPr>
                <w:b/>
                <w:bCs/>
              </w:rPr>
              <w:t xml:space="preserve">Prudence dans les comparaisons temporelles</w:t>
            </w:r>
            <w:r>
              <w:t xml:space="preserve"> </w:t>
            </w:r>
            <w:r>
              <w:t xml:space="preserve">: la rupture du panel (2015–2025) et le renouvellement complet de l’échantillon empêchent de distinguer les évolutions démographiques réelles des effets de composition de l’échantillon. Les analyses longitudinales doivent signaler cette limite.</w:t>
            </w:r>
          </w:p>
          <w:p/>
        </w:tc>
      </w:tr>
    </w:tbl>
    <w:bookmarkEnd w:id="888"/>
    <w:bookmarkEnd w:id="889"/>
    <w:bookmarkStart w:id="900" w:name="X7a269d1967e3ae6cdeb58dce462253f7c787d96"/>
    <w:p>
      <w:pPr>
        <w:pStyle w:val="Titre2"/>
      </w:pPr>
      <w:r>
        <w:t xml:space="preserve">11.4 Dérive du panel et recalibration historique</w:t>
      </w:r>
    </w:p>
    <w:bookmarkStart w:id="891" w:name="structure-historique-du-panel-19952015"/>
    <w:p>
      <w:pPr>
        <w:pStyle w:val="Titre3"/>
      </w:pPr>
      <w:r>
        <w:t xml:space="preserve">11.4.1 Structure historique du panel (1995–2015)</w:t>
      </w:r>
    </w:p>
    <w:p>
      <w:pPr>
        <w:pStyle w:val="FirstParagraph"/>
      </w:pPr>
      <w:r>
        <w:t xml:space="preserve">Les observatoires ruraux de Marovoay et d’Alaotra ont fonctionné en panel : les mêmes ménages ont été ré-enquêtés chaque année, avec un remplacement progressif des ménages défaillants. Marovoay a été suivi de 1995 à 2014 (sauf 2009 et 2015) ; Alaotra de 1999 à 2014. Après dix ans d’interruption, l’enquête de 2025 a procédé à un</w:t>
      </w:r>
      <w:r>
        <w:t xml:space="preserve"> </w:t>
      </w:r>
      <w:r>
        <w:rPr>
          <w:b/>
          <w:bCs/>
        </w:rPr>
        <w:t xml:space="preserve">renouvellement complet</w:t>
      </w:r>
      <w:r>
        <w:t xml:space="preserve"> </w:t>
      </w:r>
      <w:r>
        <w:t xml:space="preserve">de l’échantillon sur la base d’un nouveau dénombrement.</w:t>
      </w:r>
    </w:p>
    <w:tbl>
      <w:tblPr>
        <w:tblStyle w:val="Table"/>
        <w:tblW w:type="pct" w:w="5000"/>
        <w:tblLayout w:type="fixed"/>
        <w:tblLook w:firstRow="0" w:lastRow="0" w:firstColumn="0" w:lastColumn="0" w:noHBand="0" w:noVBand="0" w:val="0000"/>
      </w:tblPr>
      <w:tblGrid>
        <w:gridCol w:w="7920"/>
      </w:tblGrid>
      <w:tr>
        <w:tc>
          <w:tcPr/>
          <w:bookmarkStart w:id="890" w:name="tbl-hist-panel"/>
          <w:p>
            <w:pPr>
              <w:jc w:val="center"/>
            </w:pPr>
            <w:pPr>
              <w:jc w:val="left"/>
              <w:spacing w:before="200"/>
              <w:pStyle w:val="ImageCaption"/>
            </w:pPr>
            <w:r>
              <w:t xml:space="preserve">Table 11.10: Effectifs et caractéristiques des CM par année et observatoire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right"/>
                    <w:jc w:val="center"/>
                  </w:pPr>
                  <w:r>
                    <w:t xml:space="preserve">Année</w:t>
                  </w:r>
                </w:p>
              </w:tc>
              <w:tc>
                <w:tcPr>
                  <w:gridSpan w:val="3"/>
                </w:tcPr>
                <w:p>
                  <w:pPr>
                    <w:pStyle w:val="Compact"/>
                    <w:jc w:val="center"/>
                    <w:jc w:val="center"/>
                  </w:pPr>
                  <w:r>
                    <w:t xml:space="preserve">Marovoay</w:t>
                  </w:r>
                </w:p>
              </w:tc>
              <w:tc>
                <w:tcPr>
                  <w:gridSpan w:val="3"/>
                </w:tcPr>
                <w:p>
                  <w:pPr>
                    <w:pStyle w:val="Compact"/>
                    <w:jc w:val="center"/>
                    <w:jc w:val="center"/>
                  </w:pPr>
                  <w:r>
                    <w:t xml:space="preserve">Alaotra</w:t>
                  </w:r>
                </w:p>
              </w:tc>
            </w:tr>
            <w:tr>
              <w:trPr>
                <w:tblHeader w:val="on"/>
              </w:trPr>
              <w:tc>
                <w:tcPr>
                  <w:gridSpan w:val="1"/>
                  <w:vMerge w:val="continue"/>
                </w:tcPr>
                <w:p>
                  <w:pP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r>
            <w:tr>
              <w:tc>
                <w:tcPr/>
                <w:p>
                  <w:pPr>
                    <w:pStyle w:val="Compact"/>
                    <w:jc w:val="right"/>
                    <w:jc w:val="center"/>
                  </w:pPr>
                  <w:r>
                    <w:t xml:space="preserve">1995</w:t>
                  </w:r>
                </w:p>
              </w:tc>
              <w:tc>
                <w:tcPr/>
                <w:p>
                  <w:pPr>
                    <w:pStyle w:val="Compact"/>
                    <w:jc w:val="right"/>
                    <w:jc w:val="center"/>
                  </w:pPr>
                  <w:r>
                    <w:t xml:space="preserve">500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1996</w:t>
                  </w:r>
                </w:p>
              </w:tc>
              <w:tc>
                <w:tcPr/>
                <w:p>
                  <w:pPr>
                    <w:pStyle w:val="Compact"/>
                    <w:jc w:val="right"/>
                    <w:jc w:val="center"/>
                  </w:pPr>
                  <w:r>
                    <w:t xml:space="preserve">511</w:t>
                  </w:r>
                </w:p>
              </w:tc>
              <w:tc>
                <w:tcPr/>
                <w:p>
                  <w:pPr>
                    <w:pStyle w:val="Compact"/>
                    <w:jc w:val="right"/>
                    <w:jc w:val="center"/>
                  </w:pPr>
                  <w:r>
                    <w:t xml:space="preserve">44.0</w:t>
                  </w:r>
                </w:p>
              </w:tc>
              <w:tc>
                <w:tcPr/>
                <w:p>
                  <w:pPr>
                    <w:pStyle w:val="Compact"/>
                    <w:jc w:val="right"/>
                    <w:jc w:val="center"/>
                  </w:pPr>
                  <w:r>
                    <w:t xml:space="preserve">17.8 %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1997</w:t>
                  </w:r>
                </w:p>
              </w:tc>
              <w:tc>
                <w:tcPr/>
                <w:p>
                  <w:pPr>
                    <w:pStyle w:val="Compact"/>
                    <w:jc w:val="right"/>
                    <w:jc w:val="center"/>
                  </w:pPr>
                  <w:r>
                    <w:t xml:space="preserve">508</w:t>
                  </w:r>
                </w:p>
              </w:tc>
              <w:tc>
                <w:tcPr/>
                <w:p>
                  <w:pPr>
                    <w:pStyle w:val="Compact"/>
                    <w:jc w:val="right"/>
                    <w:jc w:val="center"/>
                  </w:pPr>
                  <w:r>
                    <w:t xml:space="preserve">45.3</w:t>
                  </w:r>
                </w:p>
              </w:tc>
              <w:tc>
                <w:tcPr/>
                <w:p>
                  <w:pPr>
                    <w:pStyle w:val="Compact"/>
                    <w:jc w:val="right"/>
                    <w:jc w:val="center"/>
                  </w:pPr>
                  <w:r>
                    <w:t xml:space="preserve">18.9 %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1998</w:t>
                  </w:r>
                </w:p>
              </w:tc>
              <w:tc>
                <w:tcPr/>
                <w:p>
                  <w:pPr>
                    <w:pStyle w:val="Compact"/>
                    <w:jc w:val="right"/>
                    <w:jc w:val="center"/>
                  </w:pPr>
                  <w:r>
                    <w:t xml:space="preserve">672</w:t>
                  </w:r>
                </w:p>
              </w:tc>
              <w:tc>
                <w:tcPr/>
                <w:p>
                  <w:pPr>
                    <w:pStyle w:val="Compact"/>
                    <w:jc w:val="right"/>
                    <w:jc w:val="center"/>
                  </w:pPr>
                  <w:r>
                    <w:t xml:space="preserve">46.1</w:t>
                  </w:r>
                </w:p>
              </w:tc>
              <w:tc>
                <w:tcPr/>
                <w:p>
                  <w:pPr>
                    <w:pStyle w:val="Compact"/>
                    <w:jc w:val="right"/>
                    <w:jc w:val="center"/>
                  </w:pPr>
                  <w:r>
                    <w:t xml:space="preserve">15.6 %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1999</w:t>
                  </w:r>
                </w:p>
              </w:tc>
              <w:tc>
                <w:tcPr/>
                <w:p>
                  <w:pPr>
                    <w:pStyle w:val="Compact"/>
                    <w:jc w:val="right"/>
                    <w:jc w:val="center"/>
                  </w:pPr>
                  <w:r>
                    <w:t xml:space="preserve">520</w:t>
                  </w:r>
                </w:p>
              </w:tc>
              <w:tc>
                <w:tcPr/>
                <w:p>
                  <w:pPr>
                    <w:pStyle w:val="Compact"/>
                    <w:jc w:val="right"/>
                    <w:jc w:val="center"/>
                  </w:pPr>
                  <w:r>
                    <w:t xml:space="preserve">47.5</w:t>
                  </w:r>
                </w:p>
              </w:tc>
              <w:tc>
                <w:tcPr/>
                <w:p>
                  <w:pPr>
                    <w:pStyle w:val="Compact"/>
                    <w:jc w:val="right"/>
                    <w:jc w:val="center"/>
                  </w:pPr>
                  <w:r>
                    <w:t xml:space="preserve">17.1 %</w:t>
                  </w:r>
                </w:p>
              </w:tc>
              <w:tc>
                <w:tcPr/>
                <w:p>
                  <w:pPr>
                    <w:pStyle w:val="Compact"/>
                    <w:jc w:val="right"/>
                    <w:jc w:val="center"/>
                  </w:pPr>
                  <w:r>
                    <w:t xml:space="preserve">518</w:t>
                  </w:r>
                </w:p>
              </w:tc>
              <w:tc>
                <w:tcPr/>
                <w:p>
                  <w:pPr>
                    <w:pStyle w:val="Compact"/>
                    <w:jc w:val="right"/>
                    <w:jc w:val="center"/>
                  </w:pPr>
                  <w:r>
                    <w:t xml:space="preserve">44.6</w:t>
                  </w:r>
                </w:p>
              </w:tc>
              <w:tc>
                <w:tcPr/>
                <w:p>
                  <w:pPr>
                    <w:pStyle w:val="Compact"/>
                    <w:jc w:val="right"/>
                    <w:jc w:val="center"/>
                  </w:pPr>
                  <w:r>
                    <w:t xml:space="preserve">18.9 %</w:t>
                  </w:r>
                </w:p>
              </w:tc>
            </w:tr>
            <w:tr>
              <w:tc>
                <w:tcPr/>
                <w:p>
                  <w:pPr>
                    <w:pStyle w:val="Compact"/>
                    <w:jc w:val="right"/>
                    <w:jc w:val="center"/>
                  </w:pPr>
                  <w:r>
                    <w:t xml:space="preserve">2000</w:t>
                  </w:r>
                </w:p>
              </w:tc>
              <w:tc>
                <w:tcPr/>
                <w:p>
                  <w:pPr>
                    <w:pStyle w:val="Compact"/>
                    <w:jc w:val="right"/>
                    <w:jc w:val="center"/>
                  </w:pPr>
                  <w:r>
                    <w:t xml:space="preserve">519</w:t>
                  </w:r>
                </w:p>
              </w:tc>
              <w:tc>
                <w:tcPr/>
                <w:p>
                  <w:pPr>
                    <w:pStyle w:val="Compact"/>
                    <w:jc w:val="right"/>
                    <w:jc w:val="center"/>
                  </w:pPr>
                  <w:r>
                    <w:t xml:space="preserve">48.0</w:t>
                  </w:r>
                </w:p>
              </w:tc>
              <w:tc>
                <w:tcPr/>
                <w:p>
                  <w:pPr>
                    <w:pStyle w:val="Compact"/>
                    <w:jc w:val="right"/>
                    <w:jc w:val="center"/>
                  </w:pPr>
                  <w:r>
                    <w:t xml:space="preserve">17.2 %</w:t>
                  </w:r>
                </w:p>
              </w:tc>
              <w:tc>
                <w:tcPr/>
                <w:p>
                  <w:pPr>
                    <w:pStyle w:val="Compact"/>
                    <w:jc w:val="right"/>
                    <w:jc w:val="center"/>
                  </w:pPr>
                  <w:r>
                    <w:t xml:space="preserve">517</w:t>
                  </w:r>
                </w:p>
              </w:tc>
              <w:tc>
                <w:tcPr/>
                <w:p>
                  <w:pPr>
                    <w:pStyle w:val="Compact"/>
                    <w:jc w:val="right"/>
                    <w:jc w:val="center"/>
                  </w:pPr>
                  <w:r>
                    <w:t xml:space="preserve">45.5</w:t>
                  </w:r>
                </w:p>
              </w:tc>
              <w:tc>
                <w:tcPr/>
                <w:p>
                  <w:pPr>
                    <w:pStyle w:val="Compact"/>
                    <w:jc w:val="right"/>
                    <w:jc w:val="center"/>
                  </w:pPr>
                  <w:r>
                    <w:t xml:space="preserve">19.1 %</w:t>
                  </w:r>
                </w:p>
              </w:tc>
            </w:tr>
            <w:tr>
              <w:tc>
                <w:tcPr/>
                <w:p>
                  <w:pPr>
                    <w:pStyle w:val="Compact"/>
                    <w:jc w:val="right"/>
                    <w:jc w:val="center"/>
                  </w:pPr>
                  <w:r>
                    <w:t xml:space="preserve">2001</w:t>
                  </w:r>
                </w:p>
              </w:tc>
              <w:tc>
                <w:tcPr/>
                <w:p>
                  <w:pPr>
                    <w:pStyle w:val="Compact"/>
                    <w:jc w:val="right"/>
                    <w:jc w:val="center"/>
                  </w:pPr>
                  <w:r>
                    <w:t xml:space="preserve">518</w:t>
                  </w:r>
                </w:p>
              </w:tc>
              <w:tc>
                <w:tcPr/>
                <w:p>
                  <w:pPr>
                    <w:pStyle w:val="Compact"/>
                    <w:jc w:val="right"/>
                    <w:jc w:val="center"/>
                  </w:pPr>
                  <w:r>
                    <w:t xml:space="preserve">47.7</w:t>
                  </w:r>
                </w:p>
              </w:tc>
              <w:tc>
                <w:tcPr/>
                <w:p>
                  <w:pPr>
                    <w:pStyle w:val="Compact"/>
                    <w:jc w:val="right"/>
                    <w:jc w:val="center"/>
                  </w:pPr>
                  <w:r>
                    <w:t xml:space="preserve">19.1 %</w:t>
                  </w:r>
                </w:p>
              </w:tc>
              <w:tc>
                <w:tcPr/>
                <w:p>
                  <w:pPr>
                    <w:pStyle w:val="Compact"/>
                    <w:jc w:val="right"/>
                    <w:jc w:val="center"/>
                  </w:pPr>
                  <w:r>
                    <w:t xml:space="preserve">518</w:t>
                  </w:r>
                </w:p>
              </w:tc>
              <w:tc>
                <w:tcPr/>
                <w:p>
                  <w:pPr>
                    <w:pStyle w:val="Compact"/>
                    <w:jc w:val="right"/>
                    <w:jc w:val="center"/>
                  </w:pPr>
                  <w:r>
                    <w:t xml:space="preserve">45.2</w:t>
                  </w:r>
                </w:p>
              </w:tc>
              <w:tc>
                <w:tcPr/>
                <w:p>
                  <w:pPr>
                    <w:pStyle w:val="Compact"/>
                    <w:jc w:val="right"/>
                    <w:jc w:val="center"/>
                  </w:pPr>
                  <w:r>
                    <w:t xml:space="preserve">21.4 %</w:t>
                  </w:r>
                </w:p>
              </w:tc>
            </w:tr>
            <w:tr>
              <w:tc>
                <w:tcPr/>
                <w:p>
                  <w:pPr>
                    <w:pStyle w:val="Compact"/>
                    <w:jc w:val="right"/>
                    <w:jc w:val="center"/>
                  </w:pPr>
                  <w:r>
                    <w:t xml:space="preserve">2002</w:t>
                  </w:r>
                </w:p>
              </w:tc>
              <w:tc>
                <w:tcPr/>
                <w:p>
                  <w:pPr>
                    <w:pStyle w:val="Compact"/>
                    <w:jc w:val="right"/>
                    <w:jc w:val="center"/>
                  </w:pPr>
                  <w:r>
                    <w:t xml:space="preserve">518</w:t>
                  </w:r>
                </w:p>
              </w:tc>
              <w:tc>
                <w:tcPr/>
                <w:p>
                  <w:pPr>
                    <w:pStyle w:val="Compact"/>
                    <w:jc w:val="right"/>
                    <w:jc w:val="center"/>
                  </w:pPr>
                  <w:r>
                    <w:t xml:space="preserve">47.5</w:t>
                  </w:r>
                </w:p>
              </w:tc>
              <w:tc>
                <w:tcPr/>
                <w:p>
                  <w:pPr>
                    <w:pStyle w:val="Compact"/>
                    <w:jc w:val="right"/>
                    <w:jc w:val="center"/>
                  </w:pPr>
                  <w:r>
                    <w:t xml:space="preserve">18.7 %</w:t>
                  </w:r>
                </w:p>
              </w:tc>
              <w:tc>
                <w:tcPr/>
                <w:p>
                  <w:pPr>
                    <w:pStyle w:val="Compact"/>
                    <w:jc w:val="right"/>
                    <w:jc w:val="center"/>
                  </w:pPr>
                  <w:r>
                    <w:t xml:space="preserve">518</w:t>
                  </w:r>
                </w:p>
              </w:tc>
              <w:tc>
                <w:tcPr/>
                <w:p>
                  <w:pPr>
                    <w:pStyle w:val="Compact"/>
                    <w:jc w:val="right"/>
                    <w:jc w:val="center"/>
                  </w:pPr>
                  <w:r>
                    <w:t xml:space="preserve">45.6</w:t>
                  </w:r>
                </w:p>
              </w:tc>
              <w:tc>
                <w:tcPr/>
                <w:p>
                  <w:pPr>
                    <w:pStyle w:val="Compact"/>
                    <w:jc w:val="right"/>
                    <w:jc w:val="center"/>
                  </w:pPr>
                  <w:r>
                    <w:t xml:space="preserve">21.0 %</w:t>
                  </w:r>
                </w:p>
              </w:tc>
            </w:tr>
            <w:tr>
              <w:tc>
                <w:tcPr/>
                <w:p>
                  <w:pPr>
                    <w:pStyle w:val="Compact"/>
                    <w:jc w:val="right"/>
                    <w:jc w:val="center"/>
                  </w:pPr>
                  <w:r>
                    <w:t xml:space="preserve">2003</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16.8 %</w:t>
                  </w:r>
                </w:p>
              </w:tc>
              <w:tc>
                <w:tcPr/>
                <w:p>
                  <w:pPr>
                    <w:pStyle w:val="Compact"/>
                    <w:jc w:val="right"/>
                    <w:jc w:val="center"/>
                  </w:pPr>
                  <w:r>
                    <w:t xml:space="preserve">505</w:t>
                  </w:r>
                </w:p>
              </w:tc>
              <w:tc>
                <w:tcPr/>
                <w:p>
                  <w:pPr>
                    <w:pStyle w:val="Compact"/>
                    <w:jc w:val="right"/>
                    <w:jc w:val="center"/>
                  </w:pPr>
                  <w:r>
                    <w:t xml:space="preserve">46.7</w:t>
                  </w:r>
                </w:p>
              </w:tc>
              <w:tc>
                <w:tcPr/>
                <w:p>
                  <w:pPr>
                    <w:pStyle w:val="Compact"/>
                    <w:jc w:val="right"/>
                    <w:jc w:val="center"/>
                  </w:pPr>
                  <w:r>
                    <w:t xml:space="preserve">20.5 %</w:t>
                  </w:r>
                </w:p>
              </w:tc>
            </w:tr>
            <w:tr>
              <w:tc>
                <w:tcPr/>
                <w:p>
                  <w:pPr>
                    <w:pStyle w:val="Compact"/>
                    <w:jc w:val="right"/>
                    <w:jc w:val="center"/>
                  </w:pPr>
                  <w:r>
                    <w:t xml:space="preserve">2004</w:t>
                  </w:r>
                </w:p>
              </w:tc>
              <w:tc>
                <w:tcPr/>
                <w:p>
                  <w:pPr>
                    <w:pStyle w:val="Compact"/>
                    <w:jc w:val="right"/>
                    <w:jc w:val="center"/>
                  </w:pPr>
                  <w:r>
                    <w:t xml:space="preserve">516</w:t>
                  </w:r>
                </w:p>
              </w:tc>
              <w:tc>
                <w:tcPr/>
                <w:p>
                  <w:pPr>
                    <w:pStyle w:val="Compact"/>
                    <w:jc w:val="right"/>
                    <w:jc w:val="center"/>
                  </w:pPr>
                  <w:r>
                    <w:t xml:space="preserve">47.5</w:t>
                  </w:r>
                </w:p>
              </w:tc>
              <w:tc>
                <w:tcPr/>
                <w:p>
                  <w:pPr>
                    <w:pStyle w:val="Compact"/>
                    <w:jc w:val="right"/>
                    <w:jc w:val="center"/>
                  </w:pPr>
                  <w:r>
                    <w:t xml:space="preserve">18.6 %</w:t>
                  </w:r>
                </w:p>
              </w:tc>
              <w:tc>
                <w:tcPr/>
                <w:p>
                  <w:pPr>
                    <w:pStyle w:val="Compact"/>
                    <w:jc w:val="right"/>
                    <w:jc w:val="center"/>
                  </w:pPr>
                  <w:r>
                    <w:t xml:space="preserve">503</w:t>
                  </w:r>
                </w:p>
              </w:tc>
              <w:tc>
                <w:tcPr/>
                <w:p>
                  <w:pPr>
                    <w:pStyle w:val="Compact"/>
                    <w:jc w:val="right"/>
                    <w:jc w:val="center"/>
                  </w:pPr>
                  <w:r>
                    <w:t xml:space="preserve">45.9</w:t>
                  </w:r>
                </w:p>
              </w:tc>
              <w:tc>
                <w:tcPr/>
                <w:p>
                  <w:pPr>
                    <w:pStyle w:val="Compact"/>
                    <w:jc w:val="right"/>
                    <w:jc w:val="center"/>
                  </w:pPr>
                  <w:r>
                    <w:t xml:space="preserve">18.5 %</w:t>
                  </w:r>
                </w:p>
              </w:tc>
            </w:tr>
            <w:tr>
              <w:tc>
                <w:tcPr/>
                <w:p>
                  <w:pPr>
                    <w:pStyle w:val="Compact"/>
                    <w:jc w:val="right"/>
                    <w:jc w:val="center"/>
                  </w:pPr>
                  <w:r>
                    <w:t xml:space="preserve">2005</w:t>
                  </w:r>
                </w:p>
              </w:tc>
              <w:tc>
                <w:tcPr/>
                <w:p>
                  <w:pPr>
                    <w:pStyle w:val="Compact"/>
                    <w:jc w:val="right"/>
                    <w:jc w:val="center"/>
                  </w:pPr>
                  <w:r>
                    <w:t xml:space="preserve">273</w:t>
                  </w:r>
                </w:p>
              </w:tc>
              <w:tc>
                <w:tcPr/>
                <w:p>
                  <w:pPr>
                    <w:pStyle w:val="Compact"/>
                    <w:jc w:val="right"/>
                    <w:jc w:val="center"/>
                  </w:pPr>
                  <w:r>
                    <w:t xml:space="preserve">40.7</w:t>
                  </w:r>
                </w:p>
              </w:tc>
              <w:tc>
                <w:tcPr/>
                <w:p>
                  <w:pPr>
                    <w:pStyle w:val="Compact"/>
                    <w:jc w:val="right"/>
                    <w:jc w:val="center"/>
                  </w:pPr>
                  <w:r>
                    <w:t xml:space="preserve">24.5 %</w:t>
                  </w:r>
                </w:p>
              </w:tc>
              <w:tc>
                <w:tcPr/>
                <w:p>
                  <w:pPr>
                    <w:pStyle w:val="Compact"/>
                    <w:jc w:val="right"/>
                    <w:jc w:val="center"/>
                  </w:pPr>
                  <w:r>
                    <w:t xml:space="preserve">504</w:t>
                  </w:r>
                </w:p>
              </w:tc>
              <w:tc>
                <w:tcPr/>
                <w:p>
                  <w:pPr>
                    <w:pStyle w:val="Compact"/>
                    <w:jc w:val="right"/>
                    <w:jc w:val="center"/>
                  </w:pPr>
                  <w:r>
                    <w:t xml:space="preserve">46.6</w:t>
                  </w:r>
                </w:p>
              </w:tc>
              <w:tc>
                <w:tcPr/>
                <w:p>
                  <w:pPr>
                    <w:pStyle w:val="Compact"/>
                    <w:jc w:val="right"/>
                    <w:jc w:val="center"/>
                  </w:pPr>
                  <w:r>
                    <w:t xml:space="preserve">18.6 %</w:t>
                  </w:r>
                </w:p>
              </w:tc>
            </w:tr>
            <w:tr>
              <w:tc>
                <w:tcPr/>
                <w:p>
                  <w:pPr>
                    <w:pStyle w:val="Compact"/>
                    <w:jc w:val="right"/>
                    <w:jc w:val="center"/>
                  </w:pPr>
                  <w:r>
                    <w:t xml:space="preserve">2006</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20.1 %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2007</w:t>
                  </w:r>
                </w:p>
              </w:tc>
              <w:tc>
                <w:tcPr/>
                <w:p>
                  <w:pPr>
                    <w:pStyle w:val="Compact"/>
                    <w:jc w:val="right"/>
                    <w:jc w:val="center"/>
                  </w:pPr>
                  <w:r>
                    <w:t xml:space="preserve">518</w:t>
                  </w:r>
                </w:p>
              </w:tc>
              <w:tc>
                <w:tcPr/>
                <w:p>
                  <w:pPr>
                    <w:pStyle w:val="Compact"/>
                    <w:jc w:val="right"/>
                    <w:jc w:val="center"/>
                  </w:pPr>
                  <w:r>
                    <w:t xml:space="preserve">48.2</w:t>
                  </w:r>
                </w:p>
              </w:tc>
              <w:tc>
                <w:tcPr/>
                <w:p>
                  <w:pPr>
                    <w:pStyle w:val="Compact"/>
                    <w:jc w:val="right"/>
                    <w:jc w:val="center"/>
                  </w:pPr>
                  <w:r>
                    <w:t xml:space="preserve">21.0 %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18.7 %</w:t>
                  </w:r>
                </w:p>
              </w:tc>
            </w:tr>
            <w:tr>
              <w:tc>
                <w:tcPr/>
                <w:p>
                  <w:pPr>
                    <w:pStyle w:val="Compact"/>
                    <w:jc w:val="right"/>
                    <w:jc w:val="center"/>
                  </w:pPr>
                  <w:r>
                    <w:t xml:space="preserve">2008</w:t>
                  </w:r>
                </w:p>
              </w:tc>
              <w:tc>
                <w:tcPr/>
                <w:p>
                  <w:pPr>
                    <w:pStyle w:val="Compact"/>
                    <w:jc w:val="right"/>
                    <w:jc w:val="center"/>
                  </w:pPr>
                  <w:r>
                    <w:t xml:space="preserve">518</w:t>
                  </w:r>
                </w:p>
              </w:tc>
              <w:tc>
                <w:tcPr/>
                <w:p>
                  <w:pPr>
                    <w:pStyle w:val="Compact"/>
                    <w:jc w:val="right"/>
                    <w:jc w:val="center"/>
                  </w:pPr>
                  <w:r>
                    <w:t xml:space="preserve">48.3</w:t>
                  </w:r>
                </w:p>
              </w:tc>
              <w:tc>
                <w:tcPr/>
                <w:p>
                  <w:pPr>
                    <w:pStyle w:val="Compact"/>
                    <w:jc w:val="right"/>
                    <w:jc w:val="center"/>
                  </w:pPr>
                  <w:r>
                    <w:t xml:space="preserve">21.2 %</w:t>
                  </w:r>
                </w:p>
              </w:tc>
              <w:tc>
                <w:tcPr/>
                <w:p>
                  <w:pPr>
                    <w:pStyle w:val="Compact"/>
                    <w:jc w:val="right"/>
                    <w:jc w:val="center"/>
                  </w:pPr>
                  <w:r>
                    <w:t xml:space="preserve">503</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2010</w:t>
                  </w:r>
                </w:p>
              </w:tc>
              <w:tc>
                <w:tcPr/>
                <w:p>
                  <w:pPr>
                    <w:pStyle w:val="Compact"/>
                    <w:jc w:val="right"/>
                    <w:jc w:val="center"/>
                  </w:pPr>
                  <w:r>
                    <w:t xml:space="preserve">518</w:t>
                  </w:r>
                </w:p>
              </w:tc>
              <w:tc>
                <w:tcPr/>
                <w:p>
                  <w:pPr>
                    <w:pStyle w:val="Compact"/>
                    <w:jc w:val="right"/>
                    <w:jc w:val="center"/>
                  </w:pPr>
                  <w:r>
                    <w:t xml:space="preserve">48.5</w:t>
                  </w:r>
                </w:p>
              </w:tc>
              <w:tc>
                <w:tcPr/>
                <w:p>
                  <w:pPr>
                    <w:pStyle w:val="Compact"/>
                    <w:jc w:val="right"/>
                    <w:jc w:val="center"/>
                  </w:pPr>
                  <w:r>
                    <w:t xml:space="preserve">21.2 %</w:t>
                  </w:r>
                </w:p>
              </w:tc>
              <w:tc>
                <w:tcPr/>
                <w:p>
                  <w:pPr>
                    <w:pStyle w:val="Compact"/>
                    <w:jc w:val="right"/>
                    <w:jc w:val="center"/>
                  </w:pPr>
                  <w:r>
                    <w:t xml:space="preserve">504</w:t>
                  </w:r>
                </w:p>
              </w:tc>
              <w:tc>
                <w:tcPr/>
                <w:p>
                  <w:pPr>
                    <w:pStyle w:val="Compact"/>
                    <w:jc w:val="right"/>
                    <w:jc w:val="center"/>
                  </w:pPr>
                  <w:r>
                    <w:t xml:space="preserve">47.0</w:t>
                  </w:r>
                </w:p>
              </w:tc>
              <w:tc>
                <w:tcPr/>
                <w:p>
                  <w:pPr>
                    <w:pStyle w:val="Compact"/>
                    <w:jc w:val="right"/>
                    <w:jc w:val="center"/>
                  </w:pPr>
                  <w:r>
                    <w:t xml:space="preserve">18.3 %</w:t>
                  </w:r>
                </w:p>
              </w:tc>
            </w:tr>
            <w:tr>
              <w:tc>
                <w:tcPr/>
                <w:p>
                  <w:pPr>
                    <w:pStyle w:val="Compact"/>
                    <w:jc w:val="right"/>
                    <w:jc w:val="center"/>
                  </w:pPr>
                  <w:r>
                    <w:t xml:space="preserve">2011</w:t>
                  </w:r>
                </w:p>
              </w:tc>
              <w:tc>
                <w:tcPr/>
                <w:p>
                  <w:pPr>
                    <w:pStyle w:val="Compact"/>
                    <w:jc w:val="right"/>
                    <w:jc w:val="center"/>
                  </w:pPr>
                  <w:r>
                    <w:t xml:space="preserve">521</w:t>
                  </w:r>
                </w:p>
              </w:tc>
              <w:tc>
                <w:tcPr/>
                <w:p>
                  <w:pPr>
                    <w:pStyle w:val="Compact"/>
                    <w:jc w:val="right"/>
                    <w:jc w:val="center"/>
                  </w:pPr>
                  <w:r>
                    <w:t xml:space="preserve">49.3</w:t>
                  </w:r>
                </w:p>
              </w:tc>
              <w:tc>
                <w:tcPr/>
                <w:p>
                  <w:pPr>
                    <w:pStyle w:val="Compact"/>
                    <w:jc w:val="right"/>
                    <w:jc w:val="center"/>
                  </w:pPr>
                  <w:r>
                    <w:t xml:space="preserve">21.7 %</w:t>
                  </w:r>
                </w:p>
              </w:tc>
              <w:tc>
                <w:tcPr/>
                <w:p>
                  <w:pPr>
                    <w:pStyle w:val="Compact"/>
                    <w:jc w:val="right"/>
                    <w:jc w:val="center"/>
                  </w:pPr>
                  <w:r>
                    <w:t xml:space="preserve">504</w:t>
                  </w:r>
                </w:p>
              </w:tc>
              <w:tc>
                <w:tcPr/>
                <w:p>
                  <w:pPr>
                    <w:pStyle w:val="Compact"/>
                    <w:jc w:val="right"/>
                    <w:jc w:val="center"/>
                  </w:pPr>
                  <w:r>
                    <w:t xml:space="preserve">48.4</w:t>
                  </w:r>
                </w:p>
              </w:tc>
              <w:tc>
                <w:tcPr/>
                <w:p>
                  <w:pPr>
                    <w:pStyle w:val="Compact"/>
                    <w:jc w:val="right"/>
                    <w:jc w:val="center"/>
                  </w:pPr>
                  <w:r>
                    <w:t xml:space="preserve">18.7 %</w:t>
                  </w:r>
                </w:p>
              </w:tc>
            </w:tr>
            <w:tr>
              <w:tc>
                <w:tcPr/>
                <w:p>
                  <w:pPr>
                    <w:pStyle w:val="Compact"/>
                    <w:jc w:val="right"/>
                    <w:jc w:val="center"/>
                  </w:pPr>
                  <w:r>
                    <w:t xml:space="preserve">2012</w:t>
                  </w:r>
                </w:p>
              </w:tc>
              <w:tc>
                <w:tcPr/>
                <w:p>
                  <w:pPr>
                    <w:pStyle w:val="Compact"/>
                    <w:jc w:val="right"/>
                    <w:jc w:val="center"/>
                  </w:pPr>
                  <w:r>
                    <w:t xml:space="preserve">519</w:t>
                  </w:r>
                </w:p>
              </w:tc>
              <w:tc>
                <w:tcPr/>
                <w:p>
                  <w:pPr>
                    <w:pStyle w:val="Compact"/>
                    <w:jc w:val="right"/>
                    <w:jc w:val="center"/>
                  </w:pPr>
                  <w:r>
                    <w:t xml:space="preserve">47.6</w:t>
                  </w:r>
                </w:p>
              </w:tc>
              <w:tc>
                <w:tcPr/>
                <w:p>
                  <w:pPr>
                    <w:pStyle w:val="Compact"/>
                    <w:jc w:val="right"/>
                    <w:jc w:val="center"/>
                  </w:pPr>
                  <w:r>
                    <w:t xml:space="preserve">21.4 %</w:t>
                  </w:r>
                </w:p>
              </w:tc>
              <w:tc>
                <w:tcPr/>
                <w:p>
                  <w:pPr>
                    <w:pStyle w:val="Compact"/>
                    <w:jc w:val="right"/>
                    <w:jc w:val="center"/>
                  </w:pPr>
                  <w:r>
                    <w:t xml:space="preserve">504</w:t>
                  </w:r>
                </w:p>
              </w:tc>
              <w:tc>
                <w:tcPr/>
                <w:p>
                  <w:pPr>
                    <w:pStyle w:val="Compact"/>
                    <w:jc w:val="right"/>
                    <w:jc w:val="center"/>
                  </w:pPr>
                  <w:r>
                    <w:t xml:space="preserve">47.8</w:t>
                  </w:r>
                </w:p>
              </w:tc>
              <w:tc>
                <w:tcPr/>
                <w:p>
                  <w:pPr>
                    <w:pStyle w:val="Compact"/>
                    <w:jc w:val="right"/>
                    <w:jc w:val="center"/>
                  </w:pPr>
                  <w:r>
                    <w:t xml:space="preserve">18.1 %</w:t>
                  </w:r>
                </w:p>
              </w:tc>
            </w:tr>
            <w:tr>
              <w:tc>
                <w:tcPr/>
                <w:p>
                  <w:pPr>
                    <w:pStyle w:val="Compact"/>
                    <w:jc w:val="right"/>
                    <w:jc w:val="center"/>
                  </w:pPr>
                  <w:r>
                    <w:t xml:space="preserve">2013</w:t>
                  </w:r>
                </w:p>
              </w:tc>
              <w:tc>
                <w:tcPr/>
                <w:p>
                  <w:pPr>
                    <w:pStyle w:val="Compact"/>
                    <w:jc w:val="right"/>
                    <w:jc w:val="center"/>
                  </w:pPr>
                  <w:r>
                    <w:t xml:space="preserve">518</w:t>
                  </w:r>
                </w:p>
              </w:tc>
              <w:tc>
                <w:tcPr/>
                <w:p>
                  <w:pPr>
                    <w:pStyle w:val="Compact"/>
                    <w:jc w:val="right"/>
                    <w:jc w:val="center"/>
                  </w:pPr>
                  <w:r>
                    <w:t xml:space="preserve">48.1</w:t>
                  </w:r>
                </w:p>
              </w:tc>
              <w:tc>
                <w:tcPr/>
                <w:p>
                  <w:pPr>
                    <w:pStyle w:val="Compact"/>
                    <w:jc w:val="right"/>
                    <w:jc w:val="center"/>
                  </w:pPr>
                  <w:r>
                    <w:t xml:space="preserve">22.2 %</w:t>
                  </w:r>
                </w:p>
              </w:tc>
              <w:tc>
                <w:tcPr/>
                <w:p>
                  <w:pPr>
                    <w:pStyle w:val="Compact"/>
                    <w:jc w:val="right"/>
                    <w:jc w:val="center"/>
                  </w:pPr>
                  <w:r>
                    <w:t xml:space="preserve">504</w:t>
                  </w:r>
                </w:p>
              </w:tc>
              <w:tc>
                <w:tcPr/>
                <w:p>
                  <w:pPr>
                    <w:pStyle w:val="Compact"/>
                    <w:jc w:val="right"/>
                    <w:jc w:val="center"/>
                  </w:pPr>
                  <w:r>
                    <w:t xml:space="preserve">48.2</w:t>
                  </w:r>
                </w:p>
              </w:tc>
              <w:tc>
                <w:tcPr/>
                <w:p>
                  <w:pPr>
                    <w:pStyle w:val="Compact"/>
                    <w:jc w:val="right"/>
                    <w:jc w:val="center"/>
                  </w:pPr>
                  <w:r>
                    <w:t xml:space="preserve">18.1 %</w:t>
                  </w:r>
                </w:p>
              </w:tc>
            </w:tr>
            <w:tr>
              <w:tc>
                <w:tcPr/>
                <w:p>
                  <w:pPr>
                    <w:pStyle w:val="Compact"/>
                    <w:jc w:val="right"/>
                    <w:jc w:val="center"/>
                  </w:pPr>
                  <w:r>
                    <w:t xml:space="preserve">2014</w:t>
                  </w:r>
                </w:p>
              </w:tc>
              <w:tc>
                <w:tcPr/>
                <w:p>
                  <w:pPr>
                    <w:pStyle w:val="Compact"/>
                    <w:jc w:val="right"/>
                    <w:jc w:val="center"/>
                  </w:pPr>
                  <w:r>
                    <w:t xml:space="preserve">519</w:t>
                  </w:r>
                </w:p>
              </w:tc>
              <w:tc>
                <w:tcPr/>
                <w:p>
                  <w:pPr>
                    <w:pStyle w:val="Compact"/>
                    <w:jc w:val="right"/>
                    <w:jc w:val="center"/>
                  </w:pPr>
                  <w:r>
                    <w:t xml:space="preserve">47.8</w:t>
                  </w:r>
                </w:p>
              </w:tc>
              <w:tc>
                <w:tcPr/>
                <w:p>
                  <w:pPr>
                    <w:pStyle w:val="Compact"/>
                    <w:jc w:val="right"/>
                    <w:jc w:val="center"/>
                  </w:pPr>
                  <w:r>
                    <w:t xml:space="preserve">21.6 %</w:t>
                  </w:r>
                </w:p>
              </w:tc>
              <w:tc>
                <w:tcPr/>
                <w:p>
                  <w:pPr>
                    <w:pStyle w:val="Compact"/>
                    <w:jc w:val="right"/>
                    <w:jc w:val="center"/>
                  </w:pPr>
                  <w:r>
                    <w:t xml:space="preserve">503</w:t>
                  </w:r>
                </w:p>
              </w:tc>
              <w:tc>
                <w:tcPr/>
                <w:p>
                  <w:pPr>
                    <w:pStyle w:val="Compact"/>
                    <w:jc w:val="right"/>
                    <w:jc w:val="center"/>
                  </w:pPr>
                  <w:r>
                    <w:t xml:space="preserve">46.9</w:t>
                  </w:r>
                </w:p>
              </w:tc>
              <w:tc>
                <w:tcPr/>
                <w:p>
                  <w:pPr>
                    <w:pStyle w:val="Compact"/>
                    <w:jc w:val="right"/>
                    <w:jc w:val="center"/>
                  </w:pPr>
                  <w:r>
                    <w:t xml:space="preserve">17.9 %</w:t>
                  </w:r>
                </w:p>
              </w:tc>
            </w:tr>
            <w:tr>
              <w:tc>
                <w:tcPr/>
                <w:p>
                  <w:pPr>
                    <w:pStyle w:val="Compact"/>
                    <w:jc w:val="right"/>
                    <w:jc w:val="center"/>
                  </w:pPr>
                  <w:r>
                    <w:t xml:space="preserve">2025</w:t>
                  </w:r>
                </w:p>
              </w:tc>
              <w:tc>
                <w:tcPr/>
                <w:p>
                  <w:pPr>
                    <w:pStyle w:val="Compact"/>
                    <w:jc w:val="right"/>
                    <w:jc w:val="center"/>
                  </w:pPr>
                  <w:r>
                    <w:t xml:space="preserve">519</w:t>
                  </w:r>
                </w:p>
              </w:tc>
              <w:tc>
                <w:tcPr/>
                <w:p>
                  <w:pPr>
                    <w:pStyle w:val="Compact"/>
                    <w:jc w:val="right"/>
                    <w:jc w:val="center"/>
                  </w:pPr>
                  <w:r>
                    <w:t xml:space="preserve">46.1</w:t>
                  </w:r>
                </w:p>
              </w:tc>
              <w:tc>
                <w:tcPr/>
                <w:p>
                  <w:pPr>
                    <w:pStyle w:val="Compact"/>
                    <w:jc w:val="right"/>
                    <w:jc w:val="center"/>
                  </w:pPr>
                  <w:r>
                    <w:t xml:space="preserve">22.0 %</w:t>
                  </w:r>
                </w:p>
              </w:tc>
              <w:tc>
                <w:tcPr/>
                <w:p>
                  <w:pPr>
                    <w:pStyle w:val="Compact"/>
                    <w:jc w:val="right"/>
                    <w:jc w:val="center"/>
                  </w:pPr>
                  <w:r>
                    <w:t xml:space="preserve">507</w:t>
                  </w:r>
                </w:p>
              </w:tc>
              <w:tc>
                <w:tcPr/>
                <w:p>
                  <w:pPr>
                    <w:pStyle w:val="Compact"/>
                    <w:jc w:val="right"/>
                    <w:jc w:val="center"/>
                  </w:pPr>
                  <w:r>
                    <w:t xml:space="preserve">45.4</w:t>
                  </w:r>
                </w:p>
              </w:tc>
              <w:tc>
                <w:tcPr/>
                <w:p>
                  <w:pPr>
                    <w:pStyle w:val="Compact"/>
                    <w:jc w:val="right"/>
                    <w:jc w:val="center"/>
                  </w:pPr>
                  <w:r>
                    <w:t xml:space="preserve">21.7 %</w:t>
                  </w:r>
                </w:p>
              </w:tc>
            </w:tr>
            <w:tr>
              <w:tc>
                <w:tcPr>
                  <w:gridSpan w:val="7"/>
                </w:tcPr>
                <w:p>
                  <w:pPr>
                    <w:pStyle w:val="Compact"/>
                    <w:jc w:val="right"/>
                    <w:jc w:val="center"/>
                  </w:pPr>
                  <w:r>
                    <w:rPr>
                      <w:b/>
                      <w:bCs/>
                    </w:rPr>
                    <w:t xml:space="preserve">Source</w:t>
                  </w:r>
                  <w:r>
                    <w:t xml:space="preserve"> </w:t>
                  </w:r>
                  <w:r>
                    <w:t xml:space="preserve">: Microdonnées ROS 1995–2014, Enquête OR 2025.</w:t>
                  </w:r>
                  <w:r>
                    <w:t xml:space="preserve"> </w:t>
                  </w:r>
                  <w:r>
                    <w:t xml:space="preserve">Alaotra n’a pas été enquêté avant 1999. 2005 Marovoay : échantillon réduit (273 ménages).</w:t>
                  </w:r>
                  <w:r>
                    <w:t xml:space="preserve"> </w:t>
                  </w:r>
                  <w:r>
                    <w:t xml:space="preserve">2025 : renouvellement complet de l’échantillon après 10 ans d’interruption.</w:t>
                  </w:r>
                </w:p>
              </w:tc>
            </w:tr>
            <w:tr>
              <w:tc>
                <w:tcPr>
                  <w:gridSpan w:val="7"/>
                </w:tcPr>
                <w:p>
                  <w:pPr>
                    <w:pStyle w:val="Compact"/>
                    <w:jc w:val="right"/>
                    <w:jc w:val="center"/>
                  </w:pPr>
                  <w:r>
                    <w:rPr>
                      <w:b/>
                      <w:bCs/>
                    </w:rPr>
                    <w:t xml:space="preserve">Source : Enquête auprès des OR 2025</w:t>
                  </w:r>
                </w:p>
              </w:tc>
            </w:tr>
          </w:tbl>
          <w:bookmarkEnd w:id="890"/>
          <w:p/>
        </w:tc>
      </w:tr>
    </w:tbl>
    <w:bookmarkEnd w:id="891"/>
    <w:bookmarkStart w:id="896" w:name="X3b399964e7606f709b56baf713c0a6da2057e39"/>
    <w:p>
      <w:pPr>
        <w:pStyle w:val="Titre3"/>
      </w:pPr>
      <w:r>
        <w:t xml:space="preserve">11.4.2 Dérive du panel : vieillissement des chefs de ménage</w:t>
      </w:r>
    </w:p>
    <w:p>
      <w:pPr>
        <w:pStyle w:val="FirstParagraph"/>
      </w:pPr>
      <w:r>
        <w:t xml:space="preserve">Un panel de ménages vieillit mécaniquement : si les mêmes ménages sont suivis année après année, l’âge moyen du chef de ménage augmente. Ce</w:t>
      </w:r>
      <w:r>
        <w:t xml:space="preserve"> </w:t>
      </w:r>
      <w:r>
        <w:rPr>
          <w:b/>
          <w:bCs/>
        </w:rPr>
        <w:t xml:space="preserve">vieillissement structurel</w:t>
      </w:r>
      <w:r>
        <w:t xml:space="preserve"> </w:t>
      </w:r>
      <w:r>
        <w:t xml:space="preserve">rend l’échantillon progressivement moins représentatif de la population, où de nouveaux ménages (plus jeunes) se forment continuellement.</w:t>
      </w:r>
    </w:p>
    <w:tbl>
      <w:tblPr>
        <w:tblStyle w:val="Table"/>
        <w:tblW w:type="pct" w:w="5000"/>
        <w:tblLayout w:type="fixed"/>
        <w:tblLook w:firstRow="0" w:lastRow="0" w:firstColumn="0" w:lastColumn="0" w:noHBand="0" w:noVBand="0" w:val="0000"/>
      </w:tblPr>
      <w:tblGrid>
        <w:gridCol w:w="7920"/>
      </w:tblGrid>
      <w:tr>
        <w:tc>
          <w:tcPr/>
          <w:bookmarkStart w:id="895" w:name="fig-panel-drift"/>
          <w:p>
            <w:pPr>
              <w:jc w:val="center"/>
            </w:pPr>
            <w:pPr>
              <w:jc w:val="left"/>
              <w:spacing w:before="200"/>
              <w:pStyle w:val="ImageCaption"/>
            </w:pPr>
            <w:r>
              <w:t xml:space="preserve">Figure 11.3: Évolution de l’âge moyen du chef de ménage (1995–2025)</w:t>
            </w:r>
          </w:p>
          <w:p>
            <w:pPr>
              <w:pStyle w:val="Compact"/>
              <w:jc w:val="center"/>
            </w:pPr>
            <w:r>
              <w:drawing>
                <wp:inline>
                  <wp:extent cx="5969000" cy="3316111"/>
                  <wp:effectExtent b="0" l="0" r="0" t="0"/>
                  <wp:docPr descr="" title="" id="893" name="Picture"/>
                  <a:graphic>
                    <a:graphicData uri="http://schemas.openxmlformats.org/drawingml/2006/picture">
                      <pic:pic>
                        <pic:nvPicPr>
                          <pic:cNvPr descr="11_representativite_ponderation_files/figure-docx/fig-panel-drift-1.png" id="894" name="Picture"/>
                          <pic:cNvPicPr>
                            <a:picLocks noChangeArrowheads="1" noChangeAspect="1"/>
                          </pic:cNvPicPr>
                        </pic:nvPicPr>
                        <pic:blipFill>
                          <a:blip r:embed="rId892"/>
                          <a:stretch>
                            <a:fillRect/>
                          </a:stretch>
                        </pic:blipFill>
                        <pic:spPr bwMode="auto">
                          <a:xfrm>
                            <a:off x="0" y="0"/>
                            <a:ext cx="5969000" cy="3316111"/>
                          </a:xfrm>
                          <a:prstGeom prst="rect">
                            <a:avLst/>
                          </a:prstGeom>
                          <a:noFill/>
                          <a:ln w="9525">
                            <a:noFill/>
                            <a:headEnd/>
                            <a:tailEnd/>
                          </a:ln>
                        </pic:spPr>
                      </pic:pic>
                    </a:graphicData>
                  </a:graphic>
                </wp:inline>
              </w:drawing>
            </w:r>
          </w:p>
          <w:bookmarkEnd w:id="895"/>
        </w:tc>
      </w:tr>
    </w:tbl>
    <w:p>
      <w:pPr>
        <w:pStyle w:val="Corpsdetexte"/>
      </w:pPr>
      <w:r>
        <w:t xml:space="preserve">La</w:t>
      </w:r>
      <w:r>
        <w:t xml:space="preserve"> </w:t>
      </w:r>
      <w:hyperlink w:anchor="fig-panel-drift">
        <w:r>
          <w:rPr>
            <w:rStyle w:val="Lienhypertexte"/>
          </w:rPr>
          <w:t xml:space="preserve">Figure 11.3</w:t>
        </w:r>
      </w:hyperlink>
      <w:r>
        <w:t xml:space="preserve"> </w:t>
      </w:r>
      <w:r>
        <w:t xml:space="preserve">montre que l’âge moyen du chef de ménage a augmenté d’environ 3 ans entre 1999 et 2014, passant de ~45 à ~48 ans. Le renouvellement de 2025 ramène l’âge moyen autour de 45–46 ans, plus proche de la structure de la population.</w:t>
      </w:r>
    </w:p>
    <w:p>
      <w:pPr>
        <w:pStyle w:val="Corpsdetexte"/>
      </w:pPr>
      <w:r>
        <w:t xml:space="preserve">Le vieillissement du panel a plusieurs conséquences :</w:t>
      </w:r>
    </w:p>
    <w:p>
      <w:pPr>
        <w:numPr>
          <w:ilvl w:val="0"/>
          <w:numId w:val="1015"/>
        </w:numPr>
      </w:pPr>
      <w:r>
        <w:rPr>
          <w:b/>
          <w:bCs/>
        </w:rPr>
        <w:t xml:space="preserve">Biais de composition</w:t>
      </w:r>
      <w:r>
        <w:t xml:space="preserve"> </w:t>
      </w:r>
      <w:r>
        <w:t xml:space="preserve">: les ménages âgés sont surreprésentés par rapport à la population réelle, qui comprend aussi de jeunes ménages formés depuis le début du suivi.</w:t>
      </w:r>
    </w:p>
    <w:p>
      <w:pPr>
        <w:numPr>
          <w:ilvl w:val="0"/>
          <w:numId w:val="1015"/>
        </w:numPr>
      </w:pPr>
      <w:r>
        <w:rPr>
          <w:b/>
          <w:bCs/>
        </w:rPr>
        <w:t xml:space="preserve">Attrition sélective</w:t>
      </w:r>
      <w:r>
        <w:t xml:space="preserve"> </w:t>
      </w:r>
      <w:r>
        <w:t xml:space="preserve">: les ménages qui disparaissent du panel (migration, décès, refus) ne sont pas aléatoires — les ménages les plus mobiles (souvent les plus jeunes) sortent plus vite, accentuant le biais vers les âges élevés.</w:t>
      </w:r>
    </w:p>
    <w:p>
      <w:pPr>
        <w:numPr>
          <w:ilvl w:val="0"/>
          <w:numId w:val="1015"/>
        </w:numPr>
      </w:pPr>
      <w:r>
        <w:rPr>
          <w:b/>
          <w:bCs/>
        </w:rPr>
        <w:t xml:space="preserve">Comparaisons temporelles</w:t>
      </w:r>
      <w:r>
        <w:t xml:space="preserve"> </w:t>
      </w:r>
      <w:r>
        <w:t xml:space="preserve">: une partie des évolutions observées dans les indicateurs entre 1999 et 2014 reflète le vieillissement de la cohorte, et non des changements réels dans la population.</w:t>
      </w:r>
    </w:p>
    <w:bookmarkEnd w:id="896"/>
    <w:bookmarkStart w:id="899" w:name="cadre-de-recalibration-historique"/>
    <w:p>
      <w:pPr>
        <w:pStyle w:val="Titre3"/>
      </w:pPr>
      <w:r>
        <w:t xml:space="preserve">11.4.3 Cadre de recalibration historique</w:t>
      </w:r>
    </w:p>
    <w:p>
      <w:pPr>
        <w:pStyle w:val="FirstParagraph"/>
      </w:pPr>
      <w:r>
        <w:t xml:space="preserve">Pour corriger rétrospectivement les biais du panel, une</w:t>
      </w:r>
      <w:r>
        <w:t xml:space="preserve"> </w:t>
      </w:r>
      <w:r>
        <w:rPr>
          <w:b/>
          <w:bCs/>
        </w:rPr>
        <w:t xml:space="preserve">post-stratification annuelle</w:t>
      </w:r>
      <w:r>
        <w:t xml:space="preserve"> </w:t>
      </w:r>
      <w:r>
        <w:t xml:space="preserve">sur les marges démographiques connues est envisageable :</w:t>
      </w:r>
    </w:p>
    <w:p>
      <w:pPr>
        <w:numPr>
          <w:ilvl w:val="0"/>
          <w:numId w:val="1016"/>
        </w:numPr>
      </w:pPr>
      <w:r>
        <w:rPr>
          <w:b/>
          <w:bCs/>
        </w:rPr>
        <w:t xml:space="preserve">Marges cibles</w:t>
      </w:r>
      <w:r>
        <w:t xml:space="preserve"> </w:t>
      </w:r>
      <w:r>
        <w:t xml:space="preserve">: la distribution par sexe (et éventuellement classe d’âge) des chefs de ménage dans la population de référence.</w:t>
      </w:r>
    </w:p>
    <w:p>
      <w:pPr>
        <w:numPr>
          <w:ilvl w:val="0"/>
          <w:numId w:val="1016"/>
        </w:numPr>
      </w:pPr>
      <w:r>
        <w:rPr>
          <w:b/>
          <w:bCs/>
        </w:rPr>
        <w:t xml:space="preserve">Source des marges</w:t>
      </w:r>
      <w:r>
        <w:t xml:space="preserve"> </w:t>
      </w:r>
      <w:r>
        <w:t xml:space="preserve">: le RGPH-3 (2018) fournit les marges les plus fiables. Pour les années antérieures à 2018, ces marges peuvent être utilisées avec une interpolation linéaire entre le RGPH-2 (1993) et le RGPH-3 (2018), ou directement avec les marges 2018 en acceptant un biais temporel.</w:t>
      </w:r>
    </w:p>
    <w:p>
      <w:pPr>
        <w:numPr>
          <w:ilvl w:val="0"/>
          <w:numId w:val="1016"/>
        </w:numPr>
      </w:pPr>
      <w:r>
        <w:rPr>
          <w:b/>
          <w:bCs/>
        </w:rPr>
        <w:t xml:space="preserve">Méthode</w:t>
      </w:r>
      <w:r>
        <w:t xml:space="preserve"> </w:t>
      </w:r>
      <w:r>
        <w:t xml:space="preserve">: pour chaque année</w:t>
      </w:r>
      <w:r>
        <w:t xml:space="preserve"> </w:t>
      </w:r>
      <m:oMath>
        <m:r>
          <m:t>t</m:t>
        </m:r>
      </m:oMath>
      <w:r>
        <w:t xml:space="preserve">, on calcule des poids de post-stratification</w:t>
      </w:r>
      <w:r>
        <w:t xml:space="preserve"> </w:t>
      </w:r>
      <m:oMath>
        <m:sSub>
          <m:e>
            <m:r>
              <m:t>w</m:t>
            </m:r>
          </m:e>
          <m:sub>
            <m:r>
              <m:t>i</m:t>
            </m:r>
            <m:r>
              <m:t>t</m:t>
            </m:r>
          </m:sub>
        </m:sSub>
      </m:oMath>
      <w:r>
        <w:t xml:space="preserve"> </w:t>
      </w:r>
      <w:r>
        <w:t xml:space="preserve">tels que la distribution pondérée du sexe du CM dans l’échantillon corresponde aux marges de la population. Les poids de base (issus du dénombrement, quand il est disponible) sont ajustés par le facteur de calage.</w:t>
      </w:r>
    </w:p>
    <w:p>
      <w:pPr>
        <w:numPr>
          <w:ilvl w:val="0"/>
          <w:numId w:val="1016"/>
        </w:numPr>
      </w:pPr>
      <w:r>
        <w:rPr>
          <w:b/>
          <w:bCs/>
        </w:rPr>
        <w:t xml:space="preserve">Données de dénombrement historiques</w:t>
      </w:r>
      <w:r>
        <w:t xml:space="preserve"> </w:t>
      </w:r>
      <w:r>
        <w:t xml:space="preserve">: les dénombrements de 2007–2008 sont documentés dans un fichier PDF scanné (</w:t>
      </w:r>
      <w:r>
        <w:rPr>
          <w:rStyle w:val="VerbatimChar"/>
        </w:rPr>
        <w:t xml:space="preserve">Dénombrements Alaotra 2007-2008 et Marovoay 2008.pdf</w:t>
      </w:r>
      <w:r>
        <w:t xml:space="preserve">). La numérisation de ces données permettrait de calculer des poids de base historiques pour ces années. Pour les autres années, seule la post-stratification sur les marges RGPH est applicable.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7" name="Picture"/>
                  <a:graphic>
                    <a:graphicData uri="http://schemas.openxmlformats.org/drawingml/2006/picture">
                      <pic:pic>
                        <pic:nvPicPr>
                          <pic:cNvPr descr="C:\Users\fbede\AppData\Local\Programs\Quarto\share\formats\docx\warning.png" id="89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Limites de la recalibration historique</w:t>
            </w:r>
          </w:p>
        </w:tc>
      </w:tr>
      <w:tr>
        <w:trPr>
          <w:cantSplit/>
        </w:trPr>
        <w:tc>
          <w:tcPr>
            <w:tcMar>
              <w:top w:w="108" w:type="dxa"/>
              <w:bottom w:w="108" w:type="dxa"/>
            </w:tcMar>
          </w:tcPr>
          <w:p>
            <w:pPr>
              <w:numPr>
                <w:ilvl w:val="0"/>
                <w:numId w:val="1017"/>
              </w:numPr>
            </w:pPr>
            <w:r>
              <w:rPr>
                <w:b/>
                <w:bCs/>
              </w:rPr>
              <w:t xml:space="preserve">Absence de dénombrement</w:t>
            </w:r>
            <w:r>
              <w:t xml:space="preserve"> </w:t>
            </w:r>
            <w:r>
              <w:t xml:space="preserve">: pour la plupart des années (hors 2007–2008 et 2025), aucune donnée de dénombrement n’est disponible. Les poids de base ne peuvent pas être calculés ; seule la post-stratification sur des marges externes est possible.</w:t>
            </w:r>
          </w:p>
          <w:p>
            <w:pPr>
              <w:numPr>
                <w:ilvl w:val="0"/>
                <w:numId w:val="1017"/>
              </w:numPr>
            </w:pPr>
            <w:r>
              <w:rPr>
                <w:b/>
                <w:bCs/>
              </w:rPr>
              <w:t xml:space="preserve">Temporalité des marges</w:t>
            </w:r>
            <w:r>
              <w:t xml:space="preserve"> </w:t>
            </w:r>
            <w:r>
              <w:t xml:space="preserve">: les marges du RGPH-3 (2018) ne reflètent pas nécessairement la structure de la population en 1995 ou en 2005. L’utilisation de marges datées introduit un biais dont l’ampleur dépend de la vitesse des changements démographiques.</w:t>
            </w:r>
          </w:p>
          <w:p>
            <w:pPr>
              <w:numPr>
                <w:ilvl w:val="0"/>
                <w:numId w:val="1017"/>
              </w:numPr>
            </w:pPr>
            <w:r>
              <w:rPr>
                <w:b/>
                <w:bCs/>
              </w:rPr>
              <w:t xml:space="preserve">Stabilité des sites</w:t>
            </w:r>
            <w:r>
              <w:t xml:space="preserve"> </w:t>
            </w:r>
            <w:r>
              <w:t xml:space="preserve">: la correspondance entre les hameaux enquêtés et les sites peut varier légèrement d’une année à l’autre (cf. la variabilité des noms de hameaux dans les données historiques). Un nettoyage préalable des identifiants géographiques est nécessaire.</w:t>
            </w:r>
          </w:p>
          <w:p>
            <w:pPr>
              <w:numPr>
                <w:ilvl w:val="0"/>
                <w:numId w:val="1017"/>
              </w:numPr>
            </w:pPr>
            <w:r>
              <w:rPr>
                <w:b/>
                <w:bCs/>
              </w:rPr>
              <w:t xml:space="preserve">2005 Marovoay</w:t>
            </w:r>
            <w:r>
              <w:t xml:space="preserve"> </w:t>
            </w:r>
            <w:r>
              <w:t xml:space="preserve">: l’échantillon de Marovoay en 2005 ne comprend que 273 ménages (environ la moitié de l’effectif habituel), avec un profil démographique atypique. Cette année nécessite un traitement particulier.</w:t>
            </w:r>
          </w:p>
          <w:p/>
        </w:tc>
      </w:tr>
    </w:tbl>
    <w:bookmarkEnd w:id="899"/>
    <w:bookmarkEnd w:id="900"/>
    <w:bookmarkEnd w:id="901"/>
    <w:bookmarkStart w:id="915" w:name="bibliographie"/>
    <w:p>
      <w:pPr>
        <w:pStyle w:val="Titre1"/>
      </w:pPr>
      <w:r>
        <w:t xml:space="preserve">Bibliographie</w:t>
      </w:r>
    </w:p>
    <w:bookmarkStart w:id="914" w:name="refs"/>
    <w:bookmarkStart w:id="903" w:name="ref-deville1992"/>
    <w:p>
      <w:pPr>
        <w:pStyle w:val="Bibliographie"/>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902">
        <w:r>
          <w:rPr>
            <w:rStyle w:val="Lienhypertexte"/>
          </w:rPr>
          <w:t xml:space="preserve">https://doi.org/10.1080/01621459.1992.10475217</w:t>
        </w:r>
      </w:hyperlink>
      <w:r>
        <w:t xml:space="preserve">.</w:t>
      </w:r>
    </w:p>
    <w:bookmarkEnd w:id="903"/>
    <w:bookmarkStart w:id="905" w:name="ref-fay1979"/>
    <w:p>
      <w:pPr>
        <w:pStyle w:val="Bibliographie"/>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904">
        <w:r>
          <w:rPr>
            <w:rStyle w:val="Lienhypertexte"/>
          </w:rPr>
          <w:t xml:space="preserve">https://doi.org/10.1080/01621459.1979.10482505</w:t>
        </w:r>
      </w:hyperlink>
      <w:r>
        <w:t xml:space="preserve">.</w:t>
      </w:r>
    </w:p>
    <w:bookmarkEnd w:id="905"/>
    <w:bookmarkStart w:id="906" w:name="ref-instat2020rgph"/>
    <w:p>
      <w:pPr>
        <w:pStyle w:val="Bibliographie"/>
      </w:pPr>
      <w:r>
        <w:t xml:space="preserve">INSTAT. 2020.</w:t>
      </w:r>
      <w:r>
        <w:t xml:space="preserve"> </w:t>
      </w:r>
      <w:r>
        <w:t xml:space="preserve">« Troisième Recensement Général de la Population et de l’Habitation (RGPH-3) : Résultats provisoires »</w:t>
      </w:r>
      <w:r>
        <w:t xml:space="preserve">. Antananarivo, Madagascar: Institut National de la Statistique.</w:t>
      </w:r>
    </w:p>
    <w:bookmarkEnd w:id="906"/>
    <w:bookmarkStart w:id="907" w:name="ref-kish1965"/>
    <w:p>
      <w:pPr>
        <w:pStyle w:val="Bibliographie"/>
      </w:pPr>
      <w:r>
        <w:t xml:space="preserve">Kish, Leslie. 1965.</w:t>
      </w:r>
      <w:r>
        <w:t xml:space="preserve"> </w:t>
      </w:r>
      <w:r>
        <w:rPr>
          <w:i/>
          <w:iCs/>
        </w:rPr>
        <w:t xml:space="preserve">Survey Sampling</w:t>
      </w:r>
      <w:r>
        <w:t xml:space="preserve">. New York: John Wiley &amp; Sons.</w:t>
      </w:r>
    </w:p>
    <w:bookmarkEnd w:id="907"/>
    <w:bookmarkStart w:id="908" w:name="ref-lohr2022"/>
    <w:p>
      <w:pPr>
        <w:pStyle w:val="Bibliographie"/>
      </w:pPr>
      <w:r>
        <w:t xml:space="preserve">Lohr, Sharon L. 2022.</w:t>
      </w:r>
      <w:r>
        <w:t xml:space="preserve"> </w:t>
      </w:r>
      <w:r>
        <w:rPr>
          <w:i/>
          <w:iCs/>
        </w:rPr>
        <w:t xml:space="preserve">Sampling: Design and Analysis</w:t>
      </w:r>
      <w:r>
        <w:t xml:space="preserve">. 3rd éd. Boca Raton: CRC Press.</w:t>
      </w:r>
    </w:p>
    <w:bookmarkEnd w:id="908"/>
    <w:bookmarkStart w:id="910" w:name="ref-lumley2004"/>
    <w:p>
      <w:pPr>
        <w:pStyle w:val="Bibliographie"/>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909">
        <w:r>
          <w:rPr>
            <w:rStyle w:val="Lienhypertexte"/>
          </w:rPr>
          <w:t xml:space="preserve">https://doi.org/10.18637/jss.v009.i08</w:t>
        </w:r>
      </w:hyperlink>
      <w:r>
        <w:t xml:space="preserve">.</w:t>
      </w:r>
    </w:p>
    <w:bookmarkEnd w:id="910"/>
    <w:bookmarkStart w:id="911" w:name="ref-lumley2010"/>
    <w:p>
      <w:pPr>
        <w:pStyle w:val="Bibliographie"/>
      </w:pPr>
      <w:r>
        <w:t xml:space="preserve">———. 2010.</w:t>
      </w:r>
      <w:r>
        <w:t xml:space="preserve"> </w:t>
      </w:r>
      <w:r>
        <w:rPr>
          <w:i/>
          <w:iCs/>
        </w:rPr>
        <w:t xml:space="preserve">Complex Surveys: A Guide to Analysis Using</w:t>
      </w:r>
      <w:r>
        <w:rPr>
          <w:i/>
          <w:iCs/>
        </w:rPr>
        <w:t xml:space="preserve"> </w:t>
      </w:r>
      <w:r>
        <w:rPr>
          <w:i/>
          <w:iCs/>
        </w:rPr>
        <w:t xml:space="preserve">R</w:t>
      </w:r>
      <w:r>
        <w:t xml:space="preserve">. Hoboken, NJ: John Wiley &amp; Sons.</w:t>
      </w:r>
    </w:p>
    <w:bookmarkEnd w:id="911"/>
    <w:bookmarkStart w:id="912" w:name="ref-rao2015"/>
    <w:p>
      <w:pPr>
        <w:pStyle w:val="Bibliographie"/>
      </w:pPr>
      <w:r>
        <w:t xml:space="preserve">Rao, J. N. K., et Isabel Molina. 2015.</w:t>
      </w:r>
      <w:r>
        <w:t xml:space="preserve"> </w:t>
      </w:r>
      <w:r>
        <w:rPr>
          <w:i/>
          <w:iCs/>
        </w:rPr>
        <w:t xml:space="preserve">Small Area Estimation</w:t>
      </w:r>
      <w:r>
        <w:t xml:space="preserve">. 2nd éd. Hoboken, NJ: John Wiley &amp; Sons.</w:t>
      </w:r>
    </w:p>
    <w:bookmarkEnd w:id="912"/>
    <w:bookmarkStart w:id="913" w:name="ref-sarndal2003"/>
    <w:p>
      <w:pPr>
        <w:pStyle w:val="Bibliographie"/>
      </w:pPr>
      <w:r>
        <w:t xml:space="preserve">Särndal, Carl-Erik, Bengt Swensson, et Jan Wretman. 2003.</w:t>
      </w:r>
      <w:r>
        <w:t xml:space="preserve"> </w:t>
      </w:r>
      <w:r>
        <w:rPr>
          <w:i/>
          <w:iCs/>
        </w:rPr>
        <w:t xml:space="preserve">Model Assisted Survey Sampling</w:t>
      </w:r>
      <w:r>
        <w:t xml:space="preserve">. New York: Springer-Verlag.</w:t>
      </w:r>
    </w:p>
    <w:bookmarkEnd w:id="913"/>
    <w:bookmarkEnd w:id="914"/>
    <w:bookmarkEnd w:id="915"/>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104" Target="media/rId104.png"/>
  <Relationship Type="http://schemas.openxmlformats.org/officeDocument/2006/relationships/image" Id="rId141" Target="media/rId141.png"/>
  <Relationship Type="http://schemas.openxmlformats.org/officeDocument/2006/relationships/image" Id="rId135" Target="media/rId135.png"/>
  <Relationship Type="http://schemas.openxmlformats.org/officeDocument/2006/relationships/image" Id="rId64" Target="media/rId64.png"/>
  <Relationship Type="http://schemas.openxmlformats.org/officeDocument/2006/relationships/image" Id="rId108" Target="media/rId108.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64" Target="media/rId164.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55" Target="media/rId155.png"/>
  <Relationship Type="http://schemas.openxmlformats.org/officeDocument/2006/relationships/image" Id="rId76" Target="media/rId76.png"/>
  <Relationship Type="http://schemas.openxmlformats.org/officeDocument/2006/relationships/image" Id="rId72" Target="media/rId72.png"/>
  <Relationship Type="http://schemas.openxmlformats.org/officeDocument/2006/relationships/image" Id="rId146" Target="media/rId146.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67" Target="media/rId67.png"/>
  <Relationship Type="http://schemas.openxmlformats.org/officeDocument/2006/relationships/image" Id="rId80" Target="media/rId80.png"/>
  <Relationship Type="http://schemas.openxmlformats.org/officeDocument/2006/relationships/image" Id="rId194" Target="media/rId194.png"/>
  <Relationship Type="http://schemas.openxmlformats.org/officeDocument/2006/relationships/image" Id="rId206" Target="media/rId206.png"/>
  <Relationship Type="http://schemas.openxmlformats.org/officeDocument/2006/relationships/image" Id="rId187" Target="media/rId187.png"/>
  <Relationship Type="http://schemas.openxmlformats.org/officeDocument/2006/relationships/image" Id="rId218" Target="media/rId218.png"/>
  <Relationship Type="http://schemas.openxmlformats.org/officeDocument/2006/relationships/image" Id="rId200" Target="media/rId200.png"/>
  <Relationship Type="http://schemas.openxmlformats.org/officeDocument/2006/relationships/image" Id="rId213" Target="media/rId213.png"/>
  <Relationship Type="http://schemas.openxmlformats.org/officeDocument/2006/relationships/image" Id="rId272" Target="media/rId272.png"/>
  <Relationship Type="http://schemas.openxmlformats.org/officeDocument/2006/relationships/image" Id="rId275" Target="media/rId275.png"/>
  <Relationship Type="http://schemas.openxmlformats.org/officeDocument/2006/relationships/image" Id="rId246" Target="media/rId246.png"/>
  <Relationship Type="http://schemas.openxmlformats.org/officeDocument/2006/relationships/image" Id="rId253" Target="media/rId253.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38" Target="media/rId238.png"/>
  <Relationship Type="http://schemas.openxmlformats.org/officeDocument/2006/relationships/image" Id="rId267" Target="media/rId267.png"/>
  <Relationship Type="http://schemas.openxmlformats.org/officeDocument/2006/relationships/image" Id="rId260" Target="media/rId260.png"/>
  <Relationship Type="http://schemas.openxmlformats.org/officeDocument/2006/relationships/image" Id="rId235" Target="media/rId235.png"/>
  <Relationship Type="http://schemas.openxmlformats.org/officeDocument/2006/relationships/image" Id="rId264" Target="media/rId264.png"/>
  <Relationship Type="http://schemas.openxmlformats.org/officeDocument/2006/relationships/image" Id="rId257" Target="media/rId257.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302" Target="media/rId302.png"/>
  <Relationship Type="http://schemas.openxmlformats.org/officeDocument/2006/relationships/image" Id="rId306" Target="media/rId306.png"/>
  <Relationship Type="http://schemas.openxmlformats.org/officeDocument/2006/relationships/image" Id="rId335" Target="media/rId335.png"/>
  <Relationship Type="http://schemas.openxmlformats.org/officeDocument/2006/relationships/image" Id="rId345" Target="media/rId345.png"/>
  <Relationship Type="http://schemas.openxmlformats.org/officeDocument/2006/relationships/image" Id="rId353" Target="media/rId353.png"/>
  <Relationship Type="http://schemas.openxmlformats.org/officeDocument/2006/relationships/image" Id="rId297" Target="media/rId297.png"/>
  <Relationship Type="http://schemas.openxmlformats.org/officeDocument/2006/relationships/image" Id="rId292" Target="media/rId292.png"/>
  <Relationship Type="http://schemas.openxmlformats.org/officeDocument/2006/relationships/image" Id="rId327" Target="media/rId327.png"/>
  <Relationship Type="http://schemas.openxmlformats.org/officeDocument/2006/relationships/image" Id="rId331" Target="media/rId331.png"/>
  <Relationship Type="http://schemas.openxmlformats.org/officeDocument/2006/relationships/image" Id="rId282" Target="media/rId282.png"/>
  <Relationship Type="http://schemas.openxmlformats.org/officeDocument/2006/relationships/image" Id="rId321" Target="media/rId321.png"/>
  <Relationship Type="http://schemas.openxmlformats.org/officeDocument/2006/relationships/image" Id="rId311" Target="media/rId311.png"/>
  <Relationship Type="http://schemas.openxmlformats.org/officeDocument/2006/relationships/image" Id="rId349" Target="media/rId349.png"/>
  <Relationship Type="http://schemas.openxmlformats.org/officeDocument/2006/relationships/image" Id="rId361" Target="media/rId361.png"/>
  <Relationship Type="http://schemas.openxmlformats.org/officeDocument/2006/relationships/image" Id="rId317" Target="media/rId317.png"/>
  <Relationship Type="http://schemas.openxmlformats.org/officeDocument/2006/relationships/image" Id="rId341" Target="media/rId341.png"/>
  <Relationship Type="http://schemas.openxmlformats.org/officeDocument/2006/relationships/image" Id="rId288" Target="media/rId288.png"/>
  <Relationship Type="http://schemas.openxmlformats.org/officeDocument/2006/relationships/image" Id="rId487" Target="media/rId487.png"/>
  <Relationship Type="http://schemas.openxmlformats.org/officeDocument/2006/relationships/image" Id="rId491" Target="media/rId491.png"/>
  <Relationship Type="http://schemas.openxmlformats.org/officeDocument/2006/relationships/image" Id="rId511" Target="media/rId511.png"/>
  <Relationship Type="http://schemas.openxmlformats.org/officeDocument/2006/relationships/image" Id="rId433" Target="media/rId433.png"/>
  <Relationship Type="http://schemas.openxmlformats.org/officeDocument/2006/relationships/image" Id="rId375" Target="media/rId375.png"/>
  <Relationship Type="http://schemas.openxmlformats.org/officeDocument/2006/relationships/image" Id="rId442" Target="media/rId442.png"/>
  <Relationship Type="http://schemas.openxmlformats.org/officeDocument/2006/relationships/image" Id="rId384" Target="media/rId384.png"/>
  <Relationship Type="http://schemas.openxmlformats.org/officeDocument/2006/relationships/image" Id="rId465" Target="media/rId465.png"/>
  <Relationship Type="http://schemas.openxmlformats.org/officeDocument/2006/relationships/image" Id="rId495" Target="media/rId495.png"/>
  <Relationship Type="http://schemas.openxmlformats.org/officeDocument/2006/relationships/image" Id="rId470" Target="media/rId470.png"/>
  <Relationship Type="http://schemas.openxmlformats.org/officeDocument/2006/relationships/image" Id="rId412" Target="media/rId412.png"/>
  <Relationship Type="http://schemas.openxmlformats.org/officeDocument/2006/relationships/image" Id="rId476" Target="media/rId476.png"/>
  <Relationship Type="http://schemas.openxmlformats.org/officeDocument/2006/relationships/image" Id="rId422" Target="media/rId422.png"/>
  <Relationship Type="http://schemas.openxmlformats.org/officeDocument/2006/relationships/image" Id="rId399" Target="media/rId399.png"/>
  <Relationship Type="http://schemas.openxmlformats.org/officeDocument/2006/relationships/image" Id="rId457" Target="media/rId457.png"/>
  <Relationship Type="http://schemas.openxmlformats.org/officeDocument/2006/relationships/image" Id="rId395" Target="media/rId395.png"/>
  <Relationship Type="http://schemas.openxmlformats.org/officeDocument/2006/relationships/image" Id="rId408" Target="media/rId408.png"/>
  <Relationship Type="http://schemas.openxmlformats.org/officeDocument/2006/relationships/image" Id="rId499" Target="media/rId499.png"/>
  <Relationship Type="http://schemas.openxmlformats.org/officeDocument/2006/relationships/image" Id="rId380" Target="media/rId380.png"/>
  <Relationship Type="http://schemas.openxmlformats.org/officeDocument/2006/relationships/image" Id="rId371" Target="media/rId371.png"/>
  <Relationship Type="http://schemas.openxmlformats.org/officeDocument/2006/relationships/image" Id="rId437" Target="media/rId437.png"/>
  <Relationship Type="http://schemas.openxmlformats.org/officeDocument/2006/relationships/image" Id="rId452" Target="media/rId452.png"/>
  <Relationship Type="http://schemas.openxmlformats.org/officeDocument/2006/relationships/image" Id="rId404" Target="media/rId404.png"/>
  <Relationship Type="http://schemas.openxmlformats.org/officeDocument/2006/relationships/image" Id="rId418" Target="media/rId418.png"/>
  <Relationship Type="http://schemas.openxmlformats.org/officeDocument/2006/relationships/image" Id="rId524" Target="media/rId524.png"/>
  <Relationship Type="http://schemas.openxmlformats.org/officeDocument/2006/relationships/image" Id="rId518" Target="media/rId518.png"/>
  <Relationship Type="http://schemas.openxmlformats.org/officeDocument/2006/relationships/image" Id="rId521" Target="media/rId521.png"/>
  <Relationship Type="http://schemas.openxmlformats.org/officeDocument/2006/relationships/image" Id="rId427" Target="media/rId427.png"/>
  <Relationship Type="http://schemas.openxmlformats.org/officeDocument/2006/relationships/image" Id="rId481" Target="media/rId481.png"/>
  <Relationship Type="http://schemas.openxmlformats.org/officeDocument/2006/relationships/image" Id="rId392" Target="media/rId392.png"/>
  <Relationship Type="http://schemas.openxmlformats.org/officeDocument/2006/relationships/image" Id="rId388" Target="media/rId388.png"/>
  <Relationship Type="http://schemas.openxmlformats.org/officeDocument/2006/relationships/image" Id="rId548" Target="media/rId548.png"/>
  <Relationship Type="http://schemas.openxmlformats.org/officeDocument/2006/relationships/image" Id="rId585" Target="media/rId585.png"/>
  <Relationship Type="http://schemas.openxmlformats.org/officeDocument/2006/relationships/image" Id="rId582" Target="media/rId582.png"/>
  <Relationship Type="http://schemas.openxmlformats.org/officeDocument/2006/relationships/image" Id="rId533" Target="media/rId533.png"/>
  <Relationship Type="http://schemas.openxmlformats.org/officeDocument/2006/relationships/image" Id="rId570" Target="media/rId570.png"/>
  <Relationship Type="http://schemas.openxmlformats.org/officeDocument/2006/relationships/image" Id="rId567" Target="media/rId567.png"/>
  <Relationship Type="http://schemas.openxmlformats.org/officeDocument/2006/relationships/image" Id="rId537" Target="media/rId537.png"/>
  <Relationship Type="http://schemas.openxmlformats.org/officeDocument/2006/relationships/image" Id="rId541" Target="media/rId541.png"/>
  <Relationship Type="http://schemas.openxmlformats.org/officeDocument/2006/relationships/image" Id="rId556" Target="media/rId556.png"/>
  <Relationship Type="http://schemas.openxmlformats.org/officeDocument/2006/relationships/image" Id="rId563" Target="media/rId563.png"/>
  <Relationship Type="http://schemas.openxmlformats.org/officeDocument/2006/relationships/image" Id="rId573" Target="media/rId573.png"/>
  <Relationship Type="http://schemas.openxmlformats.org/officeDocument/2006/relationships/image" Id="rId578" Target="media/rId578.png"/>
  <Relationship Type="http://schemas.openxmlformats.org/officeDocument/2006/relationships/image" Id="rId710" Target="media/rId710.png"/>
  <Relationship Type="http://schemas.openxmlformats.org/officeDocument/2006/relationships/image" Id="rId602" Target="media/rId602.png"/>
  <Relationship Type="http://schemas.openxmlformats.org/officeDocument/2006/relationships/image" Id="rId622" Target="media/rId622.png"/>
  <Relationship Type="http://schemas.openxmlformats.org/officeDocument/2006/relationships/image" Id="rId618" Target="media/rId618.png"/>
  <Relationship Type="http://schemas.openxmlformats.org/officeDocument/2006/relationships/image" Id="rId627" Target="media/rId627.png"/>
  <Relationship Type="http://schemas.openxmlformats.org/officeDocument/2006/relationships/image" Id="rId671" Target="media/rId671.png"/>
  <Relationship Type="http://schemas.openxmlformats.org/officeDocument/2006/relationships/image" Id="rId597" Target="media/rId597.png"/>
  <Relationship Type="http://schemas.openxmlformats.org/officeDocument/2006/relationships/image" Id="rId645" Target="media/rId645.png"/>
  <Relationship Type="http://schemas.openxmlformats.org/officeDocument/2006/relationships/image" Id="rId695" Target="media/rId695.png"/>
  <Relationship Type="http://schemas.openxmlformats.org/officeDocument/2006/relationships/image" Id="rId690" Target="media/rId690.png"/>
  <Relationship Type="http://schemas.openxmlformats.org/officeDocument/2006/relationships/image" Id="rId700" Target="media/rId700.png"/>
  <Relationship Type="http://schemas.openxmlformats.org/officeDocument/2006/relationships/image" Id="rId636" Target="media/rId636.png"/>
  <Relationship Type="http://schemas.openxmlformats.org/officeDocument/2006/relationships/image" Id="rId705" Target="media/rId705.png"/>
  <Relationship Type="http://schemas.openxmlformats.org/officeDocument/2006/relationships/image" Id="rId675" Target="media/rId675.png"/>
  <Relationship Type="http://schemas.openxmlformats.org/officeDocument/2006/relationships/image" Id="rId656" Target="media/rId656.png"/>
  <Relationship Type="http://schemas.openxmlformats.org/officeDocument/2006/relationships/image" Id="rId679" Target="media/rId679.png"/>
  <Relationship Type="http://schemas.openxmlformats.org/officeDocument/2006/relationships/image" Id="rId612" Target="media/rId612.png"/>
  <Relationship Type="http://schemas.openxmlformats.org/officeDocument/2006/relationships/image" Id="rId592" Target="media/rId592.png"/>
  <Relationship Type="http://schemas.openxmlformats.org/officeDocument/2006/relationships/image" Id="rId650" Target="media/rId650.png"/>
  <Relationship Type="http://schemas.openxmlformats.org/officeDocument/2006/relationships/image" Id="rId666" Target="media/rId666.png"/>
  <Relationship Type="http://schemas.openxmlformats.org/officeDocument/2006/relationships/image" Id="rId641" Target="media/rId641.png"/>
  <Relationship Type="http://schemas.openxmlformats.org/officeDocument/2006/relationships/image" Id="rId686" Target="media/rId686.png"/>
  <Relationship Type="http://schemas.openxmlformats.org/officeDocument/2006/relationships/image" Id="rId662" Target="media/rId662.png"/>
  <Relationship Type="http://schemas.openxmlformats.org/officeDocument/2006/relationships/image" Id="rId608" Target="media/rId608.png"/>
  <Relationship Type="http://schemas.openxmlformats.org/officeDocument/2006/relationships/image" Id="rId761" Target="media/rId761.png"/>
  <Relationship Type="http://schemas.openxmlformats.org/officeDocument/2006/relationships/image" Id="rId744" Target="media/rId744.png"/>
  <Relationship Type="http://schemas.openxmlformats.org/officeDocument/2006/relationships/image" Id="rId748" Target="media/rId748.png"/>
  <Relationship Type="http://schemas.openxmlformats.org/officeDocument/2006/relationships/image" Id="rId726" Target="media/rId726.png"/>
  <Relationship Type="http://schemas.openxmlformats.org/officeDocument/2006/relationships/image" Id="rId731" Target="media/rId731.png"/>
  <Relationship Type="http://schemas.openxmlformats.org/officeDocument/2006/relationships/image" Id="rId752" Target="media/rId752.png"/>
  <Relationship Type="http://schemas.openxmlformats.org/officeDocument/2006/relationships/image" Id="rId720" Target="media/rId720.png"/>
  <Relationship Type="http://schemas.openxmlformats.org/officeDocument/2006/relationships/image" Id="rId735" Target="media/rId735.png"/>
  <Relationship Type="http://schemas.openxmlformats.org/officeDocument/2006/relationships/image" Id="rId740" Target="media/rId740.png"/>
  <Relationship Type="http://schemas.openxmlformats.org/officeDocument/2006/relationships/image" Id="rId756" Target="media/rId756.png"/>
  <Relationship Type="http://schemas.openxmlformats.org/officeDocument/2006/relationships/image" Id="rId795" Target="media/rId795.png"/>
  <Relationship Type="http://schemas.openxmlformats.org/officeDocument/2006/relationships/image" Id="rId770" Target="media/rId770.png"/>
  <Relationship Type="http://schemas.openxmlformats.org/officeDocument/2006/relationships/image" Id="rId780" Target="media/rId780.png"/>
  <Relationship Type="http://schemas.openxmlformats.org/officeDocument/2006/relationships/image" Id="rId785" Target="media/rId785.png"/>
  <Relationship Type="http://schemas.openxmlformats.org/officeDocument/2006/relationships/image" Id="rId800" Target="media/rId800.png"/>
  <Relationship Type="http://schemas.openxmlformats.org/officeDocument/2006/relationships/image" Id="rId775" Target="media/rId775.png"/>
  <Relationship Type="http://schemas.openxmlformats.org/officeDocument/2006/relationships/image" Id="rId808" Target="media/rId808.png"/>
  <Relationship Type="http://schemas.openxmlformats.org/officeDocument/2006/relationships/image" Id="rId791" Target="media/rId791.png"/>
  <Relationship Type="http://schemas.openxmlformats.org/officeDocument/2006/relationships/image" Id="rId823" Target="media/rId823.png"/>
  <Relationship Type="http://schemas.openxmlformats.org/officeDocument/2006/relationships/image" Id="rId816" Target="media/rId816.png"/>
  <Relationship Type="http://schemas.openxmlformats.org/officeDocument/2006/relationships/image" Id="rId828" Target="media/rId828.png"/>
  <Relationship Type="http://schemas.openxmlformats.org/officeDocument/2006/relationships/image" Id="rId892" Target="media/rId892.png"/>
  <Relationship Type="http://schemas.openxmlformats.org/officeDocument/2006/relationships/image" Id="rId859" Target="media/rId859.png"/>
  <Relationship Type="http://schemas.openxmlformats.org/officeDocument/2006/relationships/image" Id="rId845" Target="media/rId845.png"/>
  <Relationship Type="http://schemas.openxmlformats.org/officeDocument/2006/relationships/image" Id="rId152" Target="media/rId152.png"/>
  <Relationship Type="http://schemas.openxmlformats.org/officeDocument/2006/relationships/image" Id="rId28" Target="media/rId28.png"/>
  <Relationship Type="http://schemas.openxmlformats.org/officeDocument/2006/relationships/image" Id="rId885" Target="media/rId885.png"/>
  <Relationship Type="http://schemas.openxmlformats.org/officeDocument/2006/relationships/image" Id="rId24" Target="media/rId24.png"/>
  <Relationship Type="http://schemas.openxmlformats.org/officeDocument/2006/relationships/image" Id="rId20" Target="media/rId20.png"/>
  <Relationship Type="http://schemas.openxmlformats.org/officeDocument/2006/relationships/hyperlink" Id="rId879" Target="https://chelsa-climate.org/" TargetMode="External"/>
  <Relationship Type="http://schemas.openxmlformats.org/officeDocument/2006/relationships/hyperlink" Id="rId876" Target="https://dataforgood.facebook.com/" TargetMode="External"/>
  <Relationship Type="http://schemas.openxmlformats.org/officeDocument/2006/relationships/hyperlink" Id="rId884" Target="https://docs.openlandmap.org/012-compendium.html" TargetMode="External"/>
  <Relationship Type="http://schemas.openxmlformats.org/officeDocument/2006/relationships/hyperlink" Id="rId904" Target="https://doi.org/10.1080/01621459.1979.10482505" TargetMode="External"/>
  <Relationship Type="http://schemas.openxmlformats.org/officeDocument/2006/relationships/hyperlink" Id="rId902" Target="https://doi.org/10.1080/01621459.1992.10475217" TargetMode="External"/>
  <Relationship Type="http://schemas.openxmlformats.org/officeDocument/2006/relationships/hyperlink" Id="rId909" Target="https://doi.org/10.18637/jss.v009.i08" TargetMode="External"/>
  <Relationship Type="http://schemas.openxmlformats.org/officeDocument/2006/relationships/hyperlink" Id="rId878" Target="https://eogdata.mines.edu/products/vnl/" TargetMode="External"/>
  <Relationship Type="http://schemas.openxmlformats.org/officeDocument/2006/relationships/hyperlink" Id="rId877" Target="https://esa-worldcover.org/" TargetMode="External"/>
  <Relationship Type="http://schemas.openxmlformats.org/officeDocument/2006/relationships/hyperlink" Id="rId875" Target="https://ghsl.jrc.ec.europa.eu/" TargetMode="External"/>
  <Relationship Type="http://schemas.openxmlformats.org/officeDocument/2006/relationships/hyperlink" Id="rId881" Target="https://lpdaac.usgs.gov/" TargetMode="External"/>
  <Relationship Type="http://schemas.openxmlformats.org/officeDocument/2006/relationships/hyperlink" Id="rId882" Target="https://malariaatlas.org/" TargetMode="External"/>
  <Relationship Type="http://schemas.openxmlformats.org/officeDocument/2006/relationships/hyperlink" Id="rId880" Target="https://soilgrids.org/" TargetMode="External"/>
  <Relationship Id="rId910" Type="http://schemas.openxmlformats.org/officeDocument/2006/relationships/image" Target="media/cover_page.jpg"/>
</Relationships>

</file>

<file path=word/_rels/footnotes.xml.rels><?xml version="1.0" encoding="UTF-8"?><Relationships xmlns="http://schemas.openxmlformats.org/package/2006/relationships"><Relationship Type="http://schemas.openxmlformats.org/officeDocument/2006/relationships/hyperlink" Id="rId879" Target="https://chelsa-climate.org/" TargetMode="External" /><Relationship Type="http://schemas.openxmlformats.org/officeDocument/2006/relationships/hyperlink" Id="rId876" Target="https://dataforgood.facebook.com/" TargetMode="External" /><Relationship Type="http://schemas.openxmlformats.org/officeDocument/2006/relationships/hyperlink" Id="rId884" Target="https://docs.openlandmap.org/012-compendium.html" TargetMode="External" /><Relationship Type="http://schemas.openxmlformats.org/officeDocument/2006/relationships/hyperlink" Id="rId904" Target="https://doi.org/10.1080/01621459.1979.10482505" TargetMode="External" /><Relationship Type="http://schemas.openxmlformats.org/officeDocument/2006/relationships/hyperlink" Id="rId902" Target="https://doi.org/10.1080/01621459.1992.10475217" TargetMode="External" /><Relationship Type="http://schemas.openxmlformats.org/officeDocument/2006/relationships/hyperlink" Id="rId909" Target="https://doi.org/10.18637/jss.v009.i08" TargetMode="External" /><Relationship Type="http://schemas.openxmlformats.org/officeDocument/2006/relationships/hyperlink" Id="rId878" Target="https://eogdata.mines.edu/products/vnl/" TargetMode="External" /><Relationship Type="http://schemas.openxmlformats.org/officeDocument/2006/relationships/hyperlink" Id="rId877" Target="https://esa-worldcover.org/" TargetMode="External" /><Relationship Type="http://schemas.openxmlformats.org/officeDocument/2006/relationships/hyperlink" Id="rId875" Target="https://ghsl.jrc.ec.europa.eu/" TargetMode="External" /><Relationship Type="http://schemas.openxmlformats.org/officeDocument/2006/relationships/hyperlink" Id="rId881" Target="https://lpdaac.usgs.gov/" TargetMode="External" /><Relationship Type="http://schemas.openxmlformats.org/officeDocument/2006/relationships/hyperlink" Id="rId882" Target="https://malariaatlas.org/" TargetMode="External" /><Relationship Type="http://schemas.openxmlformats.org/officeDocument/2006/relationships/hyperlink" Id="rId880" Target="https://soilgri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2026-03-25T11:29:44Z</dcterms:created>
  <dcterms:modified xsi:type="dcterms:W3CDTF">2026-03-25T11:29:44Z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2026-03-25</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consolidé d’enquêtes</vt:lpwstr>
  </property>
  <property fmtid="{D5CDD505-2E9C-101B-9397-08002B2CF9AE}" pid="15" name="template-partials">
    <vt:lpwstr/>
  </property>
  <property fmtid="{D5CDD505-2E9C-101B-9397-08002B2CF9AE}" pid="16" name="toc-title">
    <vt:lpwstr>Table des matières</vt:lpwstr>
  </property>
</Properties>
</file>