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png" ContentType="image/png"/>
  <Override PartName="/word/media/rId188.png" ContentType="image/png"/>
  <Override PartName="/word/media/rId237.png" ContentType="image/png"/>
  <Override PartName="/word/media/rId276.png" ContentType="image/png"/>
  <Override PartName="/word/media/rId270.png" ContentType="image/png"/>
  <Override PartName="/word/media/rId241.png" ContentType="image/png"/>
  <Override PartName="/word/media/rId219.png" ContentType="image/png"/>
  <Override PartName="/word/media/rId223.png" ContentType="image/png"/>
  <Override PartName="/word/media/rId228.png" ContentType="image/png"/>
  <Override PartName="/word/media/rId215.png" ContentType="image/png"/>
  <Override PartName="/word/media/rId232.png" ContentType="image/png"/>
  <Override PartName="/word/media/rId197.png" ContentType="image/png"/>
  <Override PartName="/word/media/rId206.png" ContentType="image/png"/>
  <Override PartName="/word/media/rId281.png" ContentType="image/png"/>
  <Override PartName="/word/media/rId251.png" ContentType="image/png"/>
  <Override PartName="/word/media/rId255.png" ContentType="image/png"/>
  <Override PartName="/word/media/rId259.png" ContentType="image/png"/>
  <Override PartName="/word/media/rId247.png" ContentType="image/png"/>
  <Override PartName="/word/media/rId263.png" ContentType="image/png"/>
  <Override PartName="/word/media/rId201.png" ContentType="image/png"/>
  <Override PartName="/word/media/rId210.png" ContentType="image/png"/>
  <Override PartName="/word/media/rId317.png" ContentType="image/png"/>
  <Override PartName="/word/media/rId329.png" ContentType="image/png"/>
  <Override PartName="/word/media/rId310.png" ContentType="image/png"/>
  <Override PartName="/word/media/rId341.png" ContentType="image/png"/>
  <Override PartName="/word/media/rId300.png" ContentType="image/png"/>
  <Override PartName="/word/media/rId305.png" ContentType="image/png"/>
  <Override PartName="/word/media/rId295.png" ContentType="image/png"/>
  <Override PartName="/word/media/rId290.png" ContentType="image/png"/>
  <Override PartName="/word/media/rId323.png" ContentType="image/png"/>
  <Override PartName="/word/media/rId336.png" ContentType="image/png"/>
  <Override PartName="/word/media/rId348.png" ContentType="image/png"/>
  <Override PartName="/word/media/rId174.png" ContentType="image/png"/>
  <Override PartName="/word/media/rId17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2026-06-29</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342938"/>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349"/>
                    <a:stretch>
                      <a:fillRect/>
                    </a:stretch>
                  </pic:blipFill>
                  <pic:spPr>
                    <a:xfrm>
                      <a:off x="0" y="0"/>
                      <a:ext cx="5943000" cy="3342938"/>
                    </a:xfrm>
                    <a:prstGeom prst="rect">
                      <a:avLst/>
                    </a:prstGeom>
                  </pic:spPr>
                </pic:pic>
              </a:graphicData>
            </a:graphic>
          </wp:inline>
        </w:drawing>
      </w:r>
    </w:p>
    <w:p xmlns:w="http://schemas.openxmlformats.org/wordprocessingml/2006/main">
      <w:pPr>
        <w:jc w:val="center"/>
        <w:spacing w:before="120"/>
      </w:pPr>
      <w:r>
        <w:rPr>
          <w:i/>
          <w:sz w:val="18"/>
          <w:szCs w:val="18"/>
        </w:rPr>
        <w:t xml:space="preserve">Plaine de Marovoay (Copyright Cédrick Rakotoniaina - Projet BETSAKA 2025)</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94"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c:\PROGRA~1\Positron\RESOUR~1\app\quarto\share\formats\docx\warning.png" id="172"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3"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p>
    <w:p>
      <w:pPr>
        <w:numPr>
          <w:ilvl w:val="0"/>
          <w:numId w:val="1002"/>
        </w:numPr>
      </w:pPr>
      <w:r>
        <w:t xml:space="preserve">la suppression du module dédié aux dépenses (D), qui était très long à administrer et qui avait peu été exploité dans le passé ;</w:t>
      </w:r>
    </w:p>
    <w:p>
      <w:pPr>
        <w:numPr>
          <w:ilvl w:val="0"/>
          <w:numId w:val="1002"/>
        </w:numPr>
      </w:pPr>
      <w:r>
        <w:t xml:space="preserve">l’introduction de nouveaux modules sur les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3"/>
    <w:bookmarkStart w:id="177"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Positron\RESOUR~1\app\quarto\share\formats\docx\note.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7"/>
    <w:bookmarkStart w:id="181"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7392202"/>
            <wp:effectExtent b="0" l="0" r="0" t="0"/>
            <wp:docPr descr="Localisation approximative des fokontany enquêtés (centroïde des hameaux)" title="" id="179" name="Picture"/>
            <a:graphic>
              <a:graphicData uri="http://schemas.openxmlformats.org/drawingml/2006/picture">
                <pic:pic>
                  <pic:nvPicPr>
                    <pic:cNvPr descr="01_description_files/figure-docx/carte_sites-1.png" id="180" name="Picture"/>
                    <pic:cNvPicPr>
                      <a:picLocks noChangeArrowheads="1" noChangeAspect="1"/>
                    </pic:cNvPicPr>
                  </pic:nvPicPr>
                  <pic:blipFill>
                    <a:blip r:embed="rId17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1"/>
    <w:bookmarkStart w:id="187" w:name="ménages-enquêtés"/>
    <w:p>
      <w:pPr>
        <w:pStyle w:val="Titre2"/>
      </w:pPr>
      <w:r>
        <w:t xml:space="preserve">1.4 Ménages enquêtés</w:t>
      </w:r>
    </w:p>
    <w:p>
      <w:pPr>
        <w:pStyle w:val="FirstParagraph"/>
      </w:pPr>
      <w:r>
        <w:t xml:space="preserve">Au total, 507 ménages enquêtés à Alaotra, pour 1 975 individus. A Marovoay, 519 ménages ont été enquêtés pour 2 297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tbl-men-obs"/>
          <w:p>
            <w:pPr>
              <w:jc w:val="center"/>
            </w:pPr>
            <w:pPr>
              <w:jc w:val="left"/>
              <w:spacing w:before="200"/>
              <w:pStyle w:val="ImageCaption"/>
            </w:pPr>
            <w:r>
              <w:t xml:space="preserve">Table 1.1: Répartition des ménages et des individus selon les observatoires</w:t>
            </w:r>
          </w:p>
          <w:bookmarkEnd w:id="182"/>
        </w:tc>
      </w:tr>
    </w:tbl>
    <w:bookmarkStart w:id="184"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3" w:name="tbl-denombrement"/>
          <w:p>
            <w:pPr>
              <w:jc w:val="center"/>
            </w:pPr>
            <w:pPr>
              <w:jc w:val="left"/>
              <w:spacing w:before="200"/>
              <w:pStyle w:val="ImageCaption"/>
            </w:pPr>
            <w:r>
              <w:t xml:space="preserve">Table 1.2: Dénombrement et taux de sondage par observatoire</w:t>
            </w:r>
          </w:p>
          <w:bookmarkEnd w:id="183"/>
        </w:tc>
      </w:tr>
    </w:tbl>
    <w:bookmarkEnd w:id="184"/>
    <w:bookmarkStart w:id="186"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5"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t xml:space="preserve">Source : Enquête auprès des OR 2025</w:t>
                  </w:r>
                </w:p>
              </w:tc>
            </w:tr>
          </w:tbl>
          <w:bookmarkEnd w:id="185"/>
          <w:p/>
        </w:tc>
      </w:tr>
    </w:tbl>
    <w:bookmarkEnd w:id="186"/>
    <w:bookmarkEnd w:id="187"/>
    <w:bookmarkStart w:id="193"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1"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295769"/>
                  <wp:effectExtent b="0" l="0" r="0" t="0"/>
                  <wp:docPr descr="" title="" id="189" name="Picture"/>
                  <a:graphic>
                    <a:graphicData uri="http://schemas.openxmlformats.org/drawingml/2006/picture">
                      <pic:pic>
                        <pic:nvPicPr>
                          <pic:cNvPr descr="01_description_files/figure-docx/fig-chronogramme-1.png" id="190" name="Picture"/>
                          <pic:cNvPicPr>
                            <a:picLocks noChangeArrowheads="1" noChangeAspect="1"/>
                          </pic:cNvPicPr>
                        </pic:nvPicPr>
                        <pic:blipFill>
                          <a:blip r:embed="rId188"/>
                          <a:stretch>
                            <a:fillRect/>
                          </a:stretch>
                        </pic:blipFill>
                        <pic:spPr bwMode="auto">
                          <a:xfrm>
                            <a:off x="0" y="0"/>
                            <a:ext cx="5969000" cy="2295769"/>
                          </a:xfrm>
                          <a:prstGeom prst="rect">
                            <a:avLst/>
                          </a:prstGeom>
                          <a:noFill/>
                          <a:ln w="9525">
                            <a:noFill/>
                            <a:headEnd/>
                            <a:tailEnd/>
                          </a:ln>
                        </pic:spPr>
                      </pic:pic>
                    </a:graphicData>
                  </a:graphic>
                </wp:inline>
              </w:drawing>
            </w:r>
          </w:p>
          <w:bookmarkEnd w:id="191"/>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2" w:name="tbl-periode"/>
          <w:p>
            <w:pPr>
              <w:jc w:val="center"/>
            </w:pPr>
            <w:pPr>
              <w:jc w:val="left"/>
              <w:spacing w:before="200"/>
              <w:pStyle w:val="ImageCaption"/>
            </w:pPr>
            <w:r>
              <w:t xml:space="preserve">Table 1.4: Période de collecte par observatoire</w:t>
            </w:r>
          </w:p>
          <w:bookmarkEnd w:id="192"/>
        </w:tc>
      </w:tr>
    </w:tbl>
    <w:p>
      <w:pPr>
        <w:pStyle w:val="Corpsdetexte"/>
      </w:pPr>
      <w:r>
        <w:t xml:space="preserve">L’enquête a mobilisé 20 enquêteurs (10 par observatoire), encadrés par 6 superviseurs (3 par observatoire). La saisie des questionnaires a été assurée par 4 opérateurs.</w:t>
      </w:r>
    </w:p>
    <w:bookmarkEnd w:id="193"/>
    <w:bookmarkEnd w:id="194"/>
    <w:bookmarkStart w:id="287"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c:\PROGRA~1\Positron\RESOUR~1\app\quarto\share\formats\docx\warning.png" id="196"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14" w:name="description-des-ménages"/>
    <w:p>
      <w:pPr>
        <w:pStyle w:val="Titre2"/>
      </w:pPr>
      <w:r>
        <w:t xml:space="preserve">2.1 Description des ménages</w:t>
      </w:r>
    </w:p>
    <w:bookmarkStart w:id="200"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Marovoay, on a recensé 2297 individus répartis dans 519 ménages. La taille moyenne des ménages s’établit à 4.4 personnes.</w:t>
      </w:r>
    </w:p>
    <w:p>
      <w:pPr>
        <w:pStyle w:val="CaptionedFigure"/>
      </w:pPr>
      <w:r>
        <w:drawing>
          <wp:inline>
            <wp:extent cx="4620126" cy="4620126"/>
            <wp:effectExtent b="0" l="0" r="0" t="0"/>
            <wp:docPr descr="Taille moyenne des ménages par hameau selon les observatoires" title="" id="198" name="Picture"/>
            <a:graphic>
              <a:graphicData uri="http://schemas.openxmlformats.org/drawingml/2006/picture">
                <pic:pic>
                  <pic:nvPicPr>
                    <pic:cNvPr descr="02_structure_menages_files/figure-docx/fig_men_hameau-1.png" id="199" name="Picture"/>
                    <pic:cNvPicPr>
                      <a:picLocks noChangeArrowheads="1" noChangeAspect="1"/>
                    </pic:cNvPicPr>
                  </pic:nvPicPr>
                  <pic:blipFill>
                    <a:blip r:embed="rId197"/>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Taille moyenne des ménages par hameau selon les observatoires</w:t>
      </w:r>
    </w:p>
    <w:bookmarkEnd w:id="200"/>
    <w:bookmarkStart w:id="205"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4"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p>
      <w:pPr>
        <w:pStyle w:val="CaptionedFigure"/>
      </w:pPr>
      <w:r>
        <w:drawing>
          <wp:inline>
            <wp:extent cx="4620126" cy="4158113"/>
            <wp:effectExtent b="0" l="0" r="0" t="0"/>
            <wp:docPr descr="Pyramide des âges des membres des ménages enquêtés par observatoire" title="" id="202" name="Picture"/>
            <a:graphic>
              <a:graphicData uri="http://schemas.openxmlformats.org/drawingml/2006/picture">
                <pic:pic>
                  <pic:nvPicPr>
                    <pic:cNvPr descr="02_structure_menages_files/figure-docx/fig_pyramide-1.png" id="203" name="Picture"/>
                    <pic:cNvPicPr>
                      <a:picLocks noChangeArrowheads="1" noChangeAspect="1"/>
                    </pic:cNvPicPr>
                  </pic:nvPicPr>
                  <pic:blipFill>
                    <a:blip r:embed="rId201"/>
                    <a:stretch>
                      <a:fillRect/>
                    </a:stretch>
                  </pic:blipFill>
                  <pic:spPr bwMode="auto">
                    <a:xfrm>
                      <a:off x="0" y="0"/>
                      <a:ext cx="4620126" cy="4158113"/>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4"/>
    <w:bookmarkEnd w:id="205"/>
    <w:bookmarkStart w:id="209"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p>
      <w:pPr>
        <w:pStyle w:val="Corpsdetexte"/>
      </w:pPr>
      <w:r>
        <w:drawing>
          <wp:inline>
            <wp:extent cx="4620126" cy="7392202"/>
            <wp:effectExtent b="0" l="0" r="0" t="0"/>
            <wp:docPr descr="" title="" id="207" name="Picture"/>
            <a:graphic>
              <a:graphicData uri="http://schemas.openxmlformats.org/drawingml/2006/picture">
                <pic:pic>
                  <pic:nvPicPr>
                    <pic:cNvPr descr="02_structure_menages_files/figure-docx/fig_origine-1.png" id="208" name="Picture"/>
                    <pic:cNvPicPr>
                      <a:picLocks noChangeArrowheads="1" noChangeAspect="1"/>
                    </pic:cNvPicPr>
                  </pic:nvPicPr>
                  <pic:blipFill>
                    <a:blip r:embed="rId206"/>
                    <a:stretch>
                      <a:fillRect/>
                    </a:stretch>
                  </pic:blipFill>
                  <pic:spPr bwMode="auto">
                    <a:xfrm>
                      <a:off x="0" y="0"/>
                      <a:ext cx="4620126" cy="7392202"/>
                    </a:xfrm>
                    <a:prstGeom prst="rect">
                      <a:avLst/>
                    </a:prstGeom>
                    <a:noFill/>
                    <a:ln w="9525">
                      <a:noFill/>
                      <a:headEnd/>
                      <a:tailEnd/>
                    </a:ln>
                  </pic:spPr>
                </pic:pic>
              </a:graphicData>
            </a:graphic>
          </wp:inline>
        </w:drawing>
      </w:r>
    </w:p>
    <w:bookmarkEnd w:id="209"/>
    <w:bookmarkStart w:id="213" w:name="raison-dinstallation"/>
    <w:p>
      <w:pPr>
        <w:pStyle w:val="Titre3"/>
      </w:pPr>
      <w:r>
        <w:t xml:space="preserve">2.1.4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p>
      <w:pPr>
        <w:pStyle w:val="Corpsdetexte"/>
      </w:pPr>
      <w:r>
        <w:drawing>
          <wp:inline>
            <wp:extent cx="4620126" cy="7392202"/>
            <wp:effectExtent b="0" l="0" r="0" t="0"/>
            <wp:docPr descr="" title="" id="211" name="Picture"/>
            <a:graphic>
              <a:graphicData uri="http://schemas.openxmlformats.org/drawingml/2006/picture">
                <pic:pic>
                  <pic:nvPicPr>
                    <pic:cNvPr descr="02_structure_menages_files/figure-docx/fig_raison-1.png" id="212" name="Picture"/>
                    <pic:cNvPicPr>
                      <a:picLocks noChangeArrowheads="1" noChangeAspect="1"/>
                    </pic:cNvPicPr>
                  </pic:nvPicPr>
                  <pic:blipFill>
                    <a:blip r:embed="rId210"/>
                    <a:stretch>
                      <a:fillRect/>
                    </a:stretch>
                  </pic:blipFill>
                  <pic:spPr bwMode="auto">
                    <a:xfrm>
                      <a:off x="0" y="0"/>
                      <a:ext cx="4620126" cy="7392202"/>
                    </a:xfrm>
                    <a:prstGeom prst="rect">
                      <a:avLst/>
                    </a:prstGeom>
                    <a:noFill/>
                    <a:ln w="9525">
                      <a:noFill/>
                      <a:headEnd/>
                      <a:tailEnd/>
                    </a:ln>
                  </pic:spPr>
                </pic:pic>
              </a:graphicData>
            </a:graphic>
          </wp:inline>
        </w:drawing>
      </w:r>
    </w:p>
    <w:bookmarkEnd w:id="213"/>
    <w:bookmarkEnd w:id="214"/>
    <w:bookmarkStart w:id="246"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18"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p>
      <w:pPr>
        <w:pStyle w:val="CaptionedFigure"/>
      </w:pPr>
      <w:r>
        <w:drawing>
          <wp:inline>
            <wp:extent cx="4620126" cy="4620126"/>
            <wp:effectExtent b="0" l="0" r="0" t="0"/>
            <wp:docPr descr="Statut matrimonial des chefs de ménage" title="" id="216" name="Picture"/>
            <a:graphic>
              <a:graphicData uri="http://schemas.openxmlformats.org/drawingml/2006/picture">
                <pic:pic>
                  <pic:nvPicPr>
                    <pic:cNvPr descr="02_structure_menages_files/figure-docx/fig_cm_statut-1.png" id="217" name="Picture"/>
                    <pic:cNvPicPr>
                      <a:picLocks noChangeArrowheads="1" noChangeAspect="1"/>
                    </pic:cNvPicPr>
                  </pic:nvPicPr>
                  <pic:blipFill>
                    <a:blip r:embed="rId215"/>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chefs de ménage</w:t>
      </w:r>
    </w:p>
    <w:bookmarkEnd w:id="218"/>
    <w:bookmarkStart w:id="227"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2" w:name="niveau-déducation-du-chef-de-ménage"/>
    <w:p>
      <w:pPr>
        <w:pStyle w:val="Titre4"/>
      </w:pPr>
      <w:r>
        <w:t xml:space="preserve">2.2.2.1 Niveau d’éducation du Chef de ménage</w:t>
      </w:r>
    </w:p>
    <w:p>
      <w:pPr>
        <w:pStyle w:val="FirstParagraph"/>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p>
      <w:pPr>
        <w:pStyle w:val="CaptionedFigure"/>
      </w:pPr>
      <w:r>
        <w:drawing>
          <wp:inline>
            <wp:extent cx="4620126" cy="7392202"/>
            <wp:effectExtent b="0" l="0" r="0" t="0"/>
            <wp:docPr descr="Niveau d’éducation des chefs de ménage" title="" id="220" name="Picture"/>
            <a:graphic>
              <a:graphicData uri="http://schemas.openxmlformats.org/drawingml/2006/picture">
                <pic:pic>
                  <pic:nvPicPr>
                    <pic:cNvPr descr="02_structure_menages_files/figure-docx/fig_cm_educ-1.png" id="221" name="Picture"/>
                    <pic:cNvPicPr>
                      <a:picLocks noChangeArrowheads="1" noChangeAspect="1"/>
                    </pic:cNvPicPr>
                  </pic:nvPicPr>
                  <pic:blipFill>
                    <a:blip r:embed="rId219"/>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chefs de ménage</w:t>
      </w:r>
    </w:p>
    <w:bookmarkEnd w:id="222"/>
    <w:bookmarkStart w:id="226"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p>
      <w:pPr>
        <w:pStyle w:val="CaptionedFigure"/>
      </w:pPr>
      <w:r>
        <w:drawing>
          <wp:inline>
            <wp:extent cx="4620126" cy="7392202"/>
            <wp:effectExtent b="0" l="0" r="0" t="0"/>
            <wp:docPr descr="Niveau d’éducation des CM par sexe" title="" id="224" name="Picture"/>
            <a:graphic>
              <a:graphicData uri="http://schemas.openxmlformats.org/drawingml/2006/picture">
                <pic:pic>
                  <pic:nvPicPr>
                    <pic:cNvPr descr="02_structure_menages_files/figure-docx/fig_cm_educ_sex-1.png" id="225" name="Picture"/>
                    <pic:cNvPicPr>
                      <a:picLocks noChangeArrowheads="1" noChangeAspect="1"/>
                    </pic:cNvPicPr>
                  </pic:nvPicPr>
                  <pic:blipFill>
                    <a:blip r:embed="rId22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CM par sexe</w:t>
      </w:r>
    </w:p>
    <w:bookmarkEnd w:id="226"/>
    <w:bookmarkEnd w:id="227"/>
    <w:bookmarkStart w:id="236"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1"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A Marovoay, 74 % des CM savent lire aisément.</w:t>
      </w:r>
      <w:r>
        <w:t xml:space="preserve"> </w:t>
      </w:r>
      <w:r>
        <w:t xml:space="preserve">Les niveaux de lecture et d’écriture varient sensiblement selon les localités et le sexe.</w:t>
      </w:r>
      <w:r>
        <w:t xml:space="preserve"> </w:t>
      </w:r>
      <w:r>
        <w:t xml:space="preserve">L’écart entre hommes et femmes en matière d’alphabétisation traduit un accès inégal à l’éducation qui se répercute sur la capacité des ménages féminins à accéder à l’information et aux services.</w:t>
      </w:r>
    </w:p>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p>
      <w:pPr>
        <w:pStyle w:val="CaptionedFigure"/>
      </w:pPr>
      <w:r>
        <w:drawing>
          <wp:inline>
            <wp:extent cx="4620126" cy="7392202"/>
            <wp:effectExtent b="0" l="0" r="0" t="0"/>
            <wp:docPr descr="Aptitude à la lecture des CM selon le sexe" title="" id="229" name="Picture"/>
            <a:graphic>
              <a:graphicData uri="http://schemas.openxmlformats.org/drawingml/2006/picture">
                <pic:pic>
                  <pic:nvPicPr>
                    <pic:cNvPr descr="02_structure_menages_files/figure-docx/fig_cm_read_sex-1.png" id="230" name="Picture"/>
                    <pic:cNvPicPr>
                      <a:picLocks noChangeArrowheads="1" noChangeAspect="1"/>
                    </pic:cNvPicPr>
                  </pic:nvPicPr>
                  <pic:blipFill>
                    <a:blip r:embed="rId22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1"/>
    <w:bookmarkStart w:id="235"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p>
      <w:pPr>
        <w:pStyle w:val="CaptionedFigure"/>
      </w:pPr>
      <w:r>
        <w:drawing>
          <wp:inline>
            <wp:extent cx="4620126" cy="7392202"/>
            <wp:effectExtent b="0" l="0" r="0" t="0"/>
            <wp:docPr descr="Aptitude à l’écriture des CM selon le sexe" title="" id="233" name="Picture"/>
            <a:graphic>
              <a:graphicData uri="http://schemas.openxmlformats.org/drawingml/2006/picture">
                <pic:pic>
                  <pic:nvPicPr>
                    <pic:cNvPr descr="02_structure_menages_files/figure-docx/fig_cm_write_sex-1.png" id="234" name="Picture"/>
                    <pic:cNvPicPr>
                      <a:picLocks noChangeArrowheads="1" noChangeAspect="1"/>
                    </pic:cNvPicPr>
                  </pic:nvPicPr>
                  <pic:blipFill>
                    <a:blip r:embed="rId232"/>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35"/>
    <w:bookmarkEnd w:id="236"/>
    <w:bookmarkStart w:id="245"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40"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5544151"/>
                  <wp:effectExtent b="0" l="0" r="0" t="0"/>
                  <wp:docPr descr="" title="" id="238" name="Picture"/>
                  <a:graphic>
                    <a:graphicData uri="http://schemas.openxmlformats.org/drawingml/2006/picture">
                      <pic:pic>
                        <pic:nvPicPr>
                          <pic:cNvPr descr="02_structure_menages_files/figure-docx/fig-cm-act-1.png" id="239" name="Picture"/>
                          <pic:cNvPicPr>
                            <a:picLocks noChangeArrowheads="1" noChangeAspect="1"/>
                          </pic:cNvPicPr>
                        </pic:nvPicPr>
                        <pic:blipFill>
                          <a:blip r:embed="rId237"/>
                          <a:stretch>
                            <a:fillRect/>
                          </a:stretch>
                        </pic:blipFill>
                        <pic:spPr bwMode="auto">
                          <a:xfrm>
                            <a:off x="0" y="0"/>
                            <a:ext cx="4620126" cy="5544151"/>
                          </a:xfrm>
                          <a:prstGeom prst="rect">
                            <a:avLst/>
                          </a:prstGeom>
                          <a:noFill/>
                          <a:ln w="9525">
                            <a:noFill/>
                            <a:headEnd/>
                            <a:tailEnd/>
                          </a:ln>
                        </pic:spPr>
                      </pic:pic>
                    </a:graphicData>
                  </a:graphic>
                </wp:inline>
              </w:drawing>
            </w:r>
          </w:p>
          <w:bookmarkEnd w:id="240"/>
        </w:tc>
      </w:tr>
    </w:tbl>
    <w:bookmarkStart w:id="244"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p>
      <w:pPr>
        <w:pStyle w:val="CaptionedFigure"/>
      </w:pPr>
      <w:r>
        <w:drawing>
          <wp:inline>
            <wp:extent cx="4620126" cy="4158113"/>
            <wp:effectExtent b="0" l="0" r="0" t="0"/>
            <wp:docPr descr="Activités principales des CM par observatoire et sexe" title="" id="242" name="Picture"/>
            <a:graphic>
              <a:graphicData uri="http://schemas.openxmlformats.org/drawingml/2006/picture">
                <pic:pic>
                  <pic:nvPicPr>
                    <pic:cNvPr descr="02_structure_menages_files/figure-docx/fig_cm_act_sex-1.png" id="243" name="Picture"/>
                    <pic:cNvPicPr>
                      <a:picLocks noChangeArrowheads="1" noChangeAspect="1"/>
                    </pic:cNvPicPr>
                  </pic:nvPicPr>
                  <pic:blipFill>
                    <a:blip r:embed="rId241"/>
                    <a:stretch>
                      <a:fillRect/>
                    </a:stretch>
                  </pic:blipFill>
                  <pic:spPr bwMode="auto">
                    <a:xfrm>
                      <a:off x="0" y="0"/>
                      <a:ext cx="4620126" cy="4158113"/>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44"/>
    <w:bookmarkEnd w:id="245"/>
    <w:bookmarkEnd w:id="246"/>
    <w:bookmarkStart w:id="286"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50"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p>
      <w:pPr>
        <w:pStyle w:val="CaptionedFigure"/>
      </w:pPr>
      <w:r>
        <w:drawing>
          <wp:inline>
            <wp:extent cx="4620126" cy="4620126"/>
            <wp:effectExtent b="0" l="0" r="0" t="0"/>
            <wp:docPr descr="Statut matrimonial des autres membres (12 ans et plus)" title="" id="248" name="Picture"/>
            <a:graphic>
              <a:graphicData uri="http://schemas.openxmlformats.org/drawingml/2006/picture">
                <pic:pic>
                  <pic:nvPicPr>
                    <pic:cNvPr descr="02_structure_menages_files/figure-docx/fig_other_statut-1.png" id="249" name="Picture"/>
                    <pic:cNvPicPr>
                      <a:picLocks noChangeArrowheads="1" noChangeAspect="1"/>
                    </pic:cNvPicPr>
                  </pic:nvPicPr>
                  <pic:blipFill>
                    <a:blip r:embed="rId247"/>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autres membres (12 ans et plus)</w:t>
      </w:r>
    </w:p>
    <w:bookmarkEnd w:id="250"/>
    <w:bookmarkStart w:id="26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54"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p>
      <w:pPr>
        <w:pStyle w:val="CaptionedFigure"/>
      </w:pPr>
      <w:r>
        <w:drawing>
          <wp:inline>
            <wp:extent cx="4620126" cy="7392202"/>
            <wp:effectExtent b="0" l="0" r="0" t="0"/>
            <wp:docPr descr="Niveau d’éducation des autres membres" title="" id="252" name="Picture"/>
            <a:graphic>
              <a:graphicData uri="http://schemas.openxmlformats.org/drawingml/2006/picture">
                <pic:pic>
                  <pic:nvPicPr>
                    <pic:cNvPr descr="02_structure_menages_files/figure-docx/fig_other_educ-1.png" id="253" name="Picture"/>
                    <pic:cNvPicPr>
                      <a:picLocks noChangeArrowheads="1" noChangeAspect="1"/>
                    </pic:cNvPicPr>
                  </pic:nvPicPr>
                  <pic:blipFill>
                    <a:blip r:embed="rId251"/>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autres membres</w:t>
      </w:r>
    </w:p>
    <w:bookmarkEnd w:id="254"/>
    <w:bookmarkStart w:id="258" w:name="X5230d9ccd8aefad0269f3712b7f434c0dfba0a8"/>
    <w:p>
      <w:pPr>
        <w:pStyle w:val="Titre4"/>
      </w:pPr>
      <w:r>
        <w:t xml:space="preserve">2.3.2.2 Niveau d’éducation des autres membres par sexe</w:t>
      </w:r>
    </w:p>
    <w:p>
      <w:pPr>
        <w:pStyle w:val="FirstParagraph"/>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p>
      <w:pPr>
        <w:pStyle w:val="CaptionedFigure"/>
      </w:pPr>
      <w:r>
        <w:drawing>
          <wp:inline>
            <wp:extent cx="4620126" cy="7392202"/>
            <wp:effectExtent b="0" l="0" r="0" t="0"/>
            <wp:docPr descr="Niveau d’éducation des autres membres par sexe" title="" id="256" name="Picture"/>
            <a:graphic>
              <a:graphicData uri="http://schemas.openxmlformats.org/drawingml/2006/picture">
                <pic:pic>
                  <pic:nvPicPr>
                    <pic:cNvPr descr="02_structure_menages_files/figure-docx/fig_other_educ_sex-1.png" id="257" name="Picture"/>
                    <pic:cNvPicPr>
                      <a:picLocks noChangeArrowheads="1" noChangeAspect="1"/>
                    </pic:cNvPicPr>
                  </pic:nvPicPr>
                  <pic:blipFill>
                    <a:blip r:embed="rId255"/>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58"/>
    <w:bookmarkStart w:id="267"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62" w:name="savoir-lire-1"/>
    <w:p>
      <w:pPr>
        <w:pStyle w:val="Titre5"/>
      </w:pPr>
      <w:r>
        <w:t xml:space="preserve">2.3.2.3.1 Savoir lire</w:t>
      </w:r>
    </w:p>
    <w:p>
      <w:pPr>
        <w:pStyle w:val="FirstParagraph"/>
      </w:pPr>
      <w:r>
        <w:rPr>
          <w:b/>
          <w:bCs/>
        </w:rPr>
        <w:t xml:space="preserve">FIGURE ET INTERPRETATION POUR</w:t>
      </w:r>
      <w:r>
        <w:rPr>
          <w:b/>
          <w:bCs/>
        </w:rPr>
        <w:t xml:space="preserve"> </w:t>
      </w:r>
      <w:r>
        <w:rPr>
          <w:b/>
          <w:bCs/>
        </w:rPr>
        <w:t xml:space="preserve">“APTITUDE A LA LECTURE DES AUTRES MEMBRES”</w:t>
      </w:r>
    </w:p>
    <w:p>
      <w:pPr>
        <w:pStyle w:val="Corpsdetexte"/>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p>
      <w:pPr>
        <w:pStyle w:val="CaptionedFigure"/>
      </w:pPr>
      <w:r>
        <w:drawing>
          <wp:inline>
            <wp:extent cx="4620126" cy="7392202"/>
            <wp:effectExtent b="0" l="0" r="0" t="0"/>
            <wp:docPr descr="Aptitude à la lecture des autres membres selon le sexe" title="" id="260" name="Picture"/>
            <a:graphic>
              <a:graphicData uri="http://schemas.openxmlformats.org/drawingml/2006/picture">
                <pic:pic>
                  <pic:nvPicPr>
                    <pic:cNvPr descr="02_structure_menages_files/figure-docx/fig_other_read_sex-1.png" id="261" name="Picture"/>
                    <pic:cNvPicPr>
                      <a:picLocks noChangeArrowheads="1" noChangeAspect="1"/>
                    </pic:cNvPicPr>
                  </pic:nvPicPr>
                  <pic:blipFill>
                    <a:blip r:embed="rId259"/>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62"/>
    <w:bookmarkStart w:id="266" w:name="savoir-écrire-1"/>
    <w:p>
      <w:pPr>
        <w:pStyle w:val="Titre5"/>
      </w:pPr>
      <w:r>
        <w:t xml:space="preserve">2.3.2.3.2 Savoir écrire</w:t>
      </w:r>
    </w:p>
    <w:p>
      <w:pPr>
        <w:pStyle w:val="FirstParagraph"/>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p>
      <w:pPr>
        <w:pStyle w:val="CaptionedFigure"/>
      </w:pPr>
      <w:r>
        <w:drawing>
          <wp:inline>
            <wp:extent cx="4620126" cy="7392202"/>
            <wp:effectExtent b="0" l="0" r="0" t="0"/>
            <wp:docPr descr="Aptitude à l’écriture des autres membres selon le sexe" title="" id="264" name="Picture"/>
            <a:graphic>
              <a:graphicData uri="http://schemas.openxmlformats.org/drawingml/2006/picture">
                <pic:pic>
                  <pic:nvPicPr>
                    <pic:cNvPr descr="02_structure_menages_files/figure-docx/fig_other_write_sex-1.png" id="265" name="Picture"/>
                    <pic:cNvPicPr>
                      <a:picLocks noChangeArrowheads="1" noChangeAspect="1"/>
                    </pic:cNvPicPr>
                  </pic:nvPicPr>
                  <pic:blipFill>
                    <a:blip r:embed="rId26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66"/>
    <w:bookmarkEnd w:id="267"/>
    <w:bookmarkEnd w:id="268"/>
    <w:bookmarkStart w:id="275"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69" w:name="X6d9aa1dd44c1ac9e432add0b434b8dafb589d26"/>
    <w:p>
      <w:pPr>
        <w:pStyle w:val="Titre4"/>
      </w:pPr>
      <w:r>
        <w:t xml:space="preserve">2.3.3.1 Taux de scolarisation des enfants de 6 à 14 ans</w:t>
      </w:r>
    </w:p>
    <w:p>
      <w:pPr>
        <w:pStyle w:val="FirstParagraph"/>
      </w:pPr>
      <w:r>
        <w:t xml:space="preserve">Dans Marovoay, le taux de scolarisation s’élève à 81.7 %.</w:t>
      </w:r>
    </w:p>
    <w:p>
      <w:pPr>
        <w:pStyle w:val="Corpsdetexte"/>
      </w:pPr>
      <w:r>
        <w:t xml:space="preserve">La progression scolaire suit globalement la structure attendue par âge. Entre 3 et 5 ans, les enfants sont majoritairement en préscolaire, avec une part déjà entrée en CP1. Chez les 6-10 ans, les classes du primaire dominent nettement, en particulier le CP2, le CE et le CM1-CM2. Entre 11 et 14 ans, la répartition se déplace vers la fin du primaire et le premier cycle du secondaire, surtout la 6e et la 5e. Enfin, les 15-17 ans se concentrent davantage dans les classes du secondaire, tandis que les niveaux supérieurs n’apparaissent que parmi les 18-25 ans.</w:t>
      </w:r>
    </w:p>
    <w:bookmarkEnd w:id="269"/>
    <w:bookmarkStart w:id="274"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7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410857"/>
                  <wp:effectExtent b="0" l="0" r="0" t="0"/>
                  <wp:docPr descr="" title="" id="271" name="Picture"/>
                  <a:graphic>
                    <a:graphicData uri="http://schemas.openxmlformats.org/drawingml/2006/picture">
                      <pic:pic>
                        <pic:nvPicPr>
                          <pic:cNvPr descr="02_structure_menages_files/figure-docx/fig-raisons-non-scol-1.png" id="272" name="Picture"/>
                          <pic:cNvPicPr>
                            <a:picLocks noChangeArrowheads="1" noChangeAspect="1"/>
                          </pic:cNvPicPr>
                        </pic:nvPicPr>
                        <pic:blipFill>
                          <a:blip r:embed="rId270"/>
                          <a:stretch>
                            <a:fillRect/>
                          </a:stretch>
                        </pic:blipFill>
                        <pic:spPr bwMode="auto">
                          <a:xfrm>
                            <a:off x="0" y="0"/>
                            <a:ext cx="5969000" cy="3410857"/>
                          </a:xfrm>
                          <a:prstGeom prst="rect">
                            <a:avLst/>
                          </a:prstGeom>
                          <a:noFill/>
                          <a:ln w="9525">
                            <a:noFill/>
                            <a:headEnd/>
                            <a:tailEnd/>
                          </a:ln>
                        </pic:spPr>
                      </pic:pic>
                    </a:graphicData>
                  </a:graphic>
                </wp:inline>
              </w:drawing>
            </w:r>
          </w:p>
          <w:bookmarkEnd w:id="273"/>
        </w:tc>
      </w:tr>
    </w:tbl>
    <w:bookmarkEnd w:id="274"/>
    <w:bookmarkEnd w:id="275"/>
    <w:bookmarkStart w:id="285"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280" w:name="fig-other-act"/>
          <w:p>
            <w:pPr>
              <w:jc w:val="center"/>
            </w:pPr>
            <w:pPr>
              <w:jc w:val="left"/>
              <w:spacing w:before="200"/>
              <w:pStyle w:val="ImageCaption"/>
            </w:pPr>
            <w:r>
              <w:t xml:space="preserve">Figure 2.3</w:t>
            </w:r>
          </w:p>
          <w:p>
            <w:pPr>
              <w:pStyle w:val="Compact"/>
              <w:jc w:val="center"/>
            </w:pPr>
            <w:bookmarkStart w:id="279" w:name="fig-other-act"/>
            <w:r>
              <w:drawing>
                <wp:inline>
                  <wp:extent cx="4620126" cy="3696101"/>
                  <wp:effectExtent b="0" l="0" r="0" t="0"/>
                  <wp:docPr descr="" title="" id="277" name="Picture"/>
                  <a:graphic>
                    <a:graphicData uri="http://schemas.openxmlformats.org/drawingml/2006/picture">
                      <pic:pic>
                        <pic:nvPicPr>
                          <pic:cNvPr descr="02_structure_menages_files/figure-docx/fig-other-act-1.png" id="278" name="Picture"/>
                          <pic:cNvPicPr>
                            <a:picLocks noChangeArrowheads="1" noChangeAspect="1"/>
                          </pic:cNvPicPr>
                        </pic:nvPicPr>
                        <pic:blipFill>
                          <a:blip r:embed="rId276"/>
                          <a:stretch>
                            <a:fillRect/>
                          </a:stretch>
                        </pic:blipFill>
                        <pic:spPr bwMode="auto">
                          <a:xfrm>
                            <a:off x="0" y="0"/>
                            <a:ext cx="4620126" cy="3696101"/>
                          </a:xfrm>
                          <a:prstGeom prst="rect">
                            <a:avLst/>
                          </a:prstGeom>
                          <a:noFill/>
                          <a:ln w="9525">
                            <a:noFill/>
                            <a:headEnd/>
                            <a:tailEnd/>
                          </a:ln>
                        </pic:spPr>
                      </pic:pic>
                    </a:graphicData>
                  </a:graphic>
                </wp:inline>
              </w:drawing>
            </w:r>
            <w:bookmarkEnd w:id="279"/>
          </w:p>
          <w:bookmarkEnd w:id="280"/>
        </w:tc>
      </w:tr>
    </w:tbl>
    <w:bookmarkStart w:id="284" w:name="X46ff1d61f791f42f47b783b920cfc68895dbbf2"/>
    <w:p>
      <w:pPr>
        <w:pStyle w:val="Titre4"/>
      </w:pPr>
      <w:r>
        <w:t xml:space="preserve">2.3.4.1 Activités principales des autres membres par sexe</w:t>
      </w:r>
    </w:p>
    <w:p>
      <w:pPr>
        <w:pStyle w:val="FirstParagraph"/>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p>
      <w:pPr>
        <w:pStyle w:val="Corpsdetexte"/>
      </w:pPr>
      <w:r>
        <w:drawing>
          <wp:inline>
            <wp:extent cx="4620126" cy="4620126"/>
            <wp:effectExtent b="0" l="0" r="0" t="0"/>
            <wp:docPr descr="" title="" id="282" name="Picture"/>
            <a:graphic>
              <a:graphicData uri="http://schemas.openxmlformats.org/drawingml/2006/picture">
                <pic:pic>
                  <pic:nvPicPr>
                    <pic:cNvPr descr="02_structure_menages_files/figure-docx/fig_other_act_sex-1.png" id="283" name="Picture"/>
                    <pic:cNvPicPr>
                      <a:picLocks noChangeArrowheads="1" noChangeAspect="1"/>
                    </pic:cNvPicPr>
                  </pic:nvPicPr>
                  <pic:blipFill>
                    <a:blip r:embed="rId281"/>
                    <a:stretch>
                      <a:fillRect/>
                    </a:stretch>
                  </pic:blipFill>
                  <pic:spPr bwMode="auto">
                    <a:xfrm>
                      <a:off x="0" y="0"/>
                      <a:ext cx="4620126" cy="4620126"/>
                    </a:xfrm>
                    <a:prstGeom prst="rect">
                      <a:avLst/>
                    </a:prstGeom>
                    <a:noFill/>
                    <a:ln w="9525">
                      <a:noFill/>
                      <a:headEnd/>
                      <a:tailEnd/>
                    </a:ln>
                  </pic:spPr>
                </pic:pic>
              </a:graphicData>
            </a:graphic>
          </wp:inline>
        </w:drawing>
      </w:r>
    </w:p>
    <w:bookmarkEnd w:id="284"/>
    <w:bookmarkEnd w:id="285"/>
    <w:bookmarkEnd w:id="286"/>
    <w:bookmarkEnd w:id="287"/>
    <w:bookmarkStart w:id="354"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c:\PROGRA~1\Positron\RESOUR~1\app\quarto\share\formats\docx\warning.png" id="289"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16"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29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293"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2295769"/>
                  <wp:effectExtent b="0" l="0" r="0" t="0"/>
                  <wp:docPr descr="" title="" id="291" name="Picture"/>
                  <a:graphic>
                    <a:graphicData uri="http://schemas.openxmlformats.org/drawingml/2006/picture">
                      <pic:pic>
                        <pic:nvPicPr>
                          <pic:cNvPr descr="03_habitat_niveau_de_vie_files/figure-docx/fig-statut-logement-1.png" id="292" name="Picture"/>
                          <pic:cNvPicPr>
                            <a:picLocks noChangeArrowheads="1" noChangeAspect="1"/>
                          </pic:cNvPicPr>
                        </pic:nvPicPr>
                        <pic:blipFill>
                          <a:blip r:embed="rId290"/>
                          <a:stretch>
                            <a:fillRect/>
                          </a:stretch>
                        </pic:blipFill>
                        <pic:spPr bwMode="auto">
                          <a:xfrm>
                            <a:off x="0" y="0"/>
                            <a:ext cx="5969000" cy="2295769"/>
                          </a:xfrm>
                          <a:prstGeom prst="rect">
                            <a:avLst/>
                          </a:prstGeom>
                          <a:noFill/>
                          <a:ln w="9525">
                            <a:noFill/>
                            <a:headEnd/>
                            <a:tailEnd/>
                          </a:ln>
                        </pic:spPr>
                      </pic:pic>
                    </a:graphicData>
                  </a:graphic>
                </wp:inline>
              </w:drawing>
            </w:r>
          </w:p>
          <w:bookmarkEnd w:id="293"/>
        </w:tc>
      </w:tr>
    </w:tbl>
    <w:bookmarkEnd w:id="294"/>
    <w:bookmarkStart w:id="29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298" w:name="fig-latrine"/>
          <w:p>
            <w:pPr>
              <w:jc w:val="center"/>
            </w:pPr>
            <w:pPr>
              <w:jc w:val="left"/>
              <w:spacing w:before="200"/>
              <w:pStyle w:val="ImageCaption"/>
            </w:pPr>
            <w:r>
              <w:t xml:space="preserve">Figure 3.2: Types de latrine</w:t>
            </w:r>
          </w:p>
          <w:p>
            <w:pPr>
              <w:pStyle w:val="Compact"/>
              <w:jc w:val="center"/>
            </w:pPr>
            <w:r>
              <w:drawing>
                <wp:inline>
                  <wp:extent cx="5969000" cy="2754923"/>
                  <wp:effectExtent b="0" l="0" r="0" t="0"/>
                  <wp:docPr descr="" title="" id="296" name="Picture"/>
                  <a:graphic>
                    <a:graphicData uri="http://schemas.openxmlformats.org/drawingml/2006/picture">
                      <pic:pic>
                        <pic:nvPicPr>
                          <pic:cNvPr descr="03_habitat_niveau_de_vie_files/figure-docx/fig-latrine-1.png" id="297" name="Picture"/>
                          <pic:cNvPicPr>
                            <a:picLocks noChangeArrowheads="1" noChangeAspect="1"/>
                          </pic:cNvPicPr>
                        </pic:nvPicPr>
                        <pic:blipFill>
                          <a:blip r:embed="rId295"/>
                          <a:stretch>
                            <a:fillRect/>
                          </a:stretch>
                        </pic:blipFill>
                        <pic:spPr bwMode="auto">
                          <a:xfrm>
                            <a:off x="0" y="0"/>
                            <a:ext cx="5969000" cy="2754923"/>
                          </a:xfrm>
                          <a:prstGeom prst="rect">
                            <a:avLst/>
                          </a:prstGeom>
                          <a:noFill/>
                          <a:ln w="9525">
                            <a:noFill/>
                            <a:headEnd/>
                            <a:tailEnd/>
                          </a:ln>
                        </pic:spPr>
                      </pic:pic>
                    </a:graphicData>
                  </a:graphic>
                </wp:inline>
              </w:drawing>
            </w:r>
          </w:p>
          <w:bookmarkEnd w:id="298"/>
        </w:tc>
      </w:tr>
    </w:tbl>
    <w:bookmarkEnd w:id="299"/>
    <w:bookmarkStart w:id="304"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303" w:name="fig-eau"/>
          <w:p>
            <w:pPr>
              <w:jc w:val="center"/>
            </w:pPr>
            <w:pPr>
              <w:jc w:val="left"/>
              <w:spacing w:before="200"/>
              <w:pStyle w:val="ImageCaption"/>
            </w:pPr>
            <w:r>
              <w:t xml:space="preserve">Figure 3.3: Mode d’approvisionnement en eau</w:t>
            </w:r>
          </w:p>
          <w:p>
            <w:pPr>
              <w:pStyle w:val="Compact"/>
              <w:jc w:val="center"/>
            </w:pPr>
            <w:r>
              <w:drawing>
                <wp:inline>
                  <wp:extent cx="5969000" cy="3673230"/>
                  <wp:effectExtent b="0" l="0" r="0" t="0"/>
                  <wp:docPr descr="" title="" id="301" name="Picture"/>
                  <a:graphic>
                    <a:graphicData uri="http://schemas.openxmlformats.org/drawingml/2006/picture">
                      <pic:pic>
                        <pic:nvPicPr>
                          <pic:cNvPr descr="03_habitat_niveau_de_vie_files/figure-docx/fig-eau-1.png" id="302" name="Picture"/>
                          <pic:cNvPicPr>
                            <a:picLocks noChangeArrowheads="1" noChangeAspect="1"/>
                          </pic:cNvPicPr>
                        </pic:nvPicPr>
                        <pic:blipFill>
                          <a:blip r:embed="rId300"/>
                          <a:stretch>
                            <a:fillRect/>
                          </a:stretch>
                        </pic:blipFill>
                        <pic:spPr bwMode="auto">
                          <a:xfrm>
                            <a:off x="0" y="0"/>
                            <a:ext cx="5969000" cy="3673230"/>
                          </a:xfrm>
                          <a:prstGeom prst="rect">
                            <a:avLst/>
                          </a:prstGeom>
                          <a:noFill/>
                          <a:ln w="9525">
                            <a:noFill/>
                            <a:headEnd/>
                            <a:tailEnd/>
                          </a:ln>
                        </pic:spPr>
                      </pic:pic>
                    </a:graphicData>
                  </a:graphic>
                </wp:inline>
              </w:drawing>
            </w:r>
          </w:p>
          <w:bookmarkEnd w:id="303"/>
        </w:tc>
      </w:tr>
    </w:tbl>
    <w:bookmarkEnd w:id="304"/>
    <w:bookmarkStart w:id="309"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08" w:name="fig-eclairage"/>
          <w:p>
            <w:pPr>
              <w:jc w:val="center"/>
            </w:pPr>
            <w:pPr>
              <w:jc w:val="left"/>
              <w:spacing w:before="200"/>
              <w:pStyle w:val="ImageCaption"/>
            </w:pPr>
            <w:r>
              <w:t xml:space="preserve">Figure 3.4: Modes d’éclairage</w:t>
            </w:r>
          </w:p>
          <w:p>
            <w:pPr>
              <w:pStyle w:val="Compact"/>
              <w:jc w:val="center"/>
            </w:pPr>
            <w:r>
              <w:drawing>
                <wp:inline>
                  <wp:extent cx="5969000" cy="3357562"/>
                  <wp:effectExtent b="0" l="0" r="0" t="0"/>
                  <wp:docPr descr="" title="" id="306" name="Picture"/>
                  <a:graphic>
                    <a:graphicData uri="http://schemas.openxmlformats.org/drawingml/2006/picture">
                      <pic:pic>
                        <pic:nvPicPr>
                          <pic:cNvPr descr="03_habitat_niveau_de_vie_files/figure-docx/fig-eclairage-1.png" id="307" name="Picture"/>
                          <pic:cNvPicPr>
                            <a:picLocks noChangeArrowheads="1" noChangeAspect="1"/>
                          </pic:cNvPicPr>
                        </pic:nvPicPr>
                        <pic:blipFill>
                          <a:blip r:embed="rId305"/>
                          <a:stretch>
                            <a:fillRect/>
                          </a:stretch>
                        </pic:blipFill>
                        <pic:spPr bwMode="auto">
                          <a:xfrm>
                            <a:off x="0" y="0"/>
                            <a:ext cx="5969000" cy="3357562"/>
                          </a:xfrm>
                          <a:prstGeom prst="rect">
                            <a:avLst/>
                          </a:prstGeom>
                          <a:noFill/>
                          <a:ln w="9525">
                            <a:noFill/>
                            <a:headEnd/>
                            <a:tailEnd/>
                          </a:ln>
                        </pic:spPr>
                      </pic:pic>
                    </a:graphicData>
                  </a:graphic>
                </wp:inline>
              </w:drawing>
            </w:r>
          </w:p>
          <w:bookmarkEnd w:id="308"/>
        </w:tc>
      </w:tr>
    </w:tbl>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bookmarkEnd w:id="309"/>
    <w:bookmarkStart w:id="315"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14" w:name="fig-cooking"/>
          <w:p>
            <w:pPr>
              <w:jc w:val="center"/>
            </w:pPr>
            <w:pPr>
              <w:jc w:val="left"/>
              <w:spacing w:before="200"/>
              <w:pStyle w:val="ImageCaption"/>
            </w:pPr>
            <w:r>
              <w:t xml:space="preserve">Figure 3.5</w:t>
            </w:r>
          </w:p>
          <w:p>
            <w:pPr>
              <w:pStyle w:val="Compact"/>
              <w:jc w:val="center"/>
            </w:pPr>
            <w:bookmarkStart w:id="313" w:name="fig-cooking"/>
            <w:r>
              <w:drawing>
                <wp:inline>
                  <wp:extent cx="4620126" cy="2310063"/>
                  <wp:effectExtent b="0" l="0" r="0" t="0"/>
                  <wp:docPr descr="" title="" id="311" name="Picture"/>
                  <a:graphic>
                    <a:graphicData uri="http://schemas.openxmlformats.org/drawingml/2006/picture">
                      <pic:pic>
                        <pic:nvPicPr>
                          <pic:cNvPr descr="03_habitat_niveau_de_vie_files/figure-docx/fig-cooking-1.png" id="312" name="Picture"/>
                          <pic:cNvPicPr>
                            <a:picLocks noChangeArrowheads="1" noChangeAspect="1"/>
                          </pic:cNvPicPr>
                        </pic:nvPicPr>
                        <pic:blipFill>
                          <a:blip r:embed="rId310"/>
                          <a:stretch>
                            <a:fillRect/>
                          </a:stretch>
                        </pic:blipFill>
                        <pic:spPr bwMode="auto">
                          <a:xfrm>
                            <a:off x="0" y="0"/>
                            <a:ext cx="4620126" cy="2310063"/>
                          </a:xfrm>
                          <a:prstGeom prst="rect">
                            <a:avLst/>
                          </a:prstGeom>
                          <a:noFill/>
                          <a:ln w="9525">
                            <a:noFill/>
                            <a:headEnd/>
                            <a:tailEnd/>
                          </a:ln>
                        </pic:spPr>
                      </pic:pic>
                    </a:graphicData>
                  </a:graphic>
                </wp:inline>
              </w:drawing>
            </w:r>
            <w:bookmarkEnd w:id="313"/>
          </w:p>
          <w:bookmarkEnd w:id="314"/>
        </w:tc>
      </w:tr>
    </w:tbl>
    <w:bookmarkEnd w:id="315"/>
    <w:bookmarkEnd w:id="316"/>
    <w:bookmarkStart w:id="335"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22"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21" w:name="fig-comfort"/>
          <w:p>
            <w:pPr>
              <w:jc w:val="center"/>
            </w:pPr>
            <w:pPr>
              <w:jc w:val="left"/>
              <w:spacing w:before="200"/>
              <w:pStyle w:val="ImageCaption"/>
            </w:pPr>
            <w:r>
              <w:t xml:space="preserve">Figure 3.6</w:t>
            </w:r>
          </w:p>
          <w:p>
            <w:pPr>
              <w:pStyle w:val="Compact"/>
              <w:jc w:val="center"/>
            </w:pPr>
            <w:bookmarkStart w:id="320" w:name="fig-comfort"/>
            <w:r>
              <w:drawing>
                <wp:inline>
                  <wp:extent cx="4620126" cy="4620126"/>
                  <wp:effectExtent b="0" l="0" r="0" t="0"/>
                  <wp:docPr descr="" title="" id="318" name="Picture"/>
                  <a:graphic>
                    <a:graphicData uri="http://schemas.openxmlformats.org/drawingml/2006/picture">
                      <pic:pic>
                        <pic:nvPicPr>
                          <pic:cNvPr descr="03_habitat_niveau_de_vie_files/figure-docx/fig-comfort-1.png" id="319" name="Picture"/>
                          <pic:cNvPicPr>
                            <a:picLocks noChangeArrowheads="1" noChangeAspect="1"/>
                          </pic:cNvPicPr>
                        </pic:nvPicPr>
                        <pic:blipFill>
                          <a:blip r:embed="rId317"/>
                          <a:stretch>
                            <a:fillRect/>
                          </a:stretch>
                        </pic:blipFill>
                        <pic:spPr bwMode="auto">
                          <a:xfrm>
                            <a:off x="0" y="0"/>
                            <a:ext cx="4620126" cy="4620126"/>
                          </a:xfrm>
                          <a:prstGeom prst="rect">
                            <a:avLst/>
                          </a:prstGeom>
                          <a:noFill/>
                          <a:ln w="9525">
                            <a:noFill/>
                            <a:headEnd/>
                            <a:tailEnd/>
                          </a:ln>
                        </pic:spPr>
                      </pic:pic>
                    </a:graphicData>
                  </a:graphic>
                </wp:inline>
              </w:drawing>
            </w:r>
            <w:bookmarkEnd w:id="320"/>
          </w:p>
          <w:bookmarkEnd w:id="321"/>
        </w:tc>
      </w:tr>
    </w:tbl>
    <w:bookmarkEnd w:id="322"/>
    <w:bookmarkStart w:id="328"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27" w:name="fig-table-equip"/>
          <w:p>
            <w:pPr>
              <w:jc w:val="center"/>
            </w:pPr>
            <w:pPr>
              <w:jc w:val="left"/>
              <w:spacing w:before="200"/>
              <w:pStyle w:val="ImageCaption"/>
            </w:pPr>
            <w:r>
              <w:t xml:space="preserve">Figure 3.7</w:t>
            </w:r>
          </w:p>
          <w:p>
            <w:pPr>
              <w:pStyle w:val="Compact"/>
              <w:jc w:val="center"/>
            </w:pPr>
            <w:bookmarkStart w:id="326" w:name="fig-table-equip"/>
            <w:r>
              <w:drawing>
                <wp:inline>
                  <wp:extent cx="4620126" cy="5544151"/>
                  <wp:effectExtent b="0" l="0" r="0" t="0"/>
                  <wp:docPr descr="" title="" id="324" name="Picture"/>
                  <a:graphic>
                    <a:graphicData uri="http://schemas.openxmlformats.org/drawingml/2006/picture">
                      <pic:pic>
                        <pic:nvPicPr>
                          <pic:cNvPr descr="03_habitat_niveau_de_vie_files/figure-docx/fig-table-equip-1.png" id="325" name="Picture"/>
                          <pic:cNvPicPr>
                            <a:picLocks noChangeArrowheads="1" noChangeAspect="1"/>
                          </pic:cNvPicPr>
                        </pic:nvPicPr>
                        <pic:blipFill>
                          <a:blip r:embed="rId323"/>
                          <a:stretch>
                            <a:fillRect/>
                          </a:stretch>
                        </pic:blipFill>
                        <pic:spPr bwMode="auto">
                          <a:xfrm>
                            <a:off x="0" y="0"/>
                            <a:ext cx="4620126" cy="5544151"/>
                          </a:xfrm>
                          <a:prstGeom prst="rect">
                            <a:avLst/>
                          </a:prstGeom>
                          <a:noFill/>
                          <a:ln w="9525">
                            <a:noFill/>
                            <a:headEnd/>
                            <a:tailEnd/>
                          </a:ln>
                        </pic:spPr>
                      </pic:pic>
                    </a:graphicData>
                  </a:graphic>
                </wp:inline>
              </w:drawing>
            </w:r>
            <w:bookmarkEnd w:id="326"/>
          </w:p>
          <w:bookmarkEnd w:id="327"/>
        </w:tc>
      </w:tr>
    </w:tbl>
    <w:bookmarkEnd w:id="328"/>
    <w:bookmarkStart w:id="334"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33" w:name="fig-comm"/>
          <w:p>
            <w:pPr>
              <w:jc w:val="center"/>
            </w:pPr>
            <w:pPr>
              <w:jc w:val="left"/>
              <w:spacing w:before="200"/>
              <w:pStyle w:val="ImageCaption"/>
            </w:pPr>
            <w:r>
              <w:t xml:space="preserve">Figure 3.8</w:t>
            </w:r>
          </w:p>
          <w:p>
            <w:pPr>
              <w:pStyle w:val="Compact"/>
              <w:jc w:val="center"/>
            </w:pPr>
            <w:bookmarkStart w:id="332" w:name="fig-comm"/>
            <w:r>
              <w:drawing>
                <wp:inline>
                  <wp:extent cx="4620126" cy="2772075"/>
                  <wp:effectExtent b="0" l="0" r="0" t="0"/>
                  <wp:docPr descr="" title="" id="330" name="Picture"/>
                  <a:graphic>
                    <a:graphicData uri="http://schemas.openxmlformats.org/drawingml/2006/picture">
                      <pic:pic>
                        <pic:nvPicPr>
                          <pic:cNvPr descr="03_habitat_niveau_de_vie_files/figure-docx/fig-comm-1.png" id="331" name="Picture"/>
                          <pic:cNvPicPr>
                            <a:picLocks noChangeArrowheads="1" noChangeAspect="1"/>
                          </pic:cNvPicPr>
                        </pic:nvPicPr>
                        <pic:blipFill>
                          <a:blip r:embed="rId329"/>
                          <a:stretch>
                            <a:fillRect/>
                          </a:stretch>
                        </pic:blipFill>
                        <pic:spPr bwMode="auto">
                          <a:xfrm>
                            <a:off x="0" y="0"/>
                            <a:ext cx="4620126" cy="2772075"/>
                          </a:xfrm>
                          <a:prstGeom prst="rect">
                            <a:avLst/>
                          </a:prstGeom>
                          <a:noFill/>
                          <a:ln w="9525">
                            <a:noFill/>
                            <a:headEnd/>
                            <a:tailEnd/>
                          </a:ln>
                        </pic:spPr>
                      </pic:pic>
                    </a:graphicData>
                  </a:graphic>
                </wp:inline>
              </w:drawing>
            </w:r>
            <w:bookmarkEnd w:id="332"/>
          </w:p>
          <w:bookmarkEnd w:id="333"/>
        </w:tc>
      </w:tr>
    </w:tbl>
    <w:bookmarkEnd w:id="334"/>
    <w:bookmarkEnd w:id="335"/>
    <w:bookmarkStart w:id="345"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Marovoay, la part des ménages envoyeurs est de 13,7 %. Les transferts en riz présentent une valeur moyenne de 335 000 Ar, tandis que les transferts en argent enregistrent une valeur moyenne de 86 000 Ar.</w:t>
      </w:r>
    </w:p>
    <w:tbl>
      <w:tblPr>
        <w:tblStyle w:val="Table"/>
        <w:tblW w:type="pct" w:w="5000"/>
        <w:tblLayout w:type="fixed"/>
        <w:tblLook w:firstRow="0" w:lastRow="0" w:firstColumn="0" w:lastColumn="0" w:noHBand="0" w:noVBand="0" w:val="0000"/>
      </w:tblPr>
      <w:tblGrid>
        <w:gridCol w:w="7920"/>
      </w:tblGrid>
      <w:tr>
        <w:tc>
          <w:tcPr/>
          <w:bookmarkStart w:id="339"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836615"/>
                  <wp:effectExtent b="0" l="0" r="0" t="0"/>
                  <wp:docPr descr="" title="" id="337" name="Picture"/>
                  <a:graphic>
                    <a:graphicData uri="http://schemas.openxmlformats.org/drawingml/2006/picture">
                      <pic:pic>
                        <pic:nvPicPr>
                          <pic:cNvPr descr="03_habitat_niveau_de_vie_files/figure-docx/fig-transferts-sortants-1.png" id="338" name="Picture"/>
                          <pic:cNvPicPr>
                            <a:picLocks noChangeArrowheads="1" noChangeAspect="1"/>
                          </pic:cNvPicPr>
                        </pic:nvPicPr>
                        <pic:blipFill>
                          <a:blip r:embed="rId336"/>
                          <a:stretch>
                            <a:fillRect/>
                          </a:stretch>
                        </pic:blipFill>
                        <pic:spPr bwMode="auto">
                          <a:xfrm>
                            <a:off x="0" y="0"/>
                            <a:ext cx="5969000" cy="1836615"/>
                          </a:xfrm>
                          <a:prstGeom prst="rect">
                            <a:avLst/>
                          </a:prstGeom>
                          <a:noFill/>
                          <a:ln w="9525">
                            <a:noFill/>
                            <a:headEnd/>
                            <a:tailEnd/>
                          </a:ln>
                        </pic:spPr>
                      </pic:pic>
                    </a:graphicData>
                  </a:graphic>
                </wp:inline>
              </w:drawing>
            </w:r>
          </w:p>
          <w:bookmarkEnd w:id="339"/>
        </w:tc>
      </w:tr>
    </w:tbl>
    <w:p>
      <w:pPr>
        <w:pStyle w:val="Corpsdetexte"/>
      </w:pPr>
      <w:r>
        <w:t xml:space="preserve">À Marovoay, la part des ménages envoyeurs est plus faible, s’élevant à 13,7 % de l’échantillon.</w:t>
      </w:r>
    </w:p>
    <w:tbl>
      <w:tblPr>
        <w:tblStyle w:val="Table"/>
        <w:tblW w:type="pct" w:w="5000"/>
        <w:tblLayout w:type="fixed"/>
        <w:tblLook w:firstRow="0" w:lastRow="0" w:firstColumn="0" w:lastColumn="0" w:noHBand="0" w:noVBand="0" w:val="0000"/>
      </w:tblPr>
      <w:tblGrid>
        <w:gridCol w:w="7920"/>
      </w:tblGrid>
      <w:tr>
        <w:tc>
          <w:tcPr/>
          <w:bookmarkStart w:id="340" w:name="tbl-transferts-sortants"/>
          <w:p>
            <w:pPr>
              <w:jc w:val="center"/>
            </w:pPr>
            <w:pPr>
              <w:jc w:val="left"/>
              <w:spacing w:before="200"/>
              <w:pStyle w:val="ImageCaption"/>
            </w:pPr>
            <w:r>
              <w:t xml:space="preserve">Table 3.1: Transferts sortants : resume par observatoire</w:t>
            </w:r>
          </w:p>
          <w:bookmarkEnd w:id="340"/>
        </w:tc>
      </w:tr>
    </w:tbl>
    <w:p>
      <w:pPr>
        <w:pStyle w:val="Corpsdetexte"/>
      </w:pPr>
      <w:r>
        <w:t xml:space="preserve">À Marovoay, 77,1 % des transferts sont destinés à des personnes vivant dans la même commune. Ceux installés dans une autre commune de la même région représentent 10,8 %, et les transferts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44"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2295769"/>
                  <wp:effectExtent b="0" l="0" r="0" t="0"/>
                  <wp:docPr descr="" title="" id="342" name="Picture"/>
                  <a:graphic>
                    <a:graphicData uri="http://schemas.openxmlformats.org/drawingml/2006/picture">
                      <pic:pic>
                        <pic:nvPicPr>
                          <pic:cNvPr descr="03_habitat_niveau_de_vie_files/figure-docx/fig-destination-transferts-1.png" id="343" name="Picture"/>
                          <pic:cNvPicPr>
                            <a:picLocks noChangeArrowheads="1" noChangeAspect="1"/>
                          </pic:cNvPicPr>
                        </pic:nvPicPr>
                        <pic:blipFill>
                          <a:blip r:embed="rId341"/>
                          <a:stretch>
                            <a:fillRect/>
                          </a:stretch>
                        </pic:blipFill>
                        <pic:spPr bwMode="auto">
                          <a:xfrm>
                            <a:off x="0" y="0"/>
                            <a:ext cx="5969000" cy="2295769"/>
                          </a:xfrm>
                          <a:prstGeom prst="rect">
                            <a:avLst/>
                          </a:prstGeom>
                          <a:noFill/>
                          <a:ln w="9525">
                            <a:noFill/>
                            <a:headEnd/>
                            <a:tailEnd/>
                          </a:ln>
                        </pic:spPr>
                      </pic:pic>
                    </a:graphicData>
                  </a:graphic>
                </wp:inline>
              </w:drawing>
            </w:r>
          </w:p>
          <w:bookmarkEnd w:id="344"/>
        </w:tc>
      </w:tr>
    </w:tbl>
    <w:bookmarkEnd w:id="345"/>
    <w:bookmarkStart w:id="353"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3"/>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3"/>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3"/>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3"/>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46"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 Le revenu minimum enregistré est de -4 219 928 Ar tandis que le revenu maximum s’élève à 72 641 968 Ar.</w:t>
      </w:r>
    </w:p>
    <w:bookmarkEnd w:id="346"/>
    <w:bookmarkStart w:id="347" w:name="détail-des-revenus-par-ménage"/>
    <w:p>
      <w:pPr>
        <w:pStyle w:val="Titre3"/>
      </w:pPr>
      <w:r>
        <w:t xml:space="preserve">3.4.2 Détail des revenus par ménage</w:t>
      </w:r>
    </w:p>
    <w:bookmarkEnd w:id="347"/>
    <w:bookmarkStart w:id="351"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Marovoay, les revenus nets rizicoles représentent la plus grande part du revenu courant moyen par ménage avec 39.2 % du total, soit 1,287,310 Ar/an. Les revenus indépendants se placent en deuxième position avec 23.2 %, correspondant à 759,874 Ar/an. Les salaires agricoles arrivent ensuite avec 18.4 %, soit 604,846 Ar/an. L’élevage contribue pour 7.7 % du revenu courant moyen, représentant 253,697 Ar/an. Les salaires non agricoles participent à hauteur de 6.2 %, soit 204,131 Ar/an. Les revenus nets des autres cultures représentent 5.2 %, correspondant à 170,901 Ar/an. Le revenu courant moyen total par ménage dans l’observatoire de Marovoay est de 3,280,758 Ar/an.</w:t>
      </w:r>
    </w:p>
    <w:p>
      <w:pPr>
        <w:pStyle w:val="Corpsdetexte"/>
      </w:pPr>
      <w:r>
        <w:t xml:space="preserve">Pour les deux observatoires, la pêche ne contribue pas au revenu courant moyen.</w:t>
      </w:r>
    </w:p>
    <w:p>
      <w:pPr>
        <w:pStyle w:val="CaptionedFigure"/>
      </w:pPr>
      <w:r>
        <w:drawing>
          <wp:inline>
            <wp:extent cx="5969000" cy="4591538"/>
            <wp:effectExtent b="0" l="0" r="0" t="0"/>
            <wp:docPr descr="Part des composantes dans le revenu courant moyen par observatoire" title="" id="349" name="Picture"/>
            <a:graphic>
              <a:graphicData uri="http://schemas.openxmlformats.org/drawingml/2006/picture">
                <pic:pic>
                  <pic:nvPicPr>
                    <pic:cNvPr descr="03_habitat_niveau_de_vie_files/figure-docx/fig_revcou_shares-1.png" id="350" name="Picture"/>
                    <pic:cNvPicPr>
                      <a:picLocks noChangeArrowheads="1" noChangeAspect="1"/>
                    </pic:cNvPicPr>
                  </pic:nvPicPr>
                  <pic:blipFill>
                    <a:blip r:embed="rId348"/>
                    <a:stretch>
                      <a:fillRect/>
                    </a:stretch>
                  </pic:blipFill>
                  <pic:spPr bwMode="auto">
                    <a:xfrm>
                      <a:off x="0" y="0"/>
                      <a:ext cx="5969000" cy="4591538"/>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351"/>
    <w:bookmarkStart w:id="352" w:name="distribution-du-revenu-total"/>
    <w:p>
      <w:pPr>
        <w:pStyle w:val="Titre3"/>
      </w:pPr>
      <w:r>
        <w:t xml:space="preserve">3.4.4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bookmarkEnd w:id="352"/>
    <w:bookmarkEnd w:id="353"/>
    <w:bookmarkEnd w:id="354"/>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8" Target="media/rId178.png"/>
  <Relationship Type="http://schemas.openxmlformats.org/officeDocument/2006/relationships/image" Id="rId188" Target="media/rId188.png"/>
  <Relationship Type="http://schemas.openxmlformats.org/officeDocument/2006/relationships/image" Id="rId237" Target="media/rId237.png"/>
  <Relationship Type="http://schemas.openxmlformats.org/officeDocument/2006/relationships/image" Id="rId276" Target="media/rId276.png"/>
  <Relationship Type="http://schemas.openxmlformats.org/officeDocument/2006/relationships/image" Id="rId270" Target="media/rId270.png"/>
  <Relationship Type="http://schemas.openxmlformats.org/officeDocument/2006/relationships/image" Id="rId241" Target="media/rId241.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8" Target="media/rId228.png"/>
  <Relationship Type="http://schemas.openxmlformats.org/officeDocument/2006/relationships/image" Id="rId215" Target="media/rId215.png"/>
  <Relationship Type="http://schemas.openxmlformats.org/officeDocument/2006/relationships/image" Id="rId232" Target="media/rId232.png"/>
  <Relationship Type="http://schemas.openxmlformats.org/officeDocument/2006/relationships/image" Id="rId197" Target="media/rId197.png"/>
  <Relationship Type="http://schemas.openxmlformats.org/officeDocument/2006/relationships/image" Id="rId206" Target="media/rId206.png"/>
  <Relationship Type="http://schemas.openxmlformats.org/officeDocument/2006/relationships/image" Id="rId281" Target="media/rId281.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247" Target="media/rId247.png"/>
  <Relationship Type="http://schemas.openxmlformats.org/officeDocument/2006/relationships/image" Id="rId263" Target="media/rId263.png"/>
  <Relationship Type="http://schemas.openxmlformats.org/officeDocument/2006/relationships/image" Id="rId201" Target="media/rId201.png"/>
  <Relationship Type="http://schemas.openxmlformats.org/officeDocument/2006/relationships/image" Id="rId210" Target="media/rId210.png"/>
  <Relationship Type="http://schemas.openxmlformats.org/officeDocument/2006/relationships/image" Id="rId317" Target="media/rId317.png"/>
  <Relationship Type="http://schemas.openxmlformats.org/officeDocument/2006/relationships/image" Id="rId329" Target="media/rId329.png"/>
  <Relationship Type="http://schemas.openxmlformats.org/officeDocument/2006/relationships/image" Id="rId310" Target="media/rId310.png"/>
  <Relationship Type="http://schemas.openxmlformats.org/officeDocument/2006/relationships/image" Id="rId341" Target="media/rId341.png"/>
  <Relationship Type="http://schemas.openxmlformats.org/officeDocument/2006/relationships/image" Id="rId300" Target="media/rId300.png"/>
  <Relationship Type="http://schemas.openxmlformats.org/officeDocument/2006/relationships/image" Id="rId305" Target="media/rId305.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323" Target="media/rId323.png"/>
  <Relationship Type="http://schemas.openxmlformats.org/officeDocument/2006/relationships/image" Id="rId336" Target="media/rId336.png"/>
  <Relationship Type="http://schemas.openxmlformats.org/officeDocument/2006/relationships/image" Id="rId348" Target="media/rId348.png"/>
  <Relationship Type="http://schemas.openxmlformats.org/officeDocument/2006/relationships/image" Id="rId174" Target="media/rId174.png"/>
  <Relationship Type="http://schemas.openxmlformats.org/officeDocument/2006/relationships/image" Id="rId170" Target="media/rId170.png"/>
  <Relationship Id="rId349"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2026-06-29T18:44:36Z</dcterms:created>
  <dcterms:modified xsi:type="dcterms:W3CDTF">2026-06-29T18:44:36Z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2026-06-29</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d’enquête</vt:lpwstr>
  </property>
  <property fmtid="{D5CDD505-2E9C-101B-9397-08002B2CF9AE}" pid="16" name="template-partials">
    <vt:lpwstr/>
  </property>
  <property fmtid="{D5CDD505-2E9C-101B-9397-08002B2CF9AE}" pid="17" name="toc-title">
    <vt:lpwstr>Table des matières</vt:lpwstr>
  </property>
</Properties>
</file>