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7.png" ContentType="image/png"/>
  <Override PartName="/word/media/rId53.png" ContentType="image/png"/>
  <Override PartName="/word/media/rId105.png" ContentType="image/png"/>
  <Override PartName="/word/media/rId108.png" ContentType="image/png"/>
  <Override PartName="/word/media/rId133.png" ContentType="image/png"/>
  <Override PartName="/word/media/rId67.png" ContentType="image/png"/>
  <Override PartName="/word/media/rId96.png" ContentType="image/png"/>
  <Override PartName="/word/media/rId92.png" ContentType="image/png"/>
  <Override PartName="/word/media/rId100.png" ContentType="image/png"/>
  <Override PartName="/word/media/rId161.png" ContentType="image/png"/>
  <Override PartName="/word/media/rId155.png" ContentType="image/png"/>
  <Override PartName="/word/media/rId158.png" ContentType="image/png"/>
  <Override PartName="/word/media/rId152.png" ContentType="image/png"/>
  <Override PartName="/word/media/rId79.png" ContentType="image/png"/>
  <Override PartName="/word/media/rId75.png" ContentType="image/png"/>
  <Override PartName="/word/media/rId121.png" ContentType="image/png"/>
  <Override PartName="/word/media/rId117.png" ContentType="image/png"/>
  <Override PartName="/word/media/rId125.png" ContentType="image/png"/>
  <Override PartName="/word/media/rId70.png" ContentType="image/png"/>
  <Override PartName="/word/media/rId83.png" ContentType="image/png"/>
  <Override PartName="/word/media/rId140.png" ContentType="image/png"/>
  <Override PartName="/word/media/rId143.png" ContentType="image/png"/>
  <Override PartName="/word/media/rId193.png" ContentType="image/png"/>
  <Override PartName="/word/media/rId189.png" ContentType="image/png"/>
  <Override PartName="/word/media/rId197.png" ContentType="image/png"/>
  <Override PartName="/word/media/rId184.png" ContentType="image/png"/>
  <Override PartName="/word/media/rId207.png" ContentType="image/png"/>
  <Override PartName="/word/media/rId202.png" ContentType="image/png"/>
  <Override PartName="/word/media/rId261.png" ContentType="image/png"/>
  <Override PartName="/word/media/rId264.png" ContentType="image/png"/>
  <Override PartName="/word/media/rId235.png" ContentType="image/png"/>
  <Override PartName="/word/media/rId242.png" ContentType="image/png"/>
  <Override PartName="/word/media/rId213.png" ContentType="image/png"/>
  <Override PartName="/word/media/rId217.png" ContentType="image/png"/>
  <Override PartName="/word/media/rId230.png" ContentType="image/png"/>
  <Override PartName="/word/media/rId239.png" ContentType="image/png"/>
  <Override PartName="/word/media/rId227.png" ContentType="image/png"/>
  <Override PartName="/word/media/rId256.png" ContentType="image/png"/>
  <Override PartName="/word/media/rId249.png" ContentType="image/png"/>
  <Override PartName="/word/media/rId224.png" ContentType="image/png"/>
  <Override PartName="/word/media/rId253.png" ContentType="image/png"/>
  <Override PartName="/word/media/rId246.png" ContentType="image/png"/>
  <Override PartName="/word/media/rId168.png" ContentType="image/png"/>
  <Override PartName="/word/media/rId172.png" ContentType="image/png"/>
  <Override PartName="/word/media/rId180.png" ContentType="image/png"/>
  <Override PartName="/word/media/rId176.png" ContentType="image/png"/>
  <Override PartName="/word/media/rId291.png" ContentType="image/png"/>
  <Override PartName="/word/media/rId295.png" ContentType="image/png"/>
  <Override PartName="/word/media/rId321.png" ContentType="image/png"/>
  <Override PartName="/word/media/rId331.png" ContentType="image/png"/>
  <Override PartName="/word/media/rId339.png" ContentType="image/png"/>
  <Override PartName="/word/media/rId286.png" ContentType="image/png"/>
  <Override PartName="/word/media/rId281.png" ContentType="image/png"/>
  <Override PartName="/word/media/rId313.png" ContentType="image/png"/>
  <Override PartName="/word/media/rId317.png" ContentType="image/png"/>
  <Override PartName="/word/media/rId271.png" ContentType="image/png"/>
  <Override PartName="/word/media/rId307.png" ContentType="image/png"/>
  <Override PartName="/word/media/rId300.png" ContentType="image/png"/>
  <Override PartName="/word/media/rId335.png" ContentType="image/png"/>
  <Override PartName="/word/media/rId347.png" ContentType="image/png"/>
  <Override PartName="/word/media/rId327.png" ContentType="image/png"/>
  <Override PartName="/word/media/rId277.png" ContentType="image/png"/>
  <Override PartName="/word/media/rId465.png" ContentType="image/png"/>
  <Override PartName="/word/media/rId469.png" ContentType="image/png"/>
  <Override PartName="/word/media/rId489.png" ContentType="image/png"/>
  <Override PartName="/word/media/rId413.png" ContentType="image/png"/>
  <Override PartName="/word/media/rId361.png" ContentType="image/png"/>
  <Override PartName="/word/media/rId422.png" ContentType="image/png"/>
  <Override PartName="/word/media/rId370.png" ContentType="image/png"/>
  <Override PartName="/word/media/rId445.png" ContentType="image/png"/>
  <Override PartName="/word/media/rId473.png" ContentType="image/png"/>
  <Override PartName="/word/media/rId450.png" ContentType="image/png"/>
  <Override PartName="/word/media/rId394.png" ContentType="image/png"/>
  <Override PartName="/word/media/rId456.png" ContentType="image/png"/>
  <Override PartName="/word/media/rId404.png" ContentType="image/png"/>
  <Override PartName="/word/media/rId381.png" ContentType="image/png"/>
  <Override PartName="/word/media/rId437.png" ContentType="image/png"/>
  <Override PartName="/word/media/rId377.png" ContentType="image/png"/>
  <Override PartName="/word/media/rId390.png" ContentType="image/png"/>
  <Override PartName="/word/media/rId477.png" ContentType="image/png"/>
  <Override PartName="/word/media/rId366.png" ContentType="image/png"/>
  <Override PartName="/word/media/rId357.png" ContentType="image/png"/>
  <Override PartName="/word/media/rId417.png" ContentType="image/png"/>
  <Override PartName="/word/media/rId432.png" ContentType="image/png"/>
  <Override PartName="/word/media/rId386.png" ContentType="image/png"/>
  <Override PartName="/word/media/rId400.png" ContentType="image/png"/>
  <Override PartName="/word/media/rId502.png" ContentType="image/png"/>
  <Override PartName="/word/media/rId496.png" ContentType="image/png"/>
  <Override PartName="/word/media/rId499.png" ContentType="image/png"/>
  <Override PartName="/word/media/rId553.png" ContentType="image/png"/>
  <Override PartName="/word/media/rId550.png" ContentType="image/png"/>
  <Override PartName="/word/media/rId512.png" ContentType="image/png"/>
  <Override PartName="/word/media/rId516.png" ContentType="image/png"/>
  <Override PartName="/word/media/rId523.png" ContentType="image/png"/>
  <Override PartName="/word/media/rId530.png" ContentType="image/png"/>
  <Override PartName="/word/media/rId537.png" ContentType="image/png"/>
  <Override PartName="/word/media/rId541.png" ContentType="image/png"/>
  <Override PartName="/word/media/rId546.png" ContentType="image/png"/>
  <Override PartName="/word/media/rId669.png" ContentType="image/png"/>
  <Override PartName="/word/media/rId570.png" ContentType="image/png"/>
  <Override PartName="/word/media/rId587.png" ContentType="image/png"/>
  <Override PartName="/word/media/rId583.png" ContentType="image/png"/>
  <Override PartName="/word/media/rId592.png" ContentType="image/png"/>
  <Override PartName="/word/media/rId633.png" ContentType="image/png"/>
  <Override PartName="/word/media/rId565.png" ContentType="image/png"/>
  <Override PartName="/word/media/rId610.png" ContentType="image/png"/>
  <Override PartName="/word/media/rId654.png" ContentType="image/png"/>
  <Override PartName="/word/media/rId649.png" ContentType="image/png"/>
  <Override PartName="/word/media/rId659.png" ContentType="image/png"/>
  <Override PartName="/word/media/rId601.png" ContentType="image/png"/>
  <Override PartName="/word/media/rId664.png" ContentType="image/png"/>
  <Override PartName="/word/media/rId637.png" ContentType="image/png"/>
  <Override PartName="/word/media/rId621.png" ContentType="image/png"/>
  <Override PartName="/word/media/rId641.png" ContentType="image/png"/>
  <Override PartName="/word/media/rId577.png" ContentType="image/png"/>
  <Override PartName="/word/media/rId560.png" ContentType="image/png"/>
  <Override PartName="/word/media/rId615.png" ContentType="image/png"/>
  <Override PartName="/word/media/rId628.png" ContentType="image/png"/>
  <Override PartName="/word/media/rId606.png" ContentType="image/png"/>
  <Override PartName="/word/media/rId705.png" ContentType="image/png"/>
  <Override PartName="/word/media/rId679.png" ContentType="image/png"/>
  <Override PartName="/word/media/rId688.png" ContentType="image/png"/>
  <Override PartName="/word/media/rId693.png" ContentType="image/png"/>
  <Override PartName="/word/media/rId700.png" ContentType="image/png"/>
  <Override PartName="/word/media/rId737.png" ContentType="image/png"/>
  <Override PartName="/word/media/rId714.png" ContentType="image/png"/>
  <Override PartName="/word/media/rId724.png" ContentType="image/png"/>
  <Override PartName="/word/media/rId729.png" ContentType="image/png"/>
  <Override PartName="/word/media/rId743.png" ContentType="image/png"/>
  <Override PartName="/word/media/rId719.png" ContentType="image/png"/>
  <Override PartName="/word/media/rId763.png" ContentType="image/png"/>
  <Override PartName="/word/media/rId756.png" ContentType="image/png"/>
  <Override PartName="/word/media/rId768.png" ContentType="image/png"/>
  <Override PartName="/word/media/rId825.png" ContentType="image/png"/>
  <Override PartName="/word/media/rId785.png" ContentType="image/png"/>
  <Override PartName="/word/media/rId149.png" ContentType="image/png"/>
  <Override PartName="/word/media/rId798.png" ContentType="image/png"/>
  <Override PartName="/word/media/rId33.png" ContentType="image/png"/>
  <Override PartName="/word/media/rId818.png" ContentType="image/png"/>
  <Override PartName="/word/media/rId29.png" ContentType="image/png"/>
  <Override PartName="/word/media/rId25.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Campagne 2025 des Observatoires ruraux d’Alaotra et Marovoay</w:t>
      </w:r>
    </w:p>
    <w:p>
      <w:pPr>
        <w:pStyle w:val="Subtitl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2026-03-17</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Heading1"/>
      </w:pPr>
      <w:r>
        <w:t xml:space="preserve">Introduction</w:t>
      </w:r>
    </w:p>
    <w:p>
      <w:pPr>
        <w:pStyle w:val="CaptionedFigure"/>
      </w:pPr>
      <w:r>
        <w:drawing>
          <wp:inline>
            <wp:extent cx="5334000" cy="3550443"/>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Hyperlink"/>
          </w:rPr>
          <w:t xml:space="preserve">CC BY-SA 4.0</w:t>
        </w:r>
      </w:hyperlink>
      <w:r>
        <w:t xml:space="preserve">, via</w:t>
      </w:r>
      <w:r>
        <w:t xml:space="preserve"> </w:t>
      </w:r>
      <w:hyperlink r:id="rId24">
        <w:r>
          <w:rPr>
            <w:rStyle w:val="Hyperlink"/>
          </w:rPr>
          <w:t xml:space="preserve">Wikimedia Commons</w:t>
        </w:r>
      </w:hyperlink>
      <w:r>
        <w:t xml:space="preserve">.</w:t>
      </w:r>
    </w:p>
    <w:p>
      <w:pPr>
        <w:pStyle w:val="BodyText"/>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BodyText"/>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334000" cy="37337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BodyText"/>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BodyText"/>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BodyText"/>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BodyText"/>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61" w:name="description-de-lenquête"/>
    <w:p>
      <w:pPr>
        <w:pStyle w:val="Heading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32" w:name="contexte-et-objectifs"/>
    <w:p>
      <w:pPr>
        <w:pStyle w:val="Heading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BodyText"/>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BodyText"/>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BodyText"/>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Hyperlink"/>
          </w:rPr>
          <w:t xml:space="preserve">Chapitre 11</w:t>
        </w:r>
      </w:hyperlink>
      <w:r>
        <w:t xml:space="preserve">.</w:t>
      </w:r>
    </w:p>
    <w:bookmarkEnd w:id="32"/>
    <w:bookmarkStart w:id="36" w:name="méthodologie"/>
    <w:p>
      <w:pPr>
        <w:pStyle w:val="Heading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BodyText"/>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BodyText"/>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 protocole éthique de l’enquête a fait l’objet d’une approbation. Il est présenté en annexe du rapport.</w:t>
            </w:r>
          </w:p>
          <w:p/>
        </w:tc>
      </w:tr>
    </w:tbl>
    <w:bookmarkEnd w:id="36"/>
    <w:bookmarkStart w:id="40" w:name="localisation-des-sites-enquêtés"/>
    <w:p>
      <w:pPr>
        <w:pStyle w:val="Heading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8" name="Picture"/>
            <a:graphic>
              <a:graphicData uri="http://schemas.openxmlformats.org/drawingml/2006/picture">
                <pic:pic>
                  <pic:nvPicPr>
                    <pic:cNvPr descr="01_description_files/figure-docx/carte_sit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40"/>
    <w:bookmarkStart w:id="46" w:name="ménages-enquêtés"/>
    <w:p>
      <w:pPr>
        <w:pStyle w:val="Heading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41"/>
          <w:p/>
        </w:tc>
      </w:tr>
    </w:tbl>
    <w:bookmarkStart w:id="43" w:name="dénombrement-et-taux-de-sondage"/>
    <w:p>
      <w:pPr>
        <w:pStyle w:val="Heading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Hyperlink"/>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42"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42"/>
          <w:p/>
        </w:tc>
      </w:tr>
    </w:tbl>
    <w:bookmarkEnd w:id="43"/>
    <w:bookmarkStart w:id="45" w:name="répartition-par-hameau"/>
    <w:p>
      <w:pPr>
        <w:pStyle w:val="Heading3"/>
      </w:pPr>
      <w:r>
        <w:t xml:space="preserve">1.4.2 Répartition par hameau</w:t>
      </w:r>
    </w:p>
    <w:p>
      <w:pPr>
        <w:pStyle w:val="FirstParagraph"/>
      </w:pPr>
      <w:r>
        <w:t xml:space="preserve">Le</w:t>
      </w:r>
      <w:r>
        <w:t xml:space="preserve"> </w:t>
      </w:r>
      <w:hyperlink w:anchor="tbl-men-hameau">
        <w:r>
          <w:rPr>
            <w:rStyle w:val="Hyperlink"/>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4"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4"/>
          <w:p/>
        </w:tc>
      </w:tr>
    </w:tbl>
    <w:bookmarkEnd w:id="45"/>
    <w:bookmarkEnd w:id="46"/>
    <w:bookmarkStart w:id="60" w:name="déroulement-de-lenquête"/>
    <w:p>
      <w:pPr>
        <w:pStyle w:val="Heading2"/>
      </w:pPr>
      <w:r>
        <w:t xml:space="preserve">1.5 Déroulement de l’enquête</w:t>
      </w:r>
    </w:p>
    <w:bookmarkStart w:id="52" w:name="période-de-collecte"/>
    <w:p>
      <w:pPr>
        <w:pStyle w:val="Heading3"/>
      </w:pPr>
      <w:r>
        <w:t xml:space="preserve">1.5.1 Période de collecte</w:t>
      </w:r>
    </w:p>
    <w:p>
      <w:pPr>
        <w:pStyle w:val="FirstParagraph"/>
      </w:pPr>
      <w:r>
        <w:t xml:space="preserve">Les entretiens se sont déroulés entre début octobre et mi-novembre 2025. Un entretien isolé a été réalisé à Marovoay le 3 septembre ; il est exclu du chronogramme ci-dessous qui ne retient que les dates à partir du 1</w:t>
      </w:r>
      <w:r>
        <w:rPr>
          <w:vertAlign w:val="superscript"/>
        </w:rPr>
        <w:t xml:space="preserve">er</w:t>
      </w:r>
      <w:r>
        <w:t xml:space="preserve"> </w:t>
      </w:r>
      <w:r>
        <w:t xml:space="preserve">octobre 2025. Le</w:t>
      </w:r>
      <w:r>
        <w:t xml:space="preserve"> </w:t>
      </w:r>
      <w:hyperlink w:anchor="fig-chronogramme">
        <w:r>
          <w:rPr>
            <w:rStyle w:val="Hyperlink"/>
          </w:rPr>
          <w:t xml:space="preserve">Figure 1.1</w:t>
        </w:r>
      </w:hyperlink>
      <w:r>
        <w:t xml:space="preserve"> </w:t>
      </w:r>
      <w:r>
        <w:t xml:space="preserve">présente l’évolution cumulée du nombre d’entretiens réalisés.</w:t>
      </w:r>
    </w:p>
    <w:tbl>
      <w:tblPr>
        <w:tblStyle w:val="Table"/>
        <w:tblW w:type="pct" w:w="5000"/>
        <w:tblLayout w:type="fixed"/>
        <w:tblLook w:firstRow="0" w:lastRow="0" w:firstColumn="0" w:lastColumn="0" w:noHBand="0" w:noVBand="0" w:val="0000"/>
      </w:tblPr>
      <w:tblGrid>
        <w:gridCol w:w="7920"/>
      </w:tblGrid>
      <w:tr>
        <w:tc>
          <w:tcPr/>
          <w:bookmarkStart w:id="50" w:name="fig-chronogramme"/>
          <w:p>
            <w:pPr>
              <w:pStyle w:val="Compact"/>
              <w:jc w:val="center"/>
            </w:pPr>
            <w:r>
              <w:drawing>
                <wp:inline>
                  <wp:extent cx="5334000" cy="2667000"/>
                  <wp:effectExtent b="0" l="0" r="0" t="0"/>
                  <wp:docPr descr="" title="" id="48" name="Picture"/>
                  <a:graphic>
                    <a:graphicData uri="http://schemas.openxmlformats.org/drawingml/2006/picture">
                      <pic:pic>
                        <pic:nvPicPr>
                          <pic:cNvPr descr="01_description_files/figure-docx/fig-chronogramme-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Fréquences cumulées des entretiens par observatoire (à partir du 1er octobre 2025)</w:t>
            </w:r>
          </w:p>
          <w:bookmarkEnd w:id="50"/>
        </w:tc>
      </w:tr>
    </w:tbl>
    <w:tbl>
      <w:tblPr>
        <w:tblStyle w:val="Table"/>
        <w:tblW w:type="pct" w:w="5000"/>
        <w:tblLayout w:type="fixed"/>
        <w:tblLook w:firstRow="0" w:lastRow="0" w:firstColumn="0" w:lastColumn="0" w:noHBand="0" w:noVBand="0" w:val="0000"/>
      </w:tblPr>
      <w:tblGrid>
        <w:gridCol w:w="7920"/>
      </w:tblGrid>
      <w:tr>
        <w:tc>
          <w:tcPr/>
          <w:bookmarkStart w:id="5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October 2025</w:t>
                  </w:r>
                </w:p>
              </w:tc>
              <w:tc>
                <w:tcPr/>
                <w:p>
                  <w:pPr>
                    <w:pStyle w:val="Compact"/>
                    <w:jc w:val="right"/>
                    <w:jc w:val="center"/>
                  </w:pPr>
                  <w:r>
                    <w:t xml:space="preserve">10 November 2025</w:t>
                  </w:r>
                </w:p>
              </w:tc>
              <w:tc>
                <w:tcPr/>
                <w:p>
                  <w:pPr>
                    <w:pStyle w:val="Compact"/>
                    <w:jc w:val="right"/>
                    <w:jc w:val="center"/>
                  </w:pPr>
                  <w:r>
                    <w:t xml:space="preserve">30</w:t>
                  </w:r>
                </w:p>
              </w:tc>
              <w:tc>
                <w:tcPr/>
                <w:p>
                  <w:pPr>
                    <w:pStyle w:val="Compact"/>
                    <w:jc w:val="right"/>
                    <w:jc w:val="center"/>
                  </w:pPr>
                  <w:r>
                    <w:t xml:space="preserve">518</w:t>
                  </w:r>
                </w:p>
              </w:tc>
            </w:tr>
            <w:tr>
              <w:tc>
                <w:tcPr>
                  <w:gridSpan w:val="5"/>
                </w:tcPr>
                <w:p>
                  <w:pPr>
                    <w:pStyle w:val="Compact"/>
                    <w:jc w:val="left"/>
                    <w:jc w:val="center"/>
                  </w:pPr>
                  <w:r>
                    <w:rPr>
                      <w:b/>
                      <w:bCs/>
                    </w:rPr>
                    <w:t xml:space="preserve">Source : Enquête auprès des OR 2025</w:t>
                  </w:r>
                </w:p>
              </w:tc>
            </w:tr>
          </w:tbl>
          <w:bookmarkEnd w:id="51"/>
          <w:p/>
        </w:tc>
      </w:tr>
    </w:tbl>
    <w:bookmarkEnd w:id="52"/>
    <w:bookmarkStart w:id="59" w:name="équipe-denquête"/>
    <w:p>
      <w:pPr>
        <w:pStyle w:val="Heading3"/>
      </w:pPr>
      <w:r>
        <w:t xml:space="preserve">1.5.2 Équipe d’enquête</w:t>
      </w:r>
    </w:p>
    <w:p>
      <w:pPr>
        <w:pStyle w:val="FirstParagraph"/>
      </w:pPr>
      <w:r>
        <w:t xml:space="preserve">L’enquête a mobilisé 20 enquêteurs (10 par observatoire), encadrés par 6 superviseurs (3 par observatoire). La saisie des questionnaires a été assurée par 4 opérateurs. Le</w:t>
      </w:r>
      <w:r>
        <w:t xml:space="preserve"> </w:t>
      </w:r>
      <w:hyperlink w:anchor="fig-enqueteurs">
        <w:r>
          <w:rPr>
            <w:rStyle w:val="Hyperlink"/>
          </w:rPr>
          <w:t xml:space="preserve">Figure 1.2</w:t>
        </w:r>
      </w:hyperlink>
      <w:r>
        <w:t xml:space="preserve"> </w:t>
      </w:r>
      <w:r>
        <w:t xml:space="preserve">présente le nombre de questionnaires réalisés par chaque enquêteur (identifié par un code anonyme).</w:t>
      </w:r>
    </w:p>
    <w:tbl>
      <w:tblPr>
        <w:tblStyle w:val="Table"/>
        <w:tblW w:type="pct" w:w="5000"/>
        <w:tblLayout w:type="fixed"/>
        <w:tblLook w:firstRow="0" w:lastRow="0" w:firstColumn="0" w:lastColumn="0" w:noHBand="0" w:noVBand="0" w:val="0000"/>
      </w:tblPr>
      <w:tblGrid>
        <w:gridCol w:w="7920"/>
      </w:tblGrid>
      <w:tr>
        <w:tc>
          <w:tcPr/>
          <w:bookmarkStart w:id="56" w:name="fig-enqueteurs"/>
          <w:p>
            <w:pPr>
              <w:pStyle w:val="Compact"/>
              <w:jc w:val="center"/>
            </w:pPr>
            <w:r>
              <w:drawing>
                <wp:inline>
                  <wp:extent cx="5334000" cy="2963333"/>
                  <wp:effectExtent b="0" l="0" r="0" t="0"/>
                  <wp:docPr descr="" title="" id="54" name="Picture"/>
                  <a:graphic>
                    <a:graphicData uri="http://schemas.openxmlformats.org/drawingml/2006/picture">
                      <pic:pic>
                        <pic:nvPicPr>
                          <pic:cNvPr descr="01_description_files/figure-docx/fig-enqueteurs-1.png" id="55" name="Picture"/>
                          <pic:cNvPicPr>
                            <a:picLocks noChangeArrowheads="1" noChangeAspect="1"/>
                          </pic:cNvPicPr>
                        </pic:nvPicPr>
                        <pic:blipFill>
                          <a:blip r:embed="rId5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Nombre de questionnaires par enquêteur et observatoire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tbl-superviseurs"/>
          <w:p>
            <w:pPr>
              <w:jc w:val="center"/>
            </w:pPr>
            <w:pPr>
              <w:jc w:val="left"/>
              <w:spacing w:before="200"/>
              <w:pStyle w:val="ImageCaption"/>
            </w:pPr>
            <w:r>
              <w:t xml:space="preserve">Table 1.5: Nombre de questionnaires supervisés par superviseur</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Superviseur</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S01</w:t>
                  </w:r>
                </w:p>
              </w:tc>
              <w:tc>
                <w:tcPr/>
                <w:p>
                  <w:pPr>
                    <w:pStyle w:val="Compact"/>
                    <w:jc w:val="right"/>
                    <w:jc w:val="center"/>
                  </w:pPr>
                  <w:r>
                    <w:t xml:space="preserve">172</w:t>
                  </w:r>
                </w:p>
              </w:tc>
              <w:tc>
                <w:tcPr/>
                <w:p>
                  <w:pPr>
                    <w:pStyle w:val="Compact"/>
                    <w:jc w:val="right"/>
                    <w:jc w:val="center"/>
                  </w:pPr>
                  <w:r>
                    <w:t xml:space="preserve">86</w:t>
                  </w:r>
                </w:p>
              </w:tc>
            </w:tr>
            <w:tr>
              <w:tc>
                <w:tcPr/>
                <w:p>
                  <w:pPr>
                    <w:pStyle w:val="Compact"/>
                    <w:jc w:val="left"/>
                    <w:jc w:val="center"/>
                  </w:pPr>
                  <w:r>
                    <w:t xml:space="preserve">S02</w:t>
                  </w:r>
                </w:p>
              </w:tc>
              <w:tc>
                <w:tcPr/>
                <w:p>
                  <w:pPr>
                    <w:pStyle w:val="Compact"/>
                    <w:jc w:val="right"/>
                    <w:jc w:val="center"/>
                  </w:pPr>
                  <w:r>
                    <w:t xml:space="preserve">166</w:t>
                  </w:r>
                </w:p>
              </w:tc>
              <w:tc>
                <w:tcPr/>
                <w:p>
                  <w:pPr>
                    <w:pStyle w:val="Compact"/>
                    <w:jc w:val="right"/>
                    <w:jc w:val="center"/>
                  </w:pPr>
                  <w:r>
                    <w:t xml:space="preserve">217</w:t>
                  </w:r>
                </w:p>
              </w:tc>
            </w:tr>
            <w:tr>
              <w:tc>
                <w:tcPr/>
                <w:p>
                  <w:pPr>
                    <w:pStyle w:val="Compact"/>
                    <w:jc w:val="left"/>
                    <w:jc w:val="center"/>
                  </w:pPr>
                  <w:r>
                    <w:t xml:space="preserve">S03</w:t>
                  </w:r>
                </w:p>
              </w:tc>
              <w:tc>
                <w:tcPr/>
                <w:p>
                  <w:pPr>
                    <w:pStyle w:val="Compact"/>
                    <w:jc w:val="right"/>
                    <w:jc w:val="center"/>
                  </w:pPr>
                  <w:r>
                    <w:t xml:space="preserve">169</w:t>
                  </w:r>
                </w:p>
              </w:tc>
              <w:tc>
                <w:tcPr/>
                <w:p>
                  <w:pPr>
                    <w:pStyle w:val="Compact"/>
                    <w:jc w:val="right"/>
                    <w:jc w:val="center"/>
                  </w:pPr>
                  <w:r>
                    <w:t xml:space="preserve">216</w:t>
                  </w:r>
                </w:p>
              </w:tc>
            </w:tr>
            <w:tr>
              <w:tc>
                <w:tcPr>
                  <w:gridSpan w:val="3"/>
                </w:tcPr>
                <w:p>
                  <w:pPr>
                    <w:pStyle w:val="Compact"/>
                    <w:jc w:val="left"/>
                    <w:jc w:val="center"/>
                  </w:pPr>
                  <w:r>
                    <w:rPr>
                      <w:b/>
                      <w:bCs/>
                    </w:rPr>
                    <w:t xml:space="preserve">Source : Enquête auprès des OR 2025</w:t>
                  </w:r>
                </w:p>
              </w:tc>
            </w:tr>
          </w:tbl>
          <w:bookmarkEnd w:id="5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tbl-saisie"/>
          <w:p>
            <w:pPr>
              <w:jc w:val="center"/>
            </w:pPr>
            <w:pPr>
              <w:jc w:val="left"/>
              <w:spacing w:before="200"/>
              <w:pStyle w:val="ImageCaption"/>
            </w:pPr>
            <w:r>
              <w:t xml:space="preserve">Table 1.6: Nombre de questionnaires saisis par opérateur de saisie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Opérateur</w:t>
                  </w:r>
                </w:p>
              </w:tc>
              <w:tc>
                <w:tcPr/>
                <w:p>
                  <w:pPr>
                    <w:pStyle w:val="Compact"/>
                    <w:jc w:val="right"/>
                    <w:jc w:val="center"/>
                  </w:pPr>
                  <w:r>
                    <w:t xml:space="preserve">Questionnaires</w:t>
                  </w:r>
                </w:p>
              </w:tc>
            </w:tr>
            <w:tr>
              <w:tc>
                <w:tcPr/>
                <w:p>
                  <w:pPr>
                    <w:pStyle w:val="Compact"/>
                    <w:jc w:val="left"/>
                    <w:jc w:val="center"/>
                  </w:pPr>
                  <w:r>
                    <w:t xml:space="preserve">OP01</w:t>
                  </w:r>
                </w:p>
              </w:tc>
              <w:tc>
                <w:tcPr/>
                <w:p>
                  <w:pPr>
                    <w:pStyle w:val="Compact"/>
                    <w:jc w:val="right"/>
                    <w:jc w:val="center"/>
                  </w:pPr>
                  <w:r>
                    <w:t xml:space="preserve">252</w:t>
                  </w:r>
                </w:p>
              </w:tc>
            </w:tr>
            <w:tr>
              <w:tc>
                <w:tcPr/>
                <w:p>
                  <w:pPr>
                    <w:pStyle w:val="Compact"/>
                    <w:jc w:val="left"/>
                    <w:jc w:val="center"/>
                  </w:pPr>
                  <w:r>
                    <w:t xml:space="preserve">OP02</w:t>
                  </w:r>
                </w:p>
              </w:tc>
              <w:tc>
                <w:tcPr/>
                <w:p>
                  <w:pPr>
                    <w:pStyle w:val="Compact"/>
                    <w:jc w:val="right"/>
                    <w:jc w:val="center"/>
                  </w:pPr>
                  <w:r>
                    <w:t xml:space="preserve">255</w:t>
                  </w:r>
                </w:p>
              </w:tc>
            </w:tr>
            <w:tr>
              <w:tc>
                <w:tcPr/>
                <w:p>
                  <w:pPr>
                    <w:pStyle w:val="Compact"/>
                    <w:jc w:val="left"/>
                    <w:jc w:val="center"/>
                  </w:pPr>
                  <w:r>
                    <w:t xml:space="preserve">OP03</w:t>
                  </w:r>
                </w:p>
              </w:tc>
              <w:tc>
                <w:tcPr/>
                <w:p>
                  <w:pPr>
                    <w:pStyle w:val="Compact"/>
                    <w:jc w:val="right"/>
                    <w:jc w:val="center"/>
                  </w:pPr>
                  <w:r>
                    <w:t xml:space="preserve">260</w:t>
                  </w:r>
                </w:p>
              </w:tc>
            </w:tr>
            <w:tr>
              <w:tc>
                <w:tcPr/>
                <w:p>
                  <w:pPr>
                    <w:pStyle w:val="Compact"/>
                    <w:jc w:val="left"/>
                    <w:jc w:val="center"/>
                  </w:pPr>
                  <w:r>
                    <w:t xml:space="preserve">OP04</w:t>
                  </w:r>
                </w:p>
              </w:tc>
              <w:tc>
                <w:tcPr/>
                <w:p>
                  <w:pPr>
                    <w:pStyle w:val="Compact"/>
                    <w:jc w:val="right"/>
                    <w:jc w:val="center"/>
                  </w:pPr>
                  <w:r>
                    <w:t xml:space="preserve">259</w:t>
                  </w:r>
                </w:p>
              </w:tc>
            </w:tr>
            <w:tr>
              <w:tc>
                <w:tcPr>
                  <w:gridSpan w:val="2"/>
                </w:tcPr>
                <w:p>
                  <w:pPr>
                    <w:pStyle w:val="Compact"/>
                    <w:jc w:val="left"/>
                    <w:jc w:val="center"/>
                  </w:pPr>
                  <w:r>
                    <w:rPr>
                      <w:b/>
                      <w:bCs/>
                    </w:rPr>
                    <w:t xml:space="preserve">Source : Enquête auprès des OR 2025</w:t>
                  </w:r>
                </w:p>
              </w:tc>
            </w:tr>
          </w:tbl>
          <w:bookmarkEnd w:id="58"/>
          <w:p/>
        </w:tc>
      </w:tr>
    </w:tbl>
    <w:bookmarkEnd w:id="59"/>
    <w:bookmarkEnd w:id="60"/>
    <w:bookmarkEnd w:id="61"/>
    <w:bookmarkStart w:id="165" w:name="X2f0b4bab865cbdc8f0c24eb5bc26af9f83197a2"/>
    <w:p>
      <w:pPr>
        <w:pStyle w:val="Heading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C:\Users\fbede\AppData\Local\Programs\Quarto\share\formats\docx\warning.png" id="6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pPr>
        <w:pStyle w:val="BodyText"/>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BodyText"/>
      </w:pPr>
      <w:r>
        <w:t xml:space="preserve">Les indicateurs démographiques présentés dans cette section sont calculés à partir du fichier ménage (</w:t>
      </w:r>
      <w:r>
        <w:rPr>
          <w:rStyle w:val="VerbatimChar"/>
        </w:rPr>
        <w:t xml:space="preserve">res_deb</w:t>
      </w:r>
      <w:r>
        <w:t xml:space="preserve">) et du fichier des membres (</w:t>
      </w:r>
      <w:r>
        <w:rPr>
          <w:rStyle w:val="VerbatimChar"/>
        </w:rPr>
        <w:t xml:space="preserve">res_m_a</w:t>
      </w:r>
      <w:r>
        <w:t xml:space="preserve">). La classification des activités principales s’appuie sur une nomenclature sectorielle inspirée de la CITI Rév. 4. Les effectifs inférieurs à cinq sont masqués par souci de confidentialité statistique. Les comparaisons entre les deux observatoires doivent tenir compte de la différence de taille des échantillons et de la structure spatiale des zones enquêtées.</w:t>
      </w:r>
    </w:p>
    <w:bookmarkStart w:id="87" w:name="description-des-ménages"/>
    <w:p>
      <w:pPr>
        <w:pStyle w:val="Heading2"/>
      </w:pPr>
      <w:r>
        <w:t xml:space="preserve">2.1 Description des ménages</w:t>
      </w:r>
    </w:p>
    <w:p>
      <w:pPr>
        <w:pStyle w:val="FirstParagraph"/>
      </w:pPr>
      <w:r>
        <w:t xml:space="preserve">L’enquête a permis de recenser 4272 individus répartis dans 1026 ménages au sein des deux observatoires.</w:t>
      </w:r>
    </w:p>
    <w:p>
      <w:pPr>
        <w:pStyle w:val="BodyText"/>
      </w:pPr>
      <w:r>
        <w:t xml:space="preserve">A Alaotra, on a recensé 1975 individus répartis dans 507 ménages. La taille moyenne des ménages s’établit à 3.9 personnes.</w:t>
      </w:r>
    </w:p>
    <w:p>
      <w:pPr>
        <w:pStyle w:val="BodyText"/>
      </w:pPr>
      <w:r>
        <w:t xml:space="preserve">A Marovoay, on a recensé 2297 individus répartis dans 519 ménages. La taille moyenne des ménages s’établit à 4.4 personnes.</w:t>
      </w:r>
    </w:p>
    <w:bookmarkStart w:id="65" w:name="taille-des-ménages-par-observatoire"/>
    <w:p>
      <w:pPr>
        <w:pStyle w:val="Heading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64"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Observatoire</w:t>
                  </w:r>
                </w:p>
              </w:tc>
              <w:tc>
                <w:tcPr/>
                <w:p>
                  <w:pPr>
                    <w:pStyle w:val="Compact"/>
                    <w:jc w:val="right"/>
                    <w:jc w:val="center"/>
                  </w:pPr>
                  <w:r>
                    <w:t xml:space="preserve">Taille moyenne</w:t>
                  </w:r>
                </w:p>
              </w:tc>
            </w:tr>
            <w:tr>
              <w:tc>
                <w:tcPr/>
                <w:p>
                  <w:pPr>
                    <w:pStyle w:val="Compact"/>
                    <w:jc w:val="left"/>
                    <w:jc w:val="center"/>
                  </w:pPr>
                  <w:r>
                    <w:t xml:space="preserve">Alaotra</w:t>
                  </w:r>
                </w:p>
              </w:tc>
              <w:tc>
                <w:tcPr/>
                <w:p>
                  <w:pPr>
                    <w:pStyle w:val="Compact"/>
                    <w:jc w:val="right"/>
                    <w:jc w:val="center"/>
                  </w:pPr>
                  <w:r>
                    <w:t xml:space="preserve">3.90</w:t>
                  </w:r>
                </w:p>
              </w:tc>
            </w:tr>
            <w:tr>
              <w:tc>
                <w:tcPr/>
                <w:p>
                  <w:pPr>
                    <w:pStyle w:val="Compact"/>
                    <w:jc w:val="left"/>
                    <w:jc w:val="center"/>
                  </w:pPr>
                  <w:r>
                    <w:t xml:space="preserve">Marovoay</w:t>
                  </w:r>
                </w:p>
              </w:tc>
              <w:tc>
                <w:tcPr/>
                <w:p>
                  <w:pPr>
                    <w:pStyle w:val="Compact"/>
                    <w:jc w:val="right"/>
                    <w:jc w:val="center"/>
                  </w:pPr>
                  <w:r>
                    <w:t xml:space="preserve">4.43</w:t>
                  </w:r>
                </w:p>
              </w:tc>
            </w:tr>
            <w:tr>
              <w:tc>
                <w:tcPr>
                  <w:gridSpan w:val="2"/>
                </w:tcPr>
                <w:p>
                  <w:pPr>
                    <w:pStyle w:val="Compact"/>
                    <w:jc w:val="left"/>
                    <w:jc w:val="center"/>
                  </w:pPr>
                  <w:r>
                    <w:rPr>
                      <w:b/>
                      <w:bCs/>
                    </w:rPr>
                    <w:t xml:space="preserve">Source : Enquête auprès des OR 2025</w:t>
                  </w:r>
                </w:p>
              </w:tc>
            </w:tr>
          </w:tbl>
          <w:bookmarkEnd w:id="64"/>
          <w:p/>
        </w:tc>
      </w:tr>
    </w:tbl>
    <w:bookmarkEnd w:id="65"/>
    <w:bookmarkStart w:id="66" w:name="X5ecba2ce17d6f5a9c23e4167321cf9d859ff0b5"/>
    <w:p>
      <w:pPr>
        <w:pStyle w:val="Heading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66"/>
    <w:bookmarkStart w:id="74" w:name="structure-par-âge"/>
    <w:p>
      <w:pPr>
        <w:pStyle w:val="Heading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BodyText"/>
      </w:pPr>
      <w:r>
        <w:t xml:space="preserve">A Alaotra, 37 % des individus ont moins de 15 ans. La population en âge de travailler (15–64 ans) représente 57.9 %, tandis que les personnes de 65 ans et plus ne constituent que 5.1 %.</w:t>
      </w:r>
    </w:p>
    <w:p>
      <w:pPr>
        <w:pStyle w:val="BodyText"/>
      </w:pPr>
      <w:r>
        <w:t xml:space="preserve">A Marovoay, 40.7 % des individus ont moins de 15 ans. La population en âge de travailler (15–64 ans) représente 54.7 %, tandis que les personnes de 65 ans et plus ne constituent que 4.6 %.</w:t>
      </w:r>
    </w:p>
    <w:bookmarkStart w:id="73" w:name="au-niveau-des-observatoires"/>
    <w:p>
      <w:pPr>
        <w:pStyle w:val="Heading4"/>
      </w:pPr>
      <w:r>
        <w:t xml:space="preserve">2.1.3.1 Au niveau des observatoires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0-10 ans</w:t>
            </w:r>
          </w:p>
        </w:tc>
        <w:tc>
          <w:tcPr/>
          <w:p>
            <w:pPr>
              <w:pStyle w:val="Compact"/>
              <w:jc w:val="right"/>
            </w:pPr>
            <w:r>
              <w:t xml:space="preserve">551</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407</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322</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232</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177</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143</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88</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53</w:t>
            </w:r>
          </w:p>
        </w:tc>
        <w:tc>
          <w:tcPr/>
          <w:p>
            <w:pPr>
              <w:pStyle w:val="Compact"/>
              <w:jc w:val="right"/>
            </w:pPr>
            <w:r>
              <w:t xml:space="preserve">2.7</w:t>
            </w:r>
          </w:p>
        </w:tc>
      </w:tr>
      <w:tr>
        <w:tc>
          <w:tcPr>
            <w:gridSpan w:val="3"/>
          </w:tcPr>
          <w:p>
            <w:pPr>
              <w:pStyle w:val="Compact"/>
              <w:jc w:val="left"/>
            </w:pPr>
            <w:r>
              <w:t xml:space="preserve">Marovoay</w:t>
            </w:r>
          </w:p>
        </w:tc>
      </w:tr>
      <w:tr>
        <w:tc>
          <w:tcPr/>
          <w:p>
            <w:pPr>
              <w:pStyle w:val="Compact"/>
              <w:jc w:val="left"/>
            </w:pPr>
            <w:r>
              <w:t xml:space="preserve">0-10 ans</w:t>
            </w:r>
          </w:p>
        </w:tc>
        <w:tc>
          <w:tcPr/>
          <w:p>
            <w:pPr>
              <w:pStyle w:val="Compact"/>
              <w:jc w:val="right"/>
            </w:pPr>
            <w:r>
              <w:t xml:space="preserve">679</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542</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355</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222</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193</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146</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124</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36</w:t>
            </w:r>
          </w:p>
        </w:tc>
        <w:tc>
          <w:tcPr/>
          <w:p>
            <w:pPr>
              <w:pStyle w:val="Compact"/>
              <w:jc w:val="right"/>
            </w:pPr>
            <w:r>
              <w:t xml:space="preserve">1.6</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8" name="Picture"/>
            <a:graphic>
              <a:graphicData uri="http://schemas.openxmlformats.org/drawingml/2006/picture">
                <pic:pic>
                  <pic:nvPicPr>
                    <pic:cNvPr descr="02_structure_menages_files/figure-docx/fig_age_obs-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3696101"/>
            <wp:effectExtent b="0" l="0" r="0" t="0"/>
            <wp:docPr descr="Pyramide des âges des membres des ménages enquêtés par observatoire" title="" id="71" name="Picture"/>
            <a:graphic>
              <a:graphicData uri="http://schemas.openxmlformats.org/drawingml/2006/picture">
                <pic:pic>
                  <pic:nvPicPr>
                    <pic:cNvPr descr="02_structure_menages_files/figure-docx/fig_pyramide-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73"/>
    <w:bookmarkEnd w:id="74"/>
    <w:bookmarkStart w:id="78" w:name="origine-des-cm-et-conjoints"/>
    <w:p>
      <w:pPr>
        <w:pStyle w:val="Heading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Origine des chefs de ménage et conjoints par observatoire</w:t>
            </w:r>
          </w:p>
        </w:tc>
      </w:tr>
      <w:tr>
        <w:trPr>
          <w:tblHeader w:val="on"/>
        </w:trPr>
        <w:tc>
          <w:tcPr>
            <w:gridSpan w:val="5"/>
          </w:tcPr>
          <w:p>
            <w:pPr>
              <w:pStyle w:val="Compact"/>
              <w:jc w:val="center"/>
            </w:pPr>
            <w:r>
              <w:t xml:space="preserve">Effectifs et pourcentages</w:t>
            </w:r>
          </w:p>
        </w:tc>
      </w:tr>
      <w:tr>
        <w:trPr>
          <w:tblHeader w:val="on"/>
        </w:trPr>
        <w:tc>
          <w:tcPr>
            <w:vMerge w:val="restart"/>
          </w:tcPr>
          <w:p>
            <w:pPr>
              <w:pStyle w:val="Compact"/>
              <w:jc w:val="left"/>
            </w:pPr>
            <w:r>
              <w:t xml:space="preserve">Origine</w:t>
            </w:r>
          </w:p>
        </w:tc>
        <w:tc>
          <w:tcPr>
            <w:gridSpan w:val="2"/>
          </w:tcPr>
          <w:p>
            <w:pPr>
              <w:pStyle w:val="Compact"/>
              <w:jc w:val="center"/>
            </w:pPr>
            <w:r>
              <w:t xml:space="preserve">Chefs de ménage</w:t>
            </w:r>
          </w:p>
        </w:tc>
        <w:tc>
          <w:tcPr>
            <w:gridSpan w:val="2"/>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Alaotra</w:t>
            </w:r>
          </w:p>
        </w:tc>
      </w:tr>
      <w:tr>
        <w:tc>
          <w:tcPr/>
          <w:p>
            <w:pPr>
              <w:pStyle w:val="Compact"/>
              <w:jc w:val="left"/>
            </w:pPr>
            <w:r>
              <w:t xml:space="preserve">Mpihavy</w:t>
            </w:r>
          </w:p>
        </w:tc>
        <w:tc>
          <w:tcPr/>
          <w:p>
            <w:pPr>
              <w:pStyle w:val="Compact"/>
              <w:jc w:val="right"/>
            </w:pPr>
            <w:r>
              <w:t xml:space="preserve">52</w:t>
            </w:r>
          </w:p>
        </w:tc>
        <w:tc>
          <w:tcPr/>
          <w:p>
            <w:pPr>
              <w:pStyle w:val="Compact"/>
              <w:jc w:val="right"/>
            </w:pPr>
            <w:r>
              <w:t xml:space="preserve">10.3</w:t>
            </w:r>
          </w:p>
        </w:tc>
        <w:tc>
          <w:tcPr/>
          <w:p>
            <w:pPr>
              <w:pStyle w:val="Compact"/>
              <w:jc w:val="right"/>
            </w:pPr>
            <w:r>
              <w:t xml:space="preserve">61</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338</w:t>
            </w:r>
          </w:p>
        </w:tc>
        <w:tc>
          <w:tcPr/>
          <w:p>
            <w:pPr>
              <w:pStyle w:val="Compact"/>
              <w:jc w:val="right"/>
            </w:pPr>
            <w:r>
              <w:t xml:space="preserve">66.8</w:t>
            </w:r>
          </w:p>
        </w:tc>
        <w:tc>
          <w:tcPr/>
          <w:p>
            <w:pPr>
              <w:pStyle w:val="Compact"/>
              <w:jc w:val="right"/>
            </w:pPr>
            <w:r>
              <w:t xml:space="preserve">210</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26</w:t>
            </w:r>
          </w:p>
        </w:tc>
        <w:tc>
          <w:tcPr/>
          <w:p>
            <w:pPr>
              <w:pStyle w:val="Compact"/>
              <w:jc w:val="right"/>
            </w:pPr>
            <w:r>
              <w:t xml:space="preserve">5.1</w:t>
            </w:r>
          </w:p>
        </w:tc>
        <w:tc>
          <w:tcPr/>
          <w:p>
            <w:pPr>
              <w:pStyle w:val="Compact"/>
              <w:jc w:val="right"/>
            </w:pPr>
            <w:r>
              <w:t xml:space="preserve">28</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90</w:t>
            </w:r>
          </w:p>
        </w:tc>
        <w:tc>
          <w:tcPr/>
          <w:p>
            <w:pPr>
              <w:pStyle w:val="Compact"/>
              <w:jc w:val="right"/>
            </w:pPr>
            <w:r>
              <w:t xml:space="preserve">17.8</w:t>
            </w:r>
          </w:p>
        </w:tc>
        <w:tc>
          <w:tcPr/>
          <w:p>
            <w:pPr>
              <w:pStyle w:val="Compact"/>
              <w:jc w:val="right"/>
            </w:pPr>
            <w:r>
              <w:t xml:space="preserve">73</w:t>
            </w:r>
          </w:p>
        </w:tc>
        <w:tc>
          <w:tcPr/>
          <w:p>
            <w:pPr>
              <w:pStyle w:val="Compact"/>
              <w:jc w:val="right"/>
            </w:pPr>
            <w:r>
              <w:t xml:space="preserve">19.6</w:t>
            </w:r>
          </w:p>
        </w:tc>
      </w:tr>
      <w:tr>
        <w:tc>
          <w:tcPr>
            <w:gridSpan w:val="5"/>
          </w:tcPr>
          <w:p>
            <w:pPr>
              <w:pStyle w:val="Compact"/>
              <w:jc w:val="left"/>
            </w:pPr>
            <w:r>
              <w:t xml:space="preserve">Marovoay</w:t>
            </w:r>
          </w:p>
        </w:tc>
      </w:tr>
      <w:tr>
        <w:tc>
          <w:tcPr/>
          <w:p>
            <w:pPr>
              <w:pStyle w:val="Compact"/>
              <w:jc w:val="left"/>
            </w:pPr>
            <w:r>
              <w:t xml:space="preserve">Mpihavy</w:t>
            </w:r>
          </w:p>
        </w:tc>
        <w:tc>
          <w:tcPr/>
          <w:p>
            <w:pPr>
              <w:pStyle w:val="Compact"/>
              <w:jc w:val="right"/>
            </w:pPr>
            <w:r>
              <w:t xml:space="preserve">42</w:t>
            </w:r>
          </w:p>
        </w:tc>
        <w:tc>
          <w:tcPr/>
          <w:p>
            <w:pPr>
              <w:pStyle w:val="Compact"/>
              <w:jc w:val="right"/>
            </w:pPr>
            <w:r>
              <w:t xml:space="preserve">8.1</w:t>
            </w:r>
          </w:p>
        </w:tc>
        <w:tc>
          <w:tcPr/>
          <w:p>
            <w:pPr>
              <w:pStyle w:val="Compact"/>
              <w:jc w:val="right"/>
            </w:pPr>
            <w:r>
              <w:t xml:space="preserve">52</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202</w:t>
            </w:r>
          </w:p>
        </w:tc>
        <w:tc>
          <w:tcPr/>
          <w:p>
            <w:pPr>
              <w:pStyle w:val="Compact"/>
              <w:jc w:val="right"/>
            </w:pPr>
            <w:r>
              <w:t xml:space="preserve">39.0</w:t>
            </w:r>
          </w:p>
        </w:tc>
        <w:tc>
          <w:tcPr/>
          <w:p>
            <w:pPr>
              <w:pStyle w:val="Compact"/>
              <w:jc w:val="right"/>
            </w:pPr>
            <w:r>
              <w:t xml:space="preserve">141</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70</w:t>
            </w:r>
          </w:p>
        </w:tc>
        <w:tc>
          <w:tcPr/>
          <w:p>
            <w:pPr>
              <w:pStyle w:val="Compact"/>
              <w:jc w:val="right"/>
            </w:pPr>
            <w:r>
              <w:t xml:space="preserve">13.5</w:t>
            </w:r>
          </w:p>
        </w:tc>
        <w:tc>
          <w:tcPr/>
          <w:p>
            <w:pPr>
              <w:pStyle w:val="Compact"/>
              <w:jc w:val="right"/>
            </w:pPr>
            <w:r>
              <w:t xml:space="preserve">43</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204</w:t>
            </w:r>
          </w:p>
        </w:tc>
        <w:tc>
          <w:tcPr/>
          <w:p>
            <w:pPr>
              <w:pStyle w:val="Compact"/>
              <w:jc w:val="right"/>
            </w:pPr>
            <w:r>
              <w:t xml:space="preserve">39.4</w:t>
            </w:r>
          </w:p>
        </w:tc>
        <w:tc>
          <w:tcPr/>
          <w:p>
            <w:pPr>
              <w:pStyle w:val="Compact"/>
              <w:jc w:val="right"/>
            </w:pPr>
            <w:r>
              <w:t xml:space="preserve">140</w:t>
            </w:r>
          </w:p>
        </w:tc>
        <w:tc>
          <w:tcPr/>
          <w:p>
            <w:pPr>
              <w:pStyle w:val="Compact"/>
              <w:jc w:val="right"/>
            </w:pPr>
            <w:r>
              <w:t xml:space="preserve">37.2</w:t>
            </w:r>
          </w:p>
        </w:tc>
      </w:tr>
      <w:tr>
        <w:tc>
          <w:tcPr>
            <w:gridSpan w:val="5"/>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76" name="Picture"/>
            <a:graphic>
              <a:graphicData uri="http://schemas.openxmlformats.org/drawingml/2006/picture">
                <pic:pic>
                  <pic:nvPicPr>
                    <pic:cNvPr descr="02_structure_menages_files/figure-docx/fig_origine-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bookmarkEnd w:id="78"/>
    <w:bookmarkStart w:id="82" w:name="région-dorigine"/>
    <w:p>
      <w:pPr>
        <w:pStyle w:val="Heading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Région d'origine des CM et conjoints</w:t>
            </w:r>
          </w:p>
        </w:tc>
      </w:tr>
      <w:tr>
        <w:trPr>
          <w:tblHeader w:val="on"/>
        </w:trPr>
        <w:tc>
          <w:tcPr>
            <w:gridSpan w:val="5"/>
          </w:tcPr>
          <w:p>
            <w:pPr>
              <w:pStyle w:val="Compact"/>
              <w:jc w:val="center"/>
            </w:pPr>
            <w:r>
              <w:t xml:space="preserve">Effectifs et pourcentages</w:t>
            </w:r>
          </w:p>
        </w:tc>
      </w:tr>
      <w:tr>
        <w:trPr>
          <w:tblHeader w:val="on"/>
        </w:trPr>
        <w:tc>
          <w:tcPr>
            <w:vMerge w:val="restart"/>
          </w:tcPr>
          <w:p>
            <w:pPr>
              <w:pStyle w:val="Compact"/>
              <w:jc w:val="right"/>
            </w:pPr>
            <w:r>
              <w:t xml:space="preserve">Région</w:t>
            </w:r>
          </w:p>
        </w:tc>
        <w:tc>
          <w:tcPr>
            <w:gridSpan w:val="2"/>
          </w:tcPr>
          <w:p>
            <w:pPr>
              <w:pStyle w:val="Compact"/>
              <w:jc w:val="center"/>
            </w:pPr>
            <w:r>
              <w:t xml:space="preserve">Chefs de ménage</w:t>
            </w:r>
          </w:p>
        </w:tc>
        <w:tc>
          <w:tcPr>
            <w:gridSpan w:val="2"/>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Alaotra</w:t>
            </w:r>
          </w:p>
        </w:tc>
      </w:tr>
      <w:tr>
        <w:tc>
          <w:tcPr/>
          <w:p>
            <w:pPr>
              <w:pStyle w:val="Compact"/>
              <w:jc w:val="right"/>
            </w:pPr>
            <w:r>
              <w:t xml:space="preserve">1</w:t>
            </w:r>
          </w:p>
        </w:tc>
        <w:tc>
          <w:tcPr/>
          <w:p>
            <w:pPr>
              <w:pStyle w:val="Compact"/>
              <w:jc w:val="right"/>
            </w:pPr>
            <w:r>
              <w:t xml:space="preserve">15</w:t>
            </w:r>
          </w:p>
        </w:tc>
        <w:tc>
          <w:tcPr/>
          <w:p>
            <w:pPr>
              <w:pStyle w:val="Compact"/>
              <w:jc w:val="right"/>
            </w:pPr>
            <w:r>
              <w:t xml:space="preserve">15.6</w:t>
            </w:r>
          </w:p>
        </w:tc>
        <w:tc>
          <w:tcPr/>
          <w:p>
            <w:pPr>
              <w:pStyle w:val="Compact"/>
              <w:jc w:val="right"/>
            </w:pPr>
            <w:r>
              <w:t xml:space="preserve">14</w:t>
            </w:r>
          </w:p>
        </w:tc>
        <w:tc>
          <w:tcPr/>
          <w:p>
            <w:pPr>
              <w:pStyle w:val="Compact"/>
              <w:jc w:val="right"/>
            </w:pPr>
            <w:r>
              <w:t xml:space="preserve">13.3</w:t>
            </w:r>
          </w:p>
        </w:tc>
      </w:tr>
      <w:tr>
        <w:tc>
          <w:tcPr/>
          <w:p>
            <w:pPr>
              <w:pStyle w:val="Compact"/>
              <w:jc w:val="right"/>
            </w:pPr>
            <w:r>
              <w:t xml:space="preserve">2</w:t>
            </w:r>
          </w:p>
        </w:tc>
        <w:tc>
          <w:tcPr/>
          <w:p>
            <w:pPr>
              <w:pStyle w:val="Compact"/>
              <w:jc w:val="right"/>
            </w:pPr>
            <w:r>
              <w:t xml:space="preserve">21</w:t>
            </w:r>
          </w:p>
        </w:tc>
        <w:tc>
          <w:tcPr/>
          <w:p>
            <w:pPr>
              <w:pStyle w:val="Compact"/>
              <w:jc w:val="right"/>
            </w:pPr>
            <w:r>
              <w:t xml:space="preserve">21.9</w:t>
            </w:r>
          </w:p>
        </w:tc>
        <w:tc>
          <w:tcPr/>
          <w:p>
            <w:pPr>
              <w:pStyle w:val="Compact"/>
              <w:jc w:val="right"/>
            </w:pPr>
            <w:r>
              <w:t xml:space="preserve">34</w:t>
            </w:r>
          </w:p>
        </w:tc>
        <w:tc>
          <w:tcPr/>
          <w:p>
            <w:pPr>
              <w:pStyle w:val="Compact"/>
              <w:jc w:val="right"/>
            </w:pPr>
            <w:r>
              <w:t xml:space="preserve">32.4</w:t>
            </w:r>
          </w:p>
        </w:tc>
      </w:tr>
      <w:tr>
        <w:tc>
          <w:tcPr/>
          <w:p>
            <w:pPr>
              <w:pStyle w:val="Compact"/>
              <w:jc w:val="right"/>
            </w:pPr>
            <w:r>
              <w:t xml:space="preserve">3</w:t>
            </w:r>
          </w:p>
        </w:tc>
        <w:tc>
          <w:tcPr/>
          <w:p>
            <w:pPr>
              <w:pStyle w:val="Compact"/>
              <w:jc w:val="right"/>
            </w:pPr>
            <w:r>
              <w:t xml:space="preserve">60</w:t>
            </w:r>
          </w:p>
        </w:tc>
        <w:tc>
          <w:tcPr/>
          <w:p>
            <w:pPr>
              <w:pStyle w:val="Compact"/>
              <w:jc w:val="right"/>
            </w:pPr>
            <w:r>
              <w:t xml:space="preserve">62.5</w:t>
            </w:r>
          </w:p>
        </w:tc>
        <w:tc>
          <w:tcPr/>
          <w:p>
            <w:pPr>
              <w:pStyle w:val="Compact"/>
              <w:jc w:val="right"/>
            </w:pPr>
            <w:r>
              <w:t xml:space="preserve">57</w:t>
            </w:r>
          </w:p>
        </w:tc>
        <w:tc>
          <w:tcPr/>
          <w:p>
            <w:pPr>
              <w:pStyle w:val="Compact"/>
              <w:jc w:val="right"/>
            </w:pPr>
            <w:r>
              <w:t xml:space="preserve">54.3</w:t>
            </w:r>
          </w:p>
        </w:tc>
      </w:tr>
      <w:tr>
        <w:tc>
          <w:tcPr>
            <w:gridSpan w:val="5"/>
          </w:tcPr>
          <w:p>
            <w:pPr>
              <w:pStyle w:val="Compact"/>
              <w:jc w:val="left"/>
            </w:pPr>
            <w:r>
              <w:t xml:space="preserve">Marovoay</w:t>
            </w:r>
          </w:p>
        </w:tc>
      </w:tr>
      <w:tr>
        <w:tc>
          <w:tcPr/>
          <w:p>
            <w:pPr>
              <w:pStyle w:val="Compact"/>
              <w:jc w:val="right"/>
            </w:pPr>
            <w:r>
              <w:t xml:space="preserve">1</w:t>
            </w:r>
          </w:p>
        </w:tc>
        <w:tc>
          <w:tcPr/>
          <w:p>
            <w:pPr>
              <w:pStyle w:val="Compact"/>
              <w:jc w:val="right"/>
            </w:pPr>
            <w:r>
              <w:t xml:space="preserve">10</w:t>
            </w:r>
          </w:p>
        </w:tc>
        <w:tc>
          <w:tcPr/>
          <w:p>
            <w:pPr>
              <w:pStyle w:val="Compact"/>
              <w:jc w:val="right"/>
            </w:pPr>
            <w:r>
              <w:t xml:space="preserve">7.2</w:t>
            </w:r>
          </w:p>
        </w:tc>
        <w:tc>
          <w:tcPr/>
          <w:p>
            <w:pPr>
              <w:pStyle w:val="Compact"/>
              <w:jc w:val="right"/>
            </w:pPr>
            <w:r>
              <w:t xml:space="preserve">7</w:t>
            </w:r>
          </w:p>
        </w:tc>
        <w:tc>
          <w:tcPr/>
          <w:p>
            <w:pPr>
              <w:pStyle w:val="Compact"/>
              <w:jc w:val="right"/>
            </w:pPr>
            <w:r>
              <w:t xml:space="preserve">6.4</w:t>
            </w:r>
          </w:p>
        </w:tc>
      </w:tr>
      <w:tr>
        <w:tc>
          <w:tcPr/>
          <w:p>
            <w:pPr>
              <w:pStyle w:val="Compact"/>
              <w:jc w:val="right"/>
            </w:pPr>
            <w:r>
              <w:t xml:space="preserve">2</w:t>
            </w:r>
          </w:p>
        </w:tc>
        <w:tc>
          <w:tcPr/>
          <w:p>
            <w:pPr>
              <w:pStyle w:val="Compact"/>
              <w:jc w:val="right"/>
            </w:pPr>
            <w:r>
              <w:t xml:space="preserve">5</w:t>
            </w:r>
          </w:p>
        </w:tc>
        <w:tc>
          <w:tcPr/>
          <w:p>
            <w:pPr>
              <w:pStyle w:val="Compact"/>
              <w:jc w:val="right"/>
            </w:pPr>
            <w:r>
              <w:t xml:space="preserve">3.6</w:t>
            </w:r>
          </w:p>
        </w:tc>
        <w:tc>
          <w:tcPr/>
          <w:p>
            <w:pPr>
              <w:pStyle w:val="Compact"/>
              <w:jc w:val="right"/>
            </w:pPr>
            <w:r>
              <w:t xml:space="preserve">21</w:t>
            </w:r>
          </w:p>
        </w:tc>
        <w:tc>
          <w:tcPr/>
          <w:p>
            <w:pPr>
              <w:pStyle w:val="Compact"/>
              <w:jc w:val="right"/>
            </w:pPr>
            <w:r>
              <w:t xml:space="preserve">19.1</w:t>
            </w:r>
          </w:p>
        </w:tc>
      </w:tr>
      <w:tr>
        <w:tc>
          <w:tcPr/>
          <w:p>
            <w:pPr>
              <w:pStyle w:val="Compact"/>
              <w:jc w:val="right"/>
            </w:pPr>
            <w:r>
              <w:t xml:space="preserve">3</w:t>
            </w:r>
          </w:p>
        </w:tc>
        <w:tc>
          <w:tcPr/>
          <w:p>
            <w:pPr>
              <w:pStyle w:val="Compact"/>
              <w:jc w:val="right"/>
            </w:pPr>
            <w:r>
              <w:t xml:space="preserve">123</w:t>
            </w:r>
          </w:p>
        </w:tc>
        <w:tc>
          <w:tcPr/>
          <w:p>
            <w:pPr>
              <w:pStyle w:val="Compact"/>
              <w:jc w:val="right"/>
            </w:pPr>
            <w:r>
              <w:t xml:space="preserve">89.1</w:t>
            </w:r>
          </w:p>
        </w:tc>
        <w:tc>
          <w:tcPr/>
          <w:p>
            <w:pPr>
              <w:pStyle w:val="Compact"/>
              <w:jc w:val="right"/>
            </w:pPr>
            <w:r>
              <w:t xml:space="preserve">82</w:t>
            </w:r>
          </w:p>
        </w:tc>
        <w:tc>
          <w:tcPr/>
          <w:p>
            <w:pPr>
              <w:pStyle w:val="Compact"/>
              <w:jc w:val="right"/>
            </w:pPr>
            <w:r>
              <w:t xml:space="preserve">74.5</w:t>
            </w:r>
          </w:p>
        </w:tc>
      </w:tr>
      <w:tr>
        <w:tc>
          <w:tcPr>
            <w:gridSpan w:val="5"/>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80" name="Picture"/>
            <a:graphic>
              <a:graphicData uri="http://schemas.openxmlformats.org/drawingml/2006/picture">
                <pic:pic>
                  <pic:nvPicPr>
                    <pic:cNvPr descr="02_structure_menages_files/figure-docx/fig_homeland-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86" w:name="raison-dinstallation"/>
    <w:p>
      <w:pPr>
        <w:pStyle w:val="Heading3"/>
      </w:pPr>
      <w:r>
        <w:t xml:space="preserve">2.1.6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Raison d'implantation des CM et conjoints par observatoire</w:t>
            </w:r>
          </w:p>
        </w:tc>
      </w:tr>
      <w:tr>
        <w:trPr>
          <w:tblHeader w:val="on"/>
        </w:trPr>
        <w:tc>
          <w:tcPr>
            <w:gridSpan w:val="5"/>
          </w:tcPr>
          <w:p>
            <w:pPr>
              <w:pStyle w:val="Compact"/>
              <w:jc w:val="center"/>
            </w:pPr>
            <w:r>
              <w:t xml:space="preserve">Effectifs et pourcentages</w:t>
            </w:r>
          </w:p>
        </w:tc>
      </w:tr>
      <w:tr>
        <w:trPr>
          <w:tblHeader w:val="on"/>
        </w:trPr>
        <w:tc>
          <w:tcPr>
            <w:vMerge w:val="restart"/>
          </w:tcPr>
          <w:p>
            <w:pPr>
              <w:pStyle w:val="Compact"/>
              <w:jc w:val="left"/>
            </w:pPr>
            <w:r>
              <w:t xml:space="preserve">Raison</w:t>
            </w:r>
          </w:p>
        </w:tc>
        <w:tc>
          <w:tcPr>
            <w:gridSpan w:val="2"/>
          </w:tcPr>
          <w:p>
            <w:pPr>
              <w:pStyle w:val="Compact"/>
              <w:jc w:val="center"/>
            </w:pPr>
            <w:r>
              <w:t xml:space="preserve">Chefs de ménage</w:t>
            </w:r>
          </w:p>
        </w:tc>
        <w:tc>
          <w:tcPr>
            <w:gridSpan w:val="2"/>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Alaotra</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113</w:t>
            </w:r>
          </w:p>
        </w:tc>
        <w:tc>
          <w:tcPr/>
          <w:p>
            <w:pPr>
              <w:pStyle w:val="Compact"/>
              <w:jc w:val="right"/>
            </w:pPr>
            <w:r>
              <w:t xml:space="preserve">30.5</w:t>
            </w:r>
          </w:p>
        </w:tc>
      </w:tr>
      <w:tr>
        <w:tc>
          <w:tcPr/>
          <w:p>
            <w:pPr>
              <w:pStyle w:val="Compact"/>
              <w:jc w:val="left"/>
            </w:pPr>
            <w:r>
              <w:t xml:space="preserve">Natif</w:t>
            </w:r>
          </w:p>
        </w:tc>
        <w:tc>
          <w:tcPr/>
          <w:p>
            <w:pPr>
              <w:pStyle w:val="Compact"/>
              <w:jc w:val="right"/>
            </w:pPr>
            <w:r>
              <w:t xml:space="preserve">371</w:t>
            </w:r>
          </w:p>
        </w:tc>
        <w:tc>
          <w:tcPr/>
          <w:p>
            <w:pPr>
              <w:pStyle w:val="Compact"/>
              <w:jc w:val="right"/>
            </w:pPr>
            <w:r>
              <w:t xml:space="preserve">73.3</w:t>
            </w:r>
          </w:p>
        </w:tc>
        <w:tc>
          <w:tcPr/>
          <w:p>
            <w:pPr>
              <w:pStyle w:val="Compact"/>
              <w:jc w:val="right"/>
            </w:pPr>
            <w:r>
              <w:t xml:space="preserve">216</w:t>
            </w:r>
          </w:p>
        </w:tc>
        <w:tc>
          <w:tcPr/>
          <w:p>
            <w:pPr>
              <w:pStyle w:val="Compact"/>
              <w:jc w:val="right"/>
            </w:pPr>
            <w:r>
              <w:t xml:space="preserve">58.2</w:t>
            </w:r>
          </w:p>
        </w:tc>
      </w:tr>
      <w:tr>
        <w:tc>
          <w:tcPr/>
          <w:p>
            <w:pPr>
              <w:pStyle w:val="Compact"/>
              <w:jc w:val="left"/>
            </w:pPr>
            <w:r>
              <w:t xml:space="preserve">Travail agricole</w:t>
            </w:r>
          </w:p>
        </w:tc>
        <w:tc>
          <w:tcPr/>
          <w:p>
            <w:pPr>
              <w:pStyle w:val="Compact"/>
              <w:jc w:val="right"/>
            </w:pPr>
            <w:r>
              <w:t xml:space="preserve">46</w:t>
            </w:r>
          </w:p>
        </w:tc>
        <w:tc>
          <w:tcPr/>
          <w:p>
            <w:pPr>
              <w:pStyle w:val="Compact"/>
              <w:jc w:val="right"/>
            </w:pPr>
            <w:r>
              <w:t xml:space="preserve">9.1</w:t>
            </w:r>
          </w:p>
        </w:tc>
        <w:tc>
          <w:tcPr/>
          <w:p>
            <w:pPr>
              <w:pStyle w:val="Compact"/>
              <w:jc w:val="right"/>
            </w:pPr>
            <w:r>
              <w:t xml:space="preserve">25</w:t>
            </w:r>
          </w:p>
        </w:tc>
        <w:tc>
          <w:tcPr/>
          <w:p>
            <w:pPr>
              <w:pStyle w:val="Compact"/>
              <w:jc w:val="right"/>
            </w:pPr>
            <w:r>
              <w:t xml:space="preserve">6.7</w:t>
            </w:r>
          </w:p>
        </w:tc>
      </w:tr>
      <w:tr>
        <w:tc>
          <w:tcPr/>
          <w:p>
            <w:pPr>
              <w:pStyle w:val="Compact"/>
              <w:jc w:val="left"/>
            </w:pPr>
            <w:r>
              <w:t xml:space="preserve">Travail non agricole</w:t>
            </w:r>
          </w:p>
        </w:tc>
        <w:tc>
          <w:tcPr/>
          <w:p>
            <w:pPr>
              <w:pStyle w:val="Compact"/>
              <w:jc w:val="right"/>
            </w:pPr>
            <w:r>
              <w:t xml:space="preserve">35</w:t>
            </w:r>
          </w:p>
        </w:tc>
        <w:tc>
          <w:tcPr/>
          <w:p>
            <w:pPr>
              <w:pStyle w:val="Compact"/>
              <w:jc w:val="right"/>
            </w:pPr>
            <w:r>
              <w:t xml:space="preserve">6.9</w:t>
            </w:r>
          </w:p>
        </w:tc>
        <w:tc>
          <w:tcPr/>
          <w:p>
            <w:pPr>
              <w:pStyle w:val="Compact"/>
              <w:jc w:val="right"/>
            </w:pPr>
            <w:r>
              <w:t xml:space="preserve">15</w:t>
            </w:r>
          </w:p>
        </w:tc>
        <w:tc>
          <w:tcPr/>
          <w:p>
            <w:pPr>
              <w:pStyle w:val="Compact"/>
              <w:jc w:val="right"/>
            </w:pPr>
            <w:r>
              <w:t xml:space="preserve">4.0</w:t>
            </w:r>
          </w:p>
        </w:tc>
      </w:tr>
      <w:tr>
        <w:tc>
          <w:tcPr>
            <w:gridSpan w:val="5"/>
          </w:tcPr>
          <w:p>
            <w:pPr>
              <w:pStyle w:val="Compact"/>
              <w:jc w:val="left"/>
            </w:pPr>
            <w:r>
              <w:t xml:space="preserve">Marovoay</w:t>
            </w:r>
          </w:p>
        </w:tc>
      </w:tr>
      <w:tr>
        <w:tc>
          <w:tcPr/>
          <w:p>
            <w:pPr>
              <w:pStyle w:val="Compact"/>
              <w:jc w:val="left"/>
            </w:pPr>
            <w:r>
              <w:t xml:space="preserve">Autre raison</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Mariage</w:t>
            </w:r>
          </w:p>
        </w:tc>
        <w:tc>
          <w:tcPr/>
          <w:p>
            <w:pPr>
              <w:pStyle w:val="Compact"/>
              <w:jc w:val="right"/>
            </w:pPr>
            <w:r>
              <w:t xml:space="preserve">19</w:t>
            </w:r>
          </w:p>
        </w:tc>
        <w:tc>
          <w:tcPr/>
          <w:p>
            <w:pPr>
              <w:pStyle w:val="Compact"/>
              <w:jc w:val="right"/>
            </w:pPr>
            <w:r>
              <w:t xml:space="preserve">3.7</w:t>
            </w:r>
          </w:p>
        </w:tc>
        <w:tc>
          <w:tcPr/>
          <w:p>
            <w:pPr>
              <w:pStyle w:val="Compact"/>
              <w:jc w:val="right"/>
            </w:pPr>
            <w:r>
              <w:t xml:space="preserve">82</w:t>
            </w:r>
          </w:p>
        </w:tc>
        <w:tc>
          <w:tcPr/>
          <w:p>
            <w:pPr>
              <w:pStyle w:val="Compact"/>
              <w:jc w:val="right"/>
            </w:pPr>
            <w:r>
              <w:t xml:space="preserve">21.8</w:t>
            </w:r>
          </w:p>
        </w:tc>
      </w:tr>
      <w:tr>
        <w:tc>
          <w:tcPr/>
          <w:p>
            <w:pPr>
              <w:pStyle w:val="Compact"/>
              <w:jc w:val="left"/>
            </w:pPr>
            <w:r>
              <w:t xml:space="preserve">Natif</w:t>
            </w:r>
          </w:p>
        </w:tc>
        <w:tc>
          <w:tcPr/>
          <w:p>
            <w:pPr>
              <w:pStyle w:val="Compact"/>
              <w:jc w:val="right"/>
            </w:pPr>
            <w:r>
              <w:t xml:space="preserve">373</w:t>
            </w:r>
          </w:p>
        </w:tc>
        <w:tc>
          <w:tcPr/>
          <w:p>
            <w:pPr>
              <w:pStyle w:val="Compact"/>
              <w:jc w:val="right"/>
            </w:pPr>
            <w:r>
              <w:t xml:space="preserve">71.9</w:t>
            </w:r>
          </w:p>
        </w:tc>
        <w:tc>
          <w:tcPr/>
          <w:p>
            <w:pPr>
              <w:pStyle w:val="Compact"/>
              <w:jc w:val="right"/>
            </w:pPr>
            <w:r>
              <w:t xml:space="preserve">234</w:t>
            </w:r>
          </w:p>
        </w:tc>
        <w:tc>
          <w:tcPr/>
          <w:p>
            <w:pPr>
              <w:pStyle w:val="Compact"/>
              <w:jc w:val="right"/>
            </w:pPr>
            <w:r>
              <w:t xml:space="preserve">62.2</w:t>
            </w:r>
          </w:p>
        </w:tc>
      </w:tr>
      <w:tr>
        <w:tc>
          <w:tcPr/>
          <w:p>
            <w:pPr>
              <w:pStyle w:val="Compact"/>
              <w:jc w:val="left"/>
            </w:pPr>
            <w:r>
              <w:t xml:space="preserve">Travail agricole</w:t>
            </w:r>
          </w:p>
        </w:tc>
        <w:tc>
          <w:tcPr/>
          <w:p>
            <w:pPr>
              <w:pStyle w:val="Compact"/>
              <w:jc w:val="right"/>
            </w:pPr>
            <w:r>
              <w:t xml:space="preserve">81</w:t>
            </w:r>
          </w:p>
        </w:tc>
        <w:tc>
          <w:tcPr/>
          <w:p>
            <w:pPr>
              <w:pStyle w:val="Compact"/>
              <w:jc w:val="right"/>
            </w:pPr>
            <w:r>
              <w:t xml:space="preserve">15.6</w:t>
            </w:r>
          </w:p>
        </w:tc>
        <w:tc>
          <w:tcPr/>
          <w:p>
            <w:pPr>
              <w:pStyle w:val="Compact"/>
              <w:jc w:val="right"/>
            </w:pPr>
            <w:r>
              <w:t xml:space="preserve">37</w:t>
            </w:r>
          </w:p>
        </w:tc>
        <w:tc>
          <w:tcPr/>
          <w:p>
            <w:pPr>
              <w:pStyle w:val="Compact"/>
              <w:jc w:val="right"/>
            </w:pPr>
            <w:r>
              <w:t xml:space="preserve">9.8</w:t>
            </w:r>
          </w:p>
        </w:tc>
      </w:tr>
      <w:tr>
        <w:tc>
          <w:tcPr/>
          <w:p>
            <w:pPr>
              <w:pStyle w:val="Compact"/>
              <w:jc w:val="left"/>
            </w:pPr>
            <w:r>
              <w:t xml:space="preserve">Travail non agricole</w:t>
            </w:r>
          </w:p>
        </w:tc>
        <w:tc>
          <w:tcPr/>
          <w:p>
            <w:pPr>
              <w:pStyle w:val="Compact"/>
              <w:jc w:val="right"/>
            </w:pPr>
            <w:r>
              <w:t xml:space="preserve">43</w:t>
            </w:r>
          </w:p>
        </w:tc>
        <w:tc>
          <w:tcPr/>
          <w:p>
            <w:pPr>
              <w:pStyle w:val="Compact"/>
              <w:jc w:val="right"/>
            </w:pPr>
            <w:r>
              <w:t xml:space="preserve">8.3</w:t>
            </w:r>
          </w:p>
        </w:tc>
        <w:tc>
          <w:tcPr/>
          <w:p>
            <w:pPr>
              <w:pStyle w:val="Compact"/>
              <w:jc w:val="right"/>
            </w:pPr>
            <w:r>
              <w:t xml:space="preserve">21</w:t>
            </w:r>
          </w:p>
        </w:tc>
        <w:tc>
          <w:tcPr/>
          <w:p>
            <w:pPr>
              <w:pStyle w:val="Compact"/>
              <w:jc w:val="right"/>
            </w:pPr>
            <w:r>
              <w:t xml:space="preserve">5.6</w:t>
            </w:r>
          </w:p>
        </w:tc>
      </w:tr>
      <w:tr>
        <w:tc>
          <w:tcPr>
            <w:gridSpan w:val="5"/>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84" name="Picture"/>
            <a:graphic>
              <a:graphicData uri="http://schemas.openxmlformats.org/drawingml/2006/picture">
                <pic:pic>
                  <pic:nvPicPr>
                    <pic:cNvPr descr="02_structure_menages_files/figure-docx/fig_raison-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End w:id="86"/>
    <w:bookmarkEnd w:id="87"/>
    <w:bookmarkStart w:id="113" w:name="caractéristiques-des-chefs-de-ménages"/>
    <w:p>
      <w:pPr>
        <w:pStyle w:val="Heading2"/>
      </w:pPr>
      <w:r>
        <w:t xml:space="preserve">2.2 Caractéristiques des chefs de ménages</w:t>
      </w:r>
    </w:p>
    <w:p>
      <w:pPr>
        <w:pStyle w:val="FirstParagraph"/>
      </w:pPr>
      <w:r>
        <w:t xml:space="preserve">Le profil des chefs de ménage (CM) est décrit ci-dessous.</w:t>
      </w:r>
    </w:p>
    <w:p>
      <w:pPr>
        <w:pStyle w:val="BodyText"/>
      </w:pPr>
      <w:r>
        <w:t xml:space="preserve">Dans l’Alaotra, 78.3 % des CM sont des hommes, soit 21.7 % de ménages dirigés par des femmes. L’âge moyen des CM est de 45.4 ans. Sur le plan conjugal, 74.2 % des CM vivent en couple (mariés ou en concubinage).</w:t>
      </w:r>
    </w:p>
    <w:p>
      <w:pPr>
        <w:pStyle w:val="BodyText"/>
      </w:pPr>
      <w:r>
        <w:t xml:space="preserve">A Marovoay, 78 % des CM sont des hommes, soit 22 % de ménages dirigés par des femmes. L’âge moyen des CM est de 46.1 ans. Sur le plan conjugal, 73 % des CM vivent en couple (mariés ou en concubinage).</w:t>
      </w:r>
    </w:p>
    <w:bookmarkStart w:id="88" w:name="caractéristiques-socio-démographiques"/>
    <w:p>
      <w:pPr>
        <w:pStyle w:val="Heading3"/>
      </w:pPr>
      <w:r>
        <w:t xml:space="preserve">2.2.1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110 (21.7%)</w:t>
            </w:r>
          </w:p>
        </w:tc>
        <w:tc>
          <w:tcPr/>
          <w:p>
            <w:pPr>
              <w:pStyle w:val="Compact"/>
              <w:jc w:val="right"/>
            </w:pPr>
            <w:r>
              <w:t xml:space="preserve">114 (22%)</w:t>
            </w:r>
          </w:p>
        </w:tc>
      </w:tr>
      <w:tr>
        <w:tc>
          <w:tcPr/>
          <w:p>
            <w:pPr>
              <w:pStyle w:val="Compact"/>
              <w:jc w:val="left"/>
            </w:pPr>
            <w:r>
              <w:t xml:space="preserve">Homme</w:t>
            </w:r>
          </w:p>
        </w:tc>
        <w:tc>
          <w:tcPr/>
          <w:p>
            <w:pPr>
              <w:pStyle w:val="Compact"/>
              <w:jc w:val="right"/>
            </w:pPr>
            <w:r>
              <w:t xml:space="preserve">397 (78.3%)</w:t>
            </w:r>
          </w:p>
        </w:tc>
        <w:tc>
          <w:tcPr/>
          <w:p>
            <w:pPr>
              <w:pStyle w:val="Compact"/>
              <w:jc w:val="right"/>
            </w:pPr>
            <w:r>
              <w:t xml:space="preserve">405 (78%)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88"/>
    <w:bookmarkStart w:id="91" w:name="niveau-déducation"/>
    <w:p>
      <w:pPr>
        <w:pStyle w:val="Heading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BodyText"/>
      </w:pPr>
      <w:r>
        <w:t xml:space="preserve">Dans l’Alaotra, le niveau le plus fréquemment atteint est « Primaire » (67.3 % des CM).</w:t>
      </w:r>
    </w:p>
    <w:p>
      <w:pPr>
        <w:pStyle w:val="BodyText"/>
      </w:pPr>
      <w:r>
        <w:t xml:space="preserve">A Marovoay, le niveau le plus fréquemment atteint est « Primaire » (61 % des CM).</w:t>
      </w:r>
    </w:p>
    <w:bookmarkStart w:id="89" w:name="niveau-déducation-du-chef-de-ménage"/>
    <w:p>
      <w:pPr>
        <w:pStyle w:val="Heading4"/>
      </w:pPr>
      <w:r>
        <w:t xml:space="preserve">2.2.2.1 Niveau d’éducation du Chef de ménage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51 (10.1%)</w:t>
            </w:r>
          </w:p>
        </w:tc>
        <w:tc>
          <w:tcPr/>
          <w:p>
            <w:pPr>
              <w:pStyle w:val="Compact"/>
              <w:jc w:val="right"/>
            </w:pPr>
            <w:r>
              <w:t xml:space="preserve">78 (15%)</w:t>
            </w:r>
          </w:p>
        </w:tc>
      </w:tr>
      <w:tr>
        <w:tc>
          <w:tcPr/>
          <w:p>
            <w:pPr>
              <w:pStyle w:val="Compact"/>
              <w:jc w:val="left"/>
            </w:pPr>
            <w:r>
              <w:t xml:space="preserve">Primaire</w:t>
            </w:r>
          </w:p>
        </w:tc>
        <w:tc>
          <w:tcPr/>
          <w:p>
            <w:pPr>
              <w:pStyle w:val="Compact"/>
              <w:jc w:val="right"/>
            </w:pPr>
            <w:r>
              <w:t xml:space="preserve">307 (60.6%)</w:t>
            </w:r>
          </w:p>
        </w:tc>
        <w:tc>
          <w:tcPr/>
          <w:p>
            <w:pPr>
              <w:pStyle w:val="Compact"/>
              <w:jc w:val="right"/>
            </w:pPr>
            <w:r>
              <w:t xml:space="preserve">269 (51.8%)</w:t>
            </w:r>
          </w:p>
        </w:tc>
      </w:tr>
      <w:tr>
        <w:tc>
          <w:tcPr/>
          <w:p>
            <w:pPr>
              <w:pStyle w:val="Compact"/>
              <w:jc w:val="left"/>
            </w:pPr>
            <w:r>
              <w:t xml:space="preserve">Secondaire 1er cycle</w:t>
            </w:r>
          </w:p>
        </w:tc>
        <w:tc>
          <w:tcPr/>
          <w:p>
            <w:pPr>
              <w:pStyle w:val="Compact"/>
              <w:jc w:val="right"/>
            </w:pPr>
            <w:r>
              <w:t xml:space="preserve">109 (21.5%)</w:t>
            </w:r>
          </w:p>
        </w:tc>
        <w:tc>
          <w:tcPr/>
          <w:p>
            <w:pPr>
              <w:pStyle w:val="Compact"/>
              <w:jc w:val="right"/>
            </w:pPr>
            <w:r>
              <w:t xml:space="preserve">130 (25%)</w:t>
            </w:r>
          </w:p>
        </w:tc>
      </w:tr>
      <w:tr>
        <w:tc>
          <w:tcPr/>
          <w:p>
            <w:pPr>
              <w:pStyle w:val="Compact"/>
              <w:jc w:val="left"/>
            </w:pPr>
            <w:r>
              <w:t xml:space="preserve">Secondaire 2ème cycle &amp; sup.</w:t>
            </w:r>
          </w:p>
        </w:tc>
        <w:tc>
          <w:tcPr/>
          <w:p>
            <w:pPr>
              <w:pStyle w:val="Compact"/>
              <w:jc w:val="right"/>
            </w:pPr>
            <w:r>
              <w:t xml:space="preserve">40 (7.9%)</w:t>
            </w:r>
          </w:p>
        </w:tc>
        <w:tc>
          <w:tcPr/>
          <w:p>
            <w:pPr>
              <w:pStyle w:val="Compact"/>
              <w:jc w:val="right"/>
            </w:pPr>
            <w:r>
              <w:t xml:space="preserve">42 (8.1%)</w:t>
            </w:r>
          </w:p>
        </w:tc>
      </w:tr>
      <w:tr>
        <w:tc>
          <w:tcPr>
            <w:gridSpan w:val="3"/>
          </w:tcPr>
          <w:p>
            <w:pPr>
              <w:pStyle w:val="Compact"/>
              <w:jc w:val="left"/>
            </w:pPr>
            <w:r>
              <w:rPr>
                <w:b/>
                <w:bCs/>
              </w:rPr>
              <w:t xml:space="preserve">Source : Enquête auprès des OR 2025</w:t>
            </w:r>
          </w:p>
        </w:tc>
      </w:tr>
    </w:tbl>
    <w:bookmarkEnd w:id="89"/>
    <w:bookmarkStart w:id="90" w:name="X4a3ba4957ab1c055d132d85a923cd063717f406"/>
    <w:p>
      <w:pPr>
        <w:pStyle w:val="Heading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33 (8.3%)</w:t>
            </w:r>
          </w:p>
        </w:tc>
        <w:tc>
          <w:tcPr/>
          <w:p>
            <w:pPr>
              <w:pStyle w:val="Compact"/>
              <w:jc w:val="right"/>
            </w:pPr>
            <w:r>
              <w:t xml:space="preserve">18 (16.4%)</w:t>
            </w:r>
          </w:p>
        </w:tc>
        <w:tc>
          <w:tcPr/>
          <w:p>
            <w:pPr>
              <w:pStyle w:val="Compact"/>
              <w:jc w:val="right"/>
            </w:pPr>
            <w:r>
              <w:t xml:space="preserve">65 (16%)</w:t>
            </w:r>
          </w:p>
        </w:tc>
        <w:tc>
          <w:tcPr/>
          <w:p>
            <w:pPr>
              <w:pStyle w:val="Compact"/>
              <w:jc w:val="right"/>
            </w:pPr>
            <w:r>
              <w:t xml:space="preserve">13 (11.4%)</w:t>
            </w:r>
          </w:p>
        </w:tc>
      </w:tr>
      <w:tr>
        <w:tc>
          <w:tcPr/>
          <w:p>
            <w:pPr>
              <w:pStyle w:val="Compact"/>
              <w:jc w:val="left"/>
            </w:pPr>
            <w:r>
              <w:t xml:space="preserve">Primaire</w:t>
            </w:r>
          </w:p>
        </w:tc>
        <w:tc>
          <w:tcPr/>
          <w:p>
            <w:pPr>
              <w:pStyle w:val="Compact"/>
              <w:jc w:val="right"/>
            </w:pPr>
            <w:r>
              <w:t xml:space="preserve">237 (59.7%)</w:t>
            </w:r>
          </w:p>
        </w:tc>
        <w:tc>
          <w:tcPr/>
          <w:p>
            <w:pPr>
              <w:pStyle w:val="Compact"/>
              <w:jc w:val="right"/>
            </w:pPr>
            <w:r>
              <w:t xml:space="preserve">70 (63.6%)</w:t>
            </w:r>
          </w:p>
        </w:tc>
        <w:tc>
          <w:tcPr/>
          <w:p>
            <w:pPr>
              <w:pStyle w:val="Compact"/>
              <w:jc w:val="right"/>
            </w:pPr>
            <w:r>
              <w:t xml:space="preserve">199 (49.1%)</w:t>
            </w:r>
          </w:p>
        </w:tc>
        <w:tc>
          <w:tcPr/>
          <w:p>
            <w:pPr>
              <w:pStyle w:val="Compact"/>
              <w:jc w:val="right"/>
            </w:pPr>
            <w:r>
              <w:t xml:space="preserve">70 (61.4%)</w:t>
            </w:r>
          </w:p>
        </w:tc>
      </w:tr>
      <w:tr>
        <w:tc>
          <w:tcPr/>
          <w:p>
            <w:pPr>
              <w:pStyle w:val="Compact"/>
              <w:jc w:val="left"/>
            </w:pPr>
            <w:r>
              <w:t xml:space="preserve">Secondaire 1er cycle</w:t>
            </w:r>
          </w:p>
        </w:tc>
        <w:tc>
          <w:tcPr/>
          <w:p>
            <w:pPr>
              <w:pStyle w:val="Compact"/>
              <w:jc w:val="right"/>
            </w:pPr>
            <w:r>
              <w:t xml:space="preserve">92 (23.2%)</w:t>
            </w:r>
          </w:p>
        </w:tc>
        <w:tc>
          <w:tcPr/>
          <w:p>
            <w:pPr>
              <w:pStyle w:val="Compact"/>
              <w:jc w:val="right"/>
            </w:pPr>
            <w:r>
              <w:t xml:space="preserve">17 (15.5%)</w:t>
            </w:r>
          </w:p>
        </w:tc>
        <w:tc>
          <w:tcPr/>
          <w:p>
            <w:pPr>
              <w:pStyle w:val="Compact"/>
              <w:jc w:val="right"/>
            </w:pPr>
            <w:r>
              <w:t xml:space="preserve">104 (25.7%)</w:t>
            </w:r>
          </w:p>
        </w:tc>
        <w:tc>
          <w:tcPr/>
          <w:p>
            <w:pPr>
              <w:pStyle w:val="Compact"/>
              <w:jc w:val="right"/>
            </w:pPr>
            <w:r>
              <w:t xml:space="preserve">26 (22.8%)</w:t>
            </w:r>
          </w:p>
        </w:tc>
      </w:tr>
      <w:tr>
        <w:tc>
          <w:tcPr/>
          <w:p>
            <w:pPr>
              <w:pStyle w:val="Compact"/>
              <w:jc w:val="left"/>
            </w:pPr>
            <w:r>
              <w:t xml:space="preserve">Secondaire 2ème cycle &amp; sup.</w:t>
            </w:r>
          </w:p>
        </w:tc>
        <w:tc>
          <w:tcPr/>
          <w:p>
            <w:pPr>
              <w:pStyle w:val="Compact"/>
              <w:jc w:val="right"/>
            </w:pPr>
            <w:r>
              <w:t xml:space="preserve">35 (8.8%)</w:t>
            </w:r>
          </w:p>
        </w:tc>
        <w:tc>
          <w:tcPr/>
          <w:p>
            <w:pPr>
              <w:pStyle w:val="Compact"/>
              <w:jc w:val="right"/>
            </w:pPr>
            <w:r>
              <w:t xml:space="preserve">5 (4.5%)</w:t>
            </w:r>
          </w:p>
        </w:tc>
        <w:tc>
          <w:tcPr/>
          <w:p>
            <w:pPr>
              <w:pStyle w:val="Compact"/>
              <w:jc w:val="right"/>
            </w:pPr>
            <w:r>
              <w:t xml:space="preserve">37 (9.1%)</w:t>
            </w:r>
          </w:p>
        </w:tc>
        <w:tc>
          <w:tcPr/>
          <w:p>
            <w:pPr>
              <w:pStyle w:val="Compact"/>
              <w:jc w:val="right"/>
            </w:pPr>
            <w:r>
              <w:t xml:space="preserve">5 (4.4%)</w:t>
            </w:r>
          </w:p>
        </w:tc>
      </w:tr>
      <w:tr>
        <w:tc>
          <w:tcPr>
            <w:gridSpan w:val="5"/>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5"/>
          </w:tcPr>
          <w:p>
            <w:pPr>
              <w:pStyle w:val="Compact"/>
              <w:jc w:val="left"/>
            </w:pPr>
            <w:r>
              <w:rPr>
                <w:b/>
                <w:bCs/>
              </w:rPr>
              <w:t xml:space="preserve">Source : Enquête auprès des OR 2025</w:t>
            </w:r>
          </w:p>
        </w:tc>
      </w:tr>
    </w:tbl>
    <w:bookmarkEnd w:id="90"/>
    <w:bookmarkEnd w:id="91"/>
    <w:bookmarkStart w:id="104" w:name="alphabétisation-des-chefs-de-ménage"/>
    <w:p>
      <w:pPr>
        <w:pStyle w:val="Heading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avec une ventilation par sexe.</w:t>
      </w:r>
    </w:p>
    <w:p>
      <w:pPr>
        <w:pStyle w:val="BodyText"/>
      </w:pPr>
      <w:r>
        <w:t xml:space="preserve">Dans l’Alaotra, 84.2 % des CM savent lire et écrire.</w:t>
      </w:r>
    </w:p>
    <w:p>
      <w:pPr>
        <w:pStyle w:val="BodyText"/>
      </w:pPr>
      <w:r>
        <w:t xml:space="preserve">A Marovoay, 72.8 % des CM savent lire et écrire.</w:t>
      </w:r>
    </w:p>
    <w:bookmarkStart w:id="95" w:name="savoir-lire-et-écrire"/>
    <w:p>
      <w:pPr>
        <w:pStyle w:val="Heading4"/>
      </w:pPr>
      <w:r>
        <w:t xml:space="preserve">2.2.3.1 Savoir lire et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lire et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427</w:t>
            </w:r>
          </w:p>
        </w:tc>
      </w:tr>
      <w:tr>
        <w:tc>
          <w:tcPr/>
          <w:p>
            <w:pPr>
              <w:pStyle w:val="Compact"/>
              <w:jc w:val="left"/>
            </w:pPr>
            <w:r>
              <w:t xml:space="preserve">Marovoay</w:t>
            </w:r>
          </w:p>
        </w:tc>
        <w:tc>
          <w:tcPr/>
          <w:p>
            <w:pPr>
              <w:pStyle w:val="Compact"/>
              <w:jc w:val="right"/>
            </w:pPr>
            <w:r>
              <w:t xml:space="preserve">378</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lire et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right"/>
            </w:pPr>
            <w:r>
              <w:t xml:space="preserve">87</w:t>
            </w:r>
          </w:p>
        </w:tc>
        <w:tc>
          <w:tcPr/>
          <w:p>
            <w:pPr>
              <w:pStyle w:val="Compact"/>
              <w:jc w:val="right"/>
            </w:pPr>
            <w:r>
              <w:t xml:space="preserve">20.4</w:t>
            </w:r>
          </w:p>
        </w:tc>
      </w:tr>
      <w:tr>
        <w:tc>
          <w:tcPr/>
          <w:p>
            <w:pPr>
              <w:pStyle w:val="Compact"/>
              <w:jc w:val="left"/>
            </w:pPr>
            <w:r>
              <w:t xml:space="preserve">Homme</w:t>
            </w:r>
          </w:p>
        </w:tc>
        <w:tc>
          <w:tcPr/>
          <w:p>
            <w:pPr>
              <w:pStyle w:val="Compact"/>
              <w:jc w:val="right"/>
            </w:pPr>
            <w:r>
              <w:t xml:space="preserve">340</w:t>
            </w:r>
          </w:p>
        </w:tc>
        <w:tc>
          <w:tcPr/>
          <w:p>
            <w:pPr>
              <w:pStyle w:val="Compact"/>
              <w:jc w:val="right"/>
            </w:pPr>
            <w:r>
              <w:t xml:space="preserve">79.6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right"/>
            </w:pPr>
            <w:r>
              <w:t xml:space="preserve">84</w:t>
            </w:r>
          </w:p>
        </w:tc>
        <w:tc>
          <w:tcPr/>
          <w:p>
            <w:pPr>
              <w:pStyle w:val="Compact"/>
              <w:jc w:val="right"/>
            </w:pPr>
            <w:r>
              <w:t xml:space="preserve">22.2</w:t>
            </w:r>
          </w:p>
        </w:tc>
      </w:tr>
      <w:tr>
        <w:tc>
          <w:tcPr/>
          <w:p>
            <w:pPr>
              <w:pStyle w:val="Compact"/>
              <w:jc w:val="left"/>
            </w:pPr>
            <w:r>
              <w:t xml:space="preserve">Homme</w:t>
            </w:r>
          </w:p>
        </w:tc>
        <w:tc>
          <w:tcPr/>
          <w:p>
            <w:pPr>
              <w:pStyle w:val="Compact"/>
              <w:jc w:val="right"/>
            </w:pPr>
            <w:r>
              <w:t xml:space="preserve">294</w:t>
            </w:r>
          </w:p>
        </w:tc>
        <w:tc>
          <w:tcPr/>
          <w:p>
            <w:pPr>
              <w:pStyle w:val="Compact"/>
              <w:jc w:val="right"/>
            </w:pPr>
            <w:r>
              <w:t xml:space="preserve">77.8</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Effectifs — CM sachant lire et écrire selon le sexe" title="" id="93" name="Picture"/>
            <a:graphic>
              <a:graphicData uri="http://schemas.openxmlformats.org/drawingml/2006/picture">
                <pic:pic>
                  <pic:nvPicPr>
                    <pic:cNvPr descr="02_structure_menages_files/figure-docx/fig_cm_rw_sex-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Effectifs — CM sachant lire et écrire selon le sexe</w:t>
      </w:r>
    </w:p>
    <w:bookmarkEnd w:id="95"/>
    <w:bookmarkStart w:id="99" w:name="savoir-lire"/>
    <w:p>
      <w:pPr>
        <w:pStyle w:val="Heading4"/>
      </w:pPr>
      <w:r>
        <w:t xml:space="preserve">2.2.3.2 Savoir lire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lire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428</w:t>
            </w:r>
          </w:p>
        </w:tc>
      </w:tr>
      <w:tr>
        <w:tc>
          <w:tcPr/>
          <w:p>
            <w:pPr>
              <w:pStyle w:val="Compact"/>
              <w:jc w:val="left"/>
            </w:pPr>
            <w:r>
              <w:t xml:space="preserve">Marovoay</w:t>
            </w:r>
          </w:p>
        </w:tc>
        <w:tc>
          <w:tcPr/>
          <w:p>
            <w:pPr>
              <w:pStyle w:val="Compact"/>
              <w:jc w:val="right"/>
            </w:pPr>
            <w:r>
              <w:t xml:space="preserve">384</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lire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right"/>
            </w:pPr>
            <w:r>
              <w:t xml:space="preserve">87</w:t>
            </w:r>
          </w:p>
        </w:tc>
        <w:tc>
          <w:tcPr/>
          <w:p>
            <w:pPr>
              <w:pStyle w:val="Compact"/>
              <w:jc w:val="right"/>
            </w:pPr>
            <w:r>
              <w:t xml:space="preserve">20.3</w:t>
            </w:r>
          </w:p>
        </w:tc>
      </w:tr>
      <w:tr>
        <w:tc>
          <w:tcPr/>
          <w:p>
            <w:pPr>
              <w:pStyle w:val="Compact"/>
              <w:jc w:val="left"/>
            </w:pPr>
            <w:r>
              <w:t xml:space="preserve">Homme</w:t>
            </w:r>
          </w:p>
        </w:tc>
        <w:tc>
          <w:tcPr/>
          <w:p>
            <w:pPr>
              <w:pStyle w:val="Compact"/>
              <w:jc w:val="right"/>
            </w:pPr>
            <w:r>
              <w:t xml:space="preserve">341</w:t>
            </w:r>
          </w:p>
        </w:tc>
        <w:tc>
          <w:tcPr/>
          <w:p>
            <w:pPr>
              <w:pStyle w:val="Compact"/>
              <w:jc w:val="right"/>
            </w:pPr>
            <w:r>
              <w:t xml:space="preserve">79.7</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right"/>
            </w:pPr>
            <w:r>
              <w:t xml:space="preserve">85</w:t>
            </w:r>
          </w:p>
        </w:tc>
        <w:tc>
          <w:tcPr/>
          <w:p>
            <w:pPr>
              <w:pStyle w:val="Compact"/>
              <w:jc w:val="right"/>
            </w:pPr>
            <w:r>
              <w:t xml:space="preserve">22.1</w:t>
            </w:r>
          </w:p>
        </w:tc>
      </w:tr>
      <w:tr>
        <w:tc>
          <w:tcPr/>
          <w:p>
            <w:pPr>
              <w:pStyle w:val="Compact"/>
              <w:jc w:val="left"/>
            </w:pPr>
            <w:r>
              <w:t xml:space="preserve">Homme</w:t>
            </w:r>
          </w:p>
        </w:tc>
        <w:tc>
          <w:tcPr/>
          <w:p>
            <w:pPr>
              <w:pStyle w:val="Compact"/>
              <w:jc w:val="right"/>
            </w:pPr>
            <w:r>
              <w:t xml:space="preserve">299</w:t>
            </w:r>
          </w:p>
        </w:tc>
        <w:tc>
          <w:tcPr/>
          <w:p>
            <w:pPr>
              <w:pStyle w:val="Compact"/>
              <w:jc w:val="right"/>
            </w:pPr>
            <w:r>
              <w:t xml:space="preserve">77.9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Effectifs — CM sachant lire selon le sexe" title="" id="97" name="Picture"/>
            <a:graphic>
              <a:graphicData uri="http://schemas.openxmlformats.org/drawingml/2006/picture">
                <pic:pic>
                  <pic:nvPicPr>
                    <pic:cNvPr descr="02_structure_menages_files/figure-docx/fig_cm_r_sex-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Effectifs — CM sachant lire selon le sexe</w:t>
      </w:r>
    </w:p>
    <w:bookmarkEnd w:id="99"/>
    <w:bookmarkStart w:id="103" w:name="savoir-écrire"/>
    <w:p>
      <w:pPr>
        <w:pStyle w:val="Heading4"/>
      </w:pPr>
      <w:r>
        <w:t xml:space="preserve">2.2.3.3 Savoir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CM sachant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428</w:t>
            </w:r>
          </w:p>
        </w:tc>
      </w:tr>
      <w:tr>
        <w:tc>
          <w:tcPr/>
          <w:p>
            <w:pPr>
              <w:pStyle w:val="Compact"/>
              <w:jc w:val="left"/>
            </w:pPr>
            <w:r>
              <w:t xml:space="preserve">Marovoay</w:t>
            </w:r>
          </w:p>
        </w:tc>
        <w:tc>
          <w:tcPr/>
          <w:p>
            <w:pPr>
              <w:pStyle w:val="Compact"/>
              <w:jc w:val="right"/>
            </w:pPr>
            <w:r>
              <w:t xml:space="preserve">378</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CM sachant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right"/>
            </w:pPr>
            <w:r>
              <w:t xml:space="preserve">87</w:t>
            </w:r>
          </w:p>
        </w:tc>
        <w:tc>
          <w:tcPr/>
          <w:p>
            <w:pPr>
              <w:pStyle w:val="Compact"/>
              <w:jc w:val="right"/>
            </w:pPr>
            <w:r>
              <w:t xml:space="preserve">20.3</w:t>
            </w:r>
          </w:p>
        </w:tc>
      </w:tr>
      <w:tr>
        <w:tc>
          <w:tcPr/>
          <w:p>
            <w:pPr>
              <w:pStyle w:val="Compact"/>
              <w:jc w:val="left"/>
            </w:pPr>
            <w:r>
              <w:t xml:space="preserve">Homme</w:t>
            </w:r>
          </w:p>
        </w:tc>
        <w:tc>
          <w:tcPr/>
          <w:p>
            <w:pPr>
              <w:pStyle w:val="Compact"/>
              <w:jc w:val="right"/>
            </w:pPr>
            <w:r>
              <w:t xml:space="preserve">341</w:t>
            </w:r>
          </w:p>
        </w:tc>
        <w:tc>
          <w:tcPr/>
          <w:p>
            <w:pPr>
              <w:pStyle w:val="Compact"/>
              <w:jc w:val="right"/>
            </w:pPr>
            <w:r>
              <w:t xml:space="preserve">79.7</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right"/>
            </w:pPr>
            <w:r>
              <w:t xml:space="preserve">84</w:t>
            </w:r>
          </w:p>
        </w:tc>
        <w:tc>
          <w:tcPr/>
          <w:p>
            <w:pPr>
              <w:pStyle w:val="Compact"/>
              <w:jc w:val="right"/>
            </w:pPr>
            <w:r>
              <w:t xml:space="preserve">22.2</w:t>
            </w:r>
          </w:p>
        </w:tc>
      </w:tr>
      <w:tr>
        <w:tc>
          <w:tcPr/>
          <w:p>
            <w:pPr>
              <w:pStyle w:val="Compact"/>
              <w:jc w:val="left"/>
            </w:pPr>
            <w:r>
              <w:t xml:space="preserve">Homme</w:t>
            </w:r>
          </w:p>
        </w:tc>
        <w:tc>
          <w:tcPr/>
          <w:p>
            <w:pPr>
              <w:pStyle w:val="Compact"/>
              <w:jc w:val="right"/>
            </w:pPr>
            <w:r>
              <w:t xml:space="preserve">294</w:t>
            </w:r>
          </w:p>
        </w:tc>
        <w:tc>
          <w:tcPr/>
          <w:p>
            <w:pPr>
              <w:pStyle w:val="Compact"/>
              <w:jc w:val="right"/>
            </w:pPr>
            <w:r>
              <w:t xml:space="preserve">77.8</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Effectifs — CM sachant écrire selon le sexe" title="" id="101" name="Picture"/>
            <a:graphic>
              <a:graphicData uri="http://schemas.openxmlformats.org/drawingml/2006/picture">
                <pic:pic>
                  <pic:nvPicPr>
                    <pic:cNvPr descr="02_structure_menages_files/figure-docx/fig_cm_w_sex-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Effectifs — CM sachant écrire selon le sexe</w:t>
      </w:r>
    </w:p>
    <w:bookmarkEnd w:id="103"/>
    <w:bookmarkEnd w:id="104"/>
    <w:bookmarkStart w:id="112" w:name="Xd28e2db47e64cd6bed940357b8301db0b46a084"/>
    <w:p>
      <w:pPr>
        <w:pStyle w:val="Heading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BodyText"/>
      </w:pPr>
      <w:r>
        <w:t xml:space="preserve">Dans l’Alaotra, l’activité dominante est « Cultivateur exploitant » (60.4 % des CM).</w:t>
      </w:r>
    </w:p>
    <w:p>
      <w:pPr>
        <w:pStyle w:val="BodyText"/>
      </w:pPr>
      <w:r>
        <w:t xml:space="preserve">A Marovoay, l’activité dominante est « Cultivateur exploitant » (58.6 % des CM).</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du chef de ménage par observatoire</w:t>
            </w:r>
          </w:p>
        </w:tc>
      </w:tr>
      <w:tr>
        <w:trPr>
          <w:tblHeader w:val="on"/>
        </w:trPr>
        <w:tc>
          <w:tcPr/>
          <w:p>
            <w:pPr>
              <w:pStyle w:val="Compact"/>
              <w:jc w:val="left"/>
            </w:pPr>
            <w:r>
              <w:t xml:space="preserve">Activité</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305</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63</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45</w:t>
            </w:r>
          </w:p>
        </w:tc>
        <w:tc>
          <w:tcPr/>
          <w:p>
            <w:pPr>
              <w:pStyle w:val="Compact"/>
              <w:jc w:val="right"/>
            </w:pPr>
            <w:r>
              <w:t xml:space="preserve">8.9</w:t>
            </w:r>
          </w:p>
        </w:tc>
      </w:tr>
      <w:tr>
        <w:tc>
          <w:tcPr/>
          <w:p>
            <w:pPr>
              <w:pStyle w:val="Compact"/>
              <w:jc w:val="left"/>
            </w:pPr>
            <w:r>
              <w:t xml:space="preserve">Services &amp; Autres</w:t>
            </w:r>
          </w:p>
        </w:tc>
        <w:tc>
          <w:tcPr/>
          <w:p>
            <w:pPr>
              <w:pStyle w:val="Compact"/>
              <w:jc w:val="right"/>
            </w:pPr>
            <w:r>
              <w:t xml:space="preserve">33</w:t>
            </w:r>
          </w:p>
        </w:tc>
        <w:tc>
          <w:tcPr/>
          <w:p>
            <w:pPr>
              <w:pStyle w:val="Compact"/>
              <w:jc w:val="right"/>
            </w:pPr>
            <w:r>
              <w:t xml:space="preserve">6.5</w:t>
            </w:r>
          </w:p>
        </w:tc>
      </w:tr>
      <w:tr>
        <w:tc>
          <w:tcPr/>
          <w:p>
            <w:pPr>
              <w:pStyle w:val="Compact"/>
              <w:jc w:val="left"/>
            </w:pPr>
            <w:r>
              <w:t xml:space="preserve">Elevage, Pêche &amp; Ress. nat.</w:t>
            </w:r>
          </w:p>
        </w:tc>
        <w:tc>
          <w:tcPr/>
          <w:p>
            <w:pPr>
              <w:pStyle w:val="Compact"/>
              <w:jc w:val="right"/>
            </w:pPr>
            <w:r>
              <w:t xml:space="preserve">31</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28</w:t>
            </w:r>
          </w:p>
        </w:tc>
        <w:tc>
          <w:tcPr/>
          <w:p>
            <w:pPr>
              <w:pStyle w:val="Compact"/>
              <w:jc w:val="right"/>
            </w:pPr>
            <w:r>
              <w:t xml:space="preserve">5.5</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304</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95</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38</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35</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25</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22</w:t>
            </w:r>
          </w:p>
        </w:tc>
        <w:tc>
          <w:tcPr/>
          <w:p>
            <w:pPr>
              <w:pStyle w:val="Compact"/>
              <w:jc w:val="right"/>
            </w:pPr>
            <w:r>
              <w:t xml:space="preserve">4.2</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06" name="Picture"/>
            <a:graphic>
              <a:graphicData uri="http://schemas.openxmlformats.org/drawingml/2006/picture">
                <pic:pic>
                  <pic:nvPicPr>
                    <pic:cNvPr descr="02_structure_menages_files/figure-docx/cm_act-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bookmarkStart w:id="111" w:name="activités-principales-des-cm-par-sexe"/>
    <w:p>
      <w:pPr>
        <w:pStyle w:val="Heading4"/>
      </w:pPr>
      <w:r>
        <w:t xml:space="preserve">2.2.4.1 Activités principales des CM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Activités principales des CM par sexe par observatoire</w:t>
            </w:r>
          </w:p>
        </w:tc>
      </w:tr>
      <w:tr>
        <w:trPr>
          <w:tblHeader w:val="on"/>
        </w:trPr>
        <w:tc>
          <w:tcPr>
            <w:vMerge w:val="restart"/>
          </w:tcPr>
          <w:p>
            <w:pPr>
              <w:pStyle w:val="Compact"/>
              <w:jc w:val="left"/>
            </w:pPr>
            <w:r>
              <w:t xml:space="preserve">Activité</w:t>
            </w:r>
          </w:p>
        </w:tc>
        <w:tc>
          <w:tcPr>
            <w:gridSpan w:val="2"/>
          </w:tcPr>
          <w:p>
            <w:pPr>
              <w:pStyle w:val="Compact"/>
              <w:jc w:val="center"/>
            </w:pPr>
            <w:r>
              <w:t xml:space="preserve">Femme</w:t>
            </w:r>
          </w:p>
        </w:tc>
        <w:tc>
          <w:tcPr>
            <w:gridSpan w:val="2"/>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46</w:t>
            </w:r>
          </w:p>
        </w:tc>
        <w:tc>
          <w:tcPr/>
          <w:p>
            <w:pPr>
              <w:pStyle w:val="Compact"/>
              <w:jc w:val="right"/>
            </w:pPr>
            <w:r>
              <w:t xml:space="preserve">42.2</w:t>
            </w:r>
          </w:p>
        </w:tc>
        <w:tc>
          <w:tcPr/>
          <w:p>
            <w:pPr>
              <w:pStyle w:val="Compact"/>
              <w:jc w:val="right"/>
            </w:pPr>
            <w:r>
              <w:t xml:space="preserve">259</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18</w:t>
            </w:r>
          </w:p>
        </w:tc>
        <w:tc>
          <w:tcPr/>
          <w:p>
            <w:pPr>
              <w:pStyle w:val="Compact"/>
              <w:jc w:val="right"/>
            </w:pPr>
            <w:r>
              <w:t xml:space="preserve">16.5</w:t>
            </w:r>
          </w:p>
        </w:tc>
        <w:tc>
          <w:tcPr/>
          <w:p>
            <w:pPr>
              <w:pStyle w:val="Compact"/>
              <w:jc w:val="right"/>
            </w:pPr>
            <w:r>
              <w:t xml:space="preserve">10</w:t>
            </w:r>
          </w:p>
        </w:tc>
        <w:tc>
          <w:tcPr/>
          <w:p>
            <w:pPr>
              <w:pStyle w:val="Compact"/>
              <w:jc w:val="right"/>
            </w:pPr>
            <w:r>
              <w:t xml:space="preserve">2.5</w:t>
            </w:r>
          </w:p>
        </w:tc>
      </w:tr>
      <w:tr>
        <w:tc>
          <w:tcPr/>
          <w:p>
            <w:pPr>
              <w:pStyle w:val="Compact"/>
              <w:jc w:val="left"/>
            </w:pPr>
            <w:r>
              <w:t xml:space="preserve">Services &amp; Autres</w:t>
            </w:r>
          </w:p>
        </w:tc>
        <w:tc>
          <w:tcPr/>
          <w:p>
            <w:pPr>
              <w:pStyle w:val="Compact"/>
              <w:jc w:val="right"/>
            </w:pPr>
            <w:r>
              <w:t xml:space="preserve">18</w:t>
            </w:r>
          </w:p>
        </w:tc>
        <w:tc>
          <w:tcPr/>
          <w:p>
            <w:pPr>
              <w:pStyle w:val="Compact"/>
              <w:jc w:val="right"/>
            </w:pPr>
            <w:r>
              <w:t xml:space="preserve">16.5</w:t>
            </w:r>
          </w:p>
        </w:tc>
        <w:tc>
          <w:tcPr/>
          <w:p>
            <w:pPr>
              <w:pStyle w:val="Compact"/>
              <w:jc w:val="right"/>
            </w:pPr>
            <w:r>
              <w:t xml:space="preserve">15</w:t>
            </w:r>
          </w:p>
        </w:tc>
        <w:tc>
          <w:tcPr/>
          <w:p>
            <w:pPr>
              <w:pStyle w:val="Compact"/>
              <w:jc w:val="right"/>
            </w:pPr>
            <w:r>
              <w:t xml:space="preserve">3.8</w:t>
            </w:r>
          </w:p>
        </w:tc>
      </w:tr>
      <w:tr>
        <w:tc>
          <w:tcPr/>
          <w:p>
            <w:pPr>
              <w:pStyle w:val="Compact"/>
              <w:jc w:val="left"/>
            </w:pPr>
            <w:r>
              <w:t xml:space="preserve">Ouvrier agricole</w:t>
            </w:r>
          </w:p>
        </w:tc>
        <w:tc>
          <w:tcPr/>
          <w:p>
            <w:pPr>
              <w:pStyle w:val="Compact"/>
              <w:jc w:val="right"/>
            </w:pPr>
            <w:r>
              <w:t xml:space="preserve">13</w:t>
            </w:r>
          </w:p>
        </w:tc>
        <w:tc>
          <w:tcPr/>
          <w:p>
            <w:pPr>
              <w:pStyle w:val="Compact"/>
              <w:jc w:val="right"/>
            </w:pPr>
            <w:r>
              <w:t xml:space="preserve">11.9</w:t>
            </w:r>
          </w:p>
        </w:tc>
        <w:tc>
          <w:tcPr/>
          <w:p>
            <w:pPr>
              <w:pStyle w:val="Compact"/>
              <w:jc w:val="right"/>
            </w:pPr>
            <w:r>
              <w:t xml:space="preserve">50</w:t>
            </w:r>
          </w:p>
        </w:tc>
        <w:tc>
          <w:tcPr/>
          <w:p>
            <w:pPr>
              <w:pStyle w:val="Compact"/>
              <w:jc w:val="right"/>
            </w:pPr>
            <w:r>
              <w:t xml:space="preserve">12.6</w:t>
            </w:r>
          </w:p>
        </w:tc>
      </w:tr>
      <w:tr>
        <w:tc>
          <w:tcPr/>
          <w:p>
            <w:pPr>
              <w:pStyle w:val="Compact"/>
              <w:jc w:val="left"/>
            </w:pPr>
            <w:r>
              <w:t xml:space="preserve">Artisanat, BTP &amp; Transport</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37</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6</w:t>
            </w:r>
          </w:p>
        </w:tc>
        <w:tc>
          <w:tcPr/>
          <w:p>
            <w:pPr>
              <w:pStyle w:val="Compact"/>
              <w:jc w:val="right"/>
            </w:pPr>
            <w:r>
              <w:t xml:space="preserve">5.5</w:t>
            </w:r>
          </w:p>
        </w:tc>
        <w:tc>
          <w:tcPr/>
          <w:p>
            <w:pPr>
              <w:pStyle w:val="Compact"/>
              <w:jc w:val="right"/>
            </w:pPr>
            <w:r>
              <w:t xml:space="preserve">25</w:t>
            </w:r>
          </w:p>
        </w:tc>
        <w:tc>
          <w:tcPr/>
          <w:p>
            <w:pPr>
              <w:pStyle w:val="Compact"/>
              <w:jc w:val="right"/>
            </w:pPr>
            <w:r>
              <w:t xml:space="preserve">6.3</w:t>
            </w:r>
          </w:p>
        </w:tc>
      </w:tr>
      <w:tr>
        <w:tc>
          <w:tcPr>
            <w:gridSpan w:val="5"/>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37</w:t>
            </w:r>
          </w:p>
        </w:tc>
        <w:tc>
          <w:tcPr/>
          <w:p>
            <w:pPr>
              <w:pStyle w:val="Compact"/>
              <w:jc w:val="right"/>
            </w:pPr>
            <w:r>
              <w:t xml:space="preserve">32.5</w:t>
            </w:r>
          </w:p>
        </w:tc>
        <w:tc>
          <w:tcPr/>
          <w:p>
            <w:pPr>
              <w:pStyle w:val="Compact"/>
              <w:jc w:val="right"/>
            </w:pPr>
            <w:r>
              <w:t xml:space="preserve">267</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35</w:t>
            </w:r>
          </w:p>
        </w:tc>
        <w:tc>
          <w:tcPr/>
          <w:p>
            <w:pPr>
              <w:pStyle w:val="Compact"/>
              <w:jc w:val="right"/>
            </w:pPr>
            <w:r>
              <w:t xml:space="preserve">30.7</w:t>
            </w:r>
          </w:p>
        </w:tc>
        <w:tc>
          <w:tcPr/>
          <w:p>
            <w:pPr>
              <w:pStyle w:val="Compact"/>
              <w:jc w:val="right"/>
            </w:pPr>
            <w:r>
              <w:t xml:space="preserve">60</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26</w:t>
            </w:r>
          </w:p>
        </w:tc>
        <w:tc>
          <w:tcPr/>
          <w:p>
            <w:pPr>
              <w:pStyle w:val="Compact"/>
              <w:jc w:val="right"/>
            </w:pPr>
            <w:r>
              <w:t xml:space="preserve">22.8</w:t>
            </w:r>
          </w:p>
        </w:tc>
        <w:tc>
          <w:tcPr/>
          <w:p>
            <w:pPr>
              <w:pStyle w:val="Compact"/>
              <w:jc w:val="right"/>
            </w:pPr>
            <w:r>
              <w:t xml:space="preserve">12</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8</w:t>
            </w:r>
          </w:p>
        </w:tc>
        <w:tc>
          <w:tcPr/>
          <w:p>
            <w:pPr>
              <w:pStyle w:val="Compact"/>
              <w:jc w:val="right"/>
            </w:pPr>
            <w:r>
              <w:t xml:space="preserve">7.0</w:t>
            </w:r>
          </w:p>
        </w:tc>
        <w:tc>
          <w:tcPr/>
          <w:p>
            <w:pPr>
              <w:pStyle w:val="Compact"/>
              <w:jc w:val="right"/>
            </w:pPr>
            <w:r>
              <w:t xml:space="preserve">14</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5</w:t>
            </w:r>
          </w:p>
        </w:tc>
        <w:tc>
          <w:tcPr/>
          <w:p>
            <w:pPr>
              <w:pStyle w:val="Compact"/>
              <w:jc w:val="right"/>
            </w:pPr>
            <w:r>
              <w:t xml:space="preserve">4.4</w:t>
            </w:r>
          </w:p>
        </w:tc>
        <w:tc>
          <w:tcPr/>
          <w:p>
            <w:pPr>
              <w:pStyle w:val="Compact"/>
              <w:jc w:val="right"/>
            </w:pPr>
            <w:r>
              <w:t xml:space="preserve">20</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&lt; 5</w:t>
            </w:r>
          </w:p>
        </w:tc>
        <w:tc>
          <w:tcPr/>
          <w:p>
            <w:pPr>
              <w:pStyle w:val="Compact"/>
              <w:jc w:val="right"/>
            </w:pPr>
            <w:r>
              <w:t xml:space="preserve">32</w:t>
            </w:r>
          </w:p>
        </w:tc>
        <w:tc>
          <w:tcPr/>
          <w:p>
            <w:pPr>
              <w:pStyle w:val="Compact"/>
              <w:jc w:val="right"/>
            </w:pPr>
            <w:r>
              <w:t xml:space="preserve">7.9</w:t>
            </w:r>
          </w:p>
        </w:tc>
      </w:tr>
      <w:tr>
        <w:tc>
          <w:tcPr>
            <w:gridSpan w:val="5"/>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09" name="Picture"/>
            <a:graphic>
              <a:graphicData uri="http://schemas.openxmlformats.org/drawingml/2006/picture">
                <pic:pic>
                  <pic:nvPicPr>
                    <pic:cNvPr descr="02_structure_menages_files/figure-docx/cm_act_sex-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bookmarkEnd w:id="111"/>
    <w:bookmarkEnd w:id="112"/>
    <w:bookmarkEnd w:id="113"/>
    <w:bookmarkStart w:id="148" w:name="X57f2daed0b4a0ac8c44ae97171a5ac716837489"/>
    <w:p>
      <w:pPr>
        <w:pStyle w:val="Heading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114" w:name="caractéristiques-socio-démographiques-1"/>
    <w:p>
      <w:pPr>
        <w:pStyle w:val="Heading3"/>
      </w:pPr>
      <w:r>
        <w:t xml:space="preserve">2.3.1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877 (59.8%)</w:t>
            </w:r>
          </w:p>
        </w:tc>
        <w:tc>
          <w:tcPr/>
          <w:p>
            <w:pPr>
              <w:pStyle w:val="Compact"/>
              <w:jc w:val="right"/>
            </w:pPr>
            <w:r>
              <w:t xml:space="preserve">1046 (58.8%)</w:t>
            </w:r>
          </w:p>
        </w:tc>
      </w:tr>
      <w:tr>
        <w:tc>
          <w:tcPr/>
          <w:p>
            <w:pPr>
              <w:pStyle w:val="Compact"/>
              <w:jc w:val="left"/>
            </w:pPr>
            <w:r>
              <w:t xml:space="preserve">Homme</w:t>
            </w:r>
          </w:p>
        </w:tc>
        <w:tc>
          <w:tcPr/>
          <w:p>
            <w:pPr>
              <w:pStyle w:val="Compact"/>
              <w:jc w:val="right"/>
            </w:pPr>
            <w:r>
              <w:t xml:space="preserve">585 (39.9%)</w:t>
            </w:r>
          </w:p>
        </w:tc>
        <w:tc>
          <w:tcPr/>
          <w:p>
            <w:pPr>
              <w:pStyle w:val="Compact"/>
              <w:jc w:val="right"/>
            </w:pPr>
            <w:r>
              <w:t xml:space="preserve">730 (41.1%)</w:t>
            </w:r>
          </w:p>
        </w:tc>
      </w:tr>
      <w:tr>
        <w:tc>
          <w:tcPr/>
          <w:p>
            <w:pPr>
              <w:pStyle w:val="Compact"/>
              <w:jc w:val="left"/>
            </w:pPr>
            <w:r>
              <w:t xml:space="preserve">NA</w:t>
            </w:r>
          </w:p>
        </w:tc>
        <w:tc>
          <w:tcPr/>
          <w:p>
            <w:pPr>
              <w:pStyle w:val="Compact"/>
              <w:jc w:val="right"/>
            </w:pPr>
            <w:r>
              <w:t xml:space="preserve">5 (0.3%)</w:t>
            </w:r>
          </w:p>
        </w:tc>
        <w:tc>
          <w:tcPr/>
          <w:p>
            <w:pPr>
              <w:pStyle w:val="Compact"/>
              <w:jc w:val="right"/>
            </w:pPr>
            <w:r>
              <w:t xml:space="preserve">2 (0.1%)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3.4%</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14.9%</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36.6%</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114"/>
    <w:bookmarkStart w:id="130" w:name="éducation-et-scolarisation"/>
    <w:p>
      <w:pPr>
        <w:pStyle w:val="Heading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15" w:name="niveau-déducation-des-autres-membres"/>
    <w:p>
      <w:pPr>
        <w:pStyle w:val="Heading4"/>
      </w:pPr>
      <w:r>
        <w:t xml:space="preserve">2.3.2.1 Niveau d’éducation des autres membres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356 (24.3%)</w:t>
            </w:r>
          </w:p>
        </w:tc>
        <w:tc>
          <w:tcPr/>
          <w:p>
            <w:pPr>
              <w:pStyle w:val="Compact"/>
              <w:jc w:val="right"/>
            </w:pPr>
            <w:r>
              <w:t xml:space="preserve">554 (31.2%)</w:t>
            </w:r>
          </w:p>
        </w:tc>
      </w:tr>
      <w:tr>
        <w:tc>
          <w:tcPr/>
          <w:p>
            <w:pPr>
              <w:pStyle w:val="Compact"/>
              <w:jc w:val="left"/>
            </w:pPr>
            <w:r>
              <w:t xml:space="preserve">Primaire</w:t>
            </w:r>
          </w:p>
        </w:tc>
        <w:tc>
          <w:tcPr/>
          <w:p>
            <w:pPr>
              <w:pStyle w:val="Compact"/>
              <w:jc w:val="right"/>
            </w:pPr>
            <w:r>
              <w:t xml:space="preserve">677 (46.1%)</w:t>
            </w:r>
          </w:p>
        </w:tc>
        <w:tc>
          <w:tcPr/>
          <w:p>
            <w:pPr>
              <w:pStyle w:val="Compact"/>
              <w:jc w:val="right"/>
            </w:pPr>
            <w:r>
              <w:t xml:space="preserve">854 (48%)</w:t>
            </w:r>
          </w:p>
        </w:tc>
      </w:tr>
      <w:tr>
        <w:tc>
          <w:tcPr/>
          <w:p>
            <w:pPr>
              <w:pStyle w:val="Compact"/>
              <w:jc w:val="left"/>
            </w:pPr>
            <w:r>
              <w:t xml:space="preserve">Secondaire 1er cycle</w:t>
            </w:r>
          </w:p>
        </w:tc>
        <w:tc>
          <w:tcPr/>
          <w:p>
            <w:pPr>
              <w:pStyle w:val="Compact"/>
              <w:jc w:val="right"/>
            </w:pPr>
            <w:r>
              <w:t xml:space="preserve">285 (19.4%)</w:t>
            </w:r>
          </w:p>
        </w:tc>
        <w:tc>
          <w:tcPr/>
          <w:p>
            <w:pPr>
              <w:pStyle w:val="Compact"/>
              <w:jc w:val="right"/>
            </w:pPr>
            <w:r>
              <w:t xml:space="preserve">256 (14.4%)</w:t>
            </w:r>
          </w:p>
        </w:tc>
      </w:tr>
      <w:tr>
        <w:tc>
          <w:tcPr/>
          <w:p>
            <w:pPr>
              <w:pStyle w:val="Compact"/>
              <w:jc w:val="left"/>
            </w:pPr>
            <w:r>
              <w:t xml:space="preserve">Secondaire 2ème cycle &amp; sup.</w:t>
            </w:r>
          </w:p>
        </w:tc>
        <w:tc>
          <w:tcPr/>
          <w:p>
            <w:pPr>
              <w:pStyle w:val="Compact"/>
              <w:jc w:val="right"/>
            </w:pPr>
            <w:r>
              <w:t xml:space="preserve">149 (10.2%)</w:t>
            </w:r>
          </w:p>
        </w:tc>
        <w:tc>
          <w:tcPr/>
          <w:p>
            <w:pPr>
              <w:pStyle w:val="Compact"/>
              <w:jc w:val="right"/>
            </w:pPr>
            <w:r>
              <w:t xml:space="preserve">114 (6.4%)</w:t>
            </w:r>
          </w:p>
        </w:tc>
      </w:tr>
      <w:tr>
        <w:tc>
          <w:tcPr>
            <w:gridSpan w:val="3"/>
          </w:tcPr>
          <w:p>
            <w:pPr>
              <w:pStyle w:val="Compact"/>
              <w:jc w:val="left"/>
            </w:pPr>
            <w:r>
              <w:rPr>
                <w:b/>
                <w:bCs/>
              </w:rPr>
              <w:t xml:space="preserve">Source : Enquête auprès des OR 2025</w:t>
            </w:r>
          </w:p>
        </w:tc>
      </w:tr>
    </w:tbl>
    <w:bookmarkEnd w:id="115"/>
    <w:bookmarkStart w:id="116" w:name="X5230d9ccd8aefad0269f3712b7f434c0dfba0a8"/>
    <w:p>
      <w:pPr>
        <w:pStyle w:val="Heading4"/>
      </w:pPr>
      <w:r>
        <w:t xml:space="preserve">2.3.2.2 Niveau d’éducation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174 (29.7%)</w:t>
            </w:r>
          </w:p>
        </w:tc>
        <w:tc>
          <w:tcPr/>
          <w:p>
            <w:pPr>
              <w:pStyle w:val="Compact"/>
              <w:jc w:val="right"/>
            </w:pPr>
            <w:r>
              <w:t xml:space="preserve">180 (20.5%)</w:t>
            </w:r>
          </w:p>
        </w:tc>
        <w:tc>
          <w:tcPr/>
          <w:p>
            <w:pPr>
              <w:pStyle w:val="Compact"/>
              <w:jc w:val="right"/>
            </w:pPr>
            <w:r>
              <w:t xml:space="preserve">272 (37.3%)</w:t>
            </w:r>
          </w:p>
        </w:tc>
        <w:tc>
          <w:tcPr/>
          <w:p>
            <w:pPr>
              <w:pStyle w:val="Compact"/>
              <w:jc w:val="right"/>
            </w:pPr>
            <w:r>
              <w:t xml:space="preserve">282 (27%)</w:t>
            </w:r>
          </w:p>
        </w:tc>
      </w:tr>
      <w:tr>
        <w:tc>
          <w:tcPr/>
          <w:p>
            <w:pPr>
              <w:pStyle w:val="Compact"/>
              <w:jc w:val="left"/>
            </w:pPr>
            <w:r>
              <w:t xml:space="preserve">Primaire</w:t>
            </w:r>
          </w:p>
        </w:tc>
        <w:tc>
          <w:tcPr/>
          <w:p>
            <w:pPr>
              <w:pStyle w:val="Compact"/>
              <w:jc w:val="right"/>
            </w:pPr>
            <w:r>
              <w:t xml:space="preserve">267 (45.6%)</w:t>
            </w:r>
          </w:p>
        </w:tc>
        <w:tc>
          <w:tcPr/>
          <w:p>
            <w:pPr>
              <w:pStyle w:val="Compact"/>
              <w:jc w:val="right"/>
            </w:pPr>
            <w:r>
              <w:t xml:space="preserve">407 (46.4%)</w:t>
            </w:r>
          </w:p>
        </w:tc>
        <w:tc>
          <w:tcPr/>
          <w:p>
            <w:pPr>
              <w:pStyle w:val="Compact"/>
              <w:jc w:val="right"/>
            </w:pPr>
            <w:r>
              <w:t xml:space="preserve">333 (45.6%)</w:t>
            </w:r>
          </w:p>
        </w:tc>
        <w:tc>
          <w:tcPr/>
          <w:p>
            <w:pPr>
              <w:pStyle w:val="Compact"/>
              <w:jc w:val="right"/>
            </w:pPr>
            <w:r>
              <w:t xml:space="preserve">521 (49.8%)</w:t>
            </w:r>
          </w:p>
        </w:tc>
      </w:tr>
      <w:tr>
        <w:tc>
          <w:tcPr/>
          <w:p>
            <w:pPr>
              <w:pStyle w:val="Compact"/>
              <w:jc w:val="left"/>
            </w:pPr>
            <w:r>
              <w:t xml:space="preserve">Secondaire 1er cycle</w:t>
            </w:r>
          </w:p>
        </w:tc>
        <w:tc>
          <w:tcPr/>
          <w:p>
            <w:pPr>
              <w:pStyle w:val="Compact"/>
              <w:jc w:val="right"/>
            </w:pPr>
            <w:r>
              <w:t xml:space="preserve">90 (15.4%)</w:t>
            </w:r>
          </w:p>
        </w:tc>
        <w:tc>
          <w:tcPr/>
          <w:p>
            <w:pPr>
              <w:pStyle w:val="Compact"/>
              <w:jc w:val="right"/>
            </w:pPr>
            <w:r>
              <w:t xml:space="preserve">195 (22.2%)</w:t>
            </w:r>
          </w:p>
        </w:tc>
        <w:tc>
          <w:tcPr/>
          <w:p>
            <w:pPr>
              <w:pStyle w:val="Compact"/>
              <w:jc w:val="right"/>
            </w:pPr>
            <w:r>
              <w:t xml:space="preserve">76 (10.4%)</w:t>
            </w:r>
          </w:p>
        </w:tc>
        <w:tc>
          <w:tcPr/>
          <w:p>
            <w:pPr>
              <w:pStyle w:val="Compact"/>
              <w:jc w:val="right"/>
            </w:pPr>
            <w:r>
              <w:t xml:space="preserve">179 (17.1%)</w:t>
            </w:r>
          </w:p>
        </w:tc>
      </w:tr>
      <w:tr>
        <w:tc>
          <w:tcPr/>
          <w:p>
            <w:pPr>
              <w:pStyle w:val="Compact"/>
              <w:jc w:val="left"/>
            </w:pPr>
            <w:r>
              <w:t xml:space="preserve">Secondaire 2ème cycle &amp; sup.</w:t>
            </w:r>
          </w:p>
        </w:tc>
        <w:tc>
          <w:tcPr/>
          <w:p>
            <w:pPr>
              <w:pStyle w:val="Compact"/>
              <w:jc w:val="right"/>
            </w:pPr>
            <w:r>
              <w:t xml:space="preserve">54 (9.2%)</w:t>
            </w:r>
          </w:p>
        </w:tc>
        <w:tc>
          <w:tcPr/>
          <w:p>
            <w:pPr>
              <w:pStyle w:val="Compact"/>
              <w:jc w:val="right"/>
            </w:pPr>
            <w:r>
              <w:t xml:space="preserve">95 (10.8%)</w:t>
            </w:r>
          </w:p>
        </w:tc>
        <w:tc>
          <w:tcPr/>
          <w:p>
            <w:pPr>
              <w:pStyle w:val="Compact"/>
              <w:jc w:val="right"/>
            </w:pPr>
            <w:r>
              <w:t xml:space="preserve">49 (6.7%)</w:t>
            </w:r>
          </w:p>
        </w:tc>
        <w:tc>
          <w:tcPr/>
          <w:p>
            <w:pPr>
              <w:pStyle w:val="Compact"/>
              <w:jc w:val="right"/>
            </w:pPr>
            <w:r>
              <w:t xml:space="preserve">64 (6.1%)</w:t>
            </w:r>
          </w:p>
        </w:tc>
      </w:tr>
      <w:tr>
        <w:tc>
          <w:tcPr>
            <w:gridSpan w:val="5"/>
          </w:tcPr>
          <w:p>
            <w:pPr>
              <w:pStyle w:val="Compact"/>
              <w:jc w:val="left"/>
            </w:pPr>
            <w:r>
              <w:rPr>
                <w:b/>
                <w:bCs/>
              </w:rPr>
              <w:t xml:space="preserve">Source : Enquête auprès des OR 2025</w:t>
            </w:r>
          </w:p>
        </w:tc>
      </w:tr>
    </w:tbl>
    <w:bookmarkEnd w:id="116"/>
    <w:bookmarkStart w:id="129" w:name="alphabétisation-des-autres-membres"/>
    <w:p>
      <w:pPr>
        <w:pStyle w:val="Heading4"/>
      </w:pPr>
      <w:r>
        <w:t xml:space="preserve">2.3.2.3 Alphabétisation des autres membres</w:t>
      </w:r>
    </w:p>
    <w:bookmarkStart w:id="120" w:name="savoir-lire-et-écrire-1"/>
    <w:p>
      <w:pPr>
        <w:pStyle w:val="Heading5"/>
      </w:pPr>
      <w:r>
        <w:t xml:space="preserve">2.3.2.3.1 Savoir lire et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lire et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965</w:t>
            </w:r>
          </w:p>
        </w:tc>
      </w:tr>
      <w:tr>
        <w:tc>
          <w:tcPr/>
          <w:p>
            <w:pPr>
              <w:pStyle w:val="Compact"/>
              <w:jc w:val="left"/>
            </w:pPr>
            <w:r>
              <w:t xml:space="preserve">Marovoay</w:t>
            </w:r>
          </w:p>
        </w:tc>
        <w:tc>
          <w:tcPr/>
          <w:p>
            <w:pPr>
              <w:pStyle w:val="Compact"/>
              <w:jc w:val="right"/>
            </w:pPr>
            <w:r>
              <w:t xml:space="preserve">900</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lire et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right"/>
            </w:pPr>
            <w:r>
              <w:t xml:space="preserve">617</w:t>
            </w:r>
          </w:p>
        </w:tc>
        <w:tc>
          <w:tcPr/>
          <w:p>
            <w:pPr>
              <w:pStyle w:val="Compact"/>
              <w:jc w:val="right"/>
            </w:pPr>
            <w:r>
              <w:t xml:space="preserve">64.1</w:t>
            </w:r>
          </w:p>
        </w:tc>
      </w:tr>
      <w:tr>
        <w:tc>
          <w:tcPr/>
          <w:p>
            <w:pPr>
              <w:pStyle w:val="Compact"/>
              <w:jc w:val="left"/>
            </w:pPr>
            <w:r>
              <w:t xml:space="preserve">Homme</w:t>
            </w:r>
          </w:p>
        </w:tc>
        <w:tc>
          <w:tcPr/>
          <w:p>
            <w:pPr>
              <w:pStyle w:val="Compact"/>
              <w:jc w:val="right"/>
            </w:pPr>
            <w:r>
              <w:t xml:space="preserve">345</w:t>
            </w:r>
          </w:p>
        </w:tc>
        <w:tc>
          <w:tcPr/>
          <w:p>
            <w:pPr>
              <w:pStyle w:val="Compact"/>
              <w:jc w:val="right"/>
            </w:pPr>
            <w:r>
              <w:t xml:space="preserve">35.9</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right"/>
            </w:pPr>
            <w:r>
              <w:t xml:space="preserve">574</w:t>
            </w:r>
          </w:p>
        </w:tc>
        <w:tc>
          <w:tcPr/>
          <w:p>
            <w:pPr>
              <w:pStyle w:val="Compact"/>
              <w:jc w:val="right"/>
            </w:pPr>
            <w:r>
              <w:t xml:space="preserve">63.8</w:t>
            </w:r>
          </w:p>
        </w:tc>
      </w:tr>
      <w:tr>
        <w:tc>
          <w:tcPr/>
          <w:p>
            <w:pPr>
              <w:pStyle w:val="Compact"/>
              <w:jc w:val="left"/>
            </w:pPr>
            <w:r>
              <w:t xml:space="preserve">Homme</w:t>
            </w:r>
          </w:p>
        </w:tc>
        <w:tc>
          <w:tcPr/>
          <w:p>
            <w:pPr>
              <w:pStyle w:val="Compact"/>
              <w:jc w:val="right"/>
            </w:pPr>
            <w:r>
              <w:t xml:space="preserve">325</w:t>
            </w:r>
          </w:p>
        </w:tc>
        <w:tc>
          <w:tcPr/>
          <w:p>
            <w:pPr>
              <w:pStyle w:val="Compact"/>
              <w:jc w:val="right"/>
            </w:pPr>
            <w:r>
              <w:t xml:space="preserve">36.2</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Effectifs — Autres membres sachant lire et écrire selon le sexe" title="" id="118" name="Picture"/>
            <a:graphic>
              <a:graphicData uri="http://schemas.openxmlformats.org/drawingml/2006/picture">
                <pic:pic>
                  <pic:nvPicPr>
                    <pic:cNvPr descr="02_structure_menages_files/figure-docx/fig_other_rw_sex-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Effectifs — Autres membres sachant lire et écrire selon le sexe</w:t>
      </w:r>
    </w:p>
    <w:bookmarkEnd w:id="120"/>
    <w:bookmarkStart w:id="124" w:name="savoir-lire-1"/>
    <w:p>
      <w:pPr>
        <w:pStyle w:val="Heading5"/>
      </w:pPr>
      <w:r>
        <w:t xml:space="preserve">2.3.2.3.2 Savoir lire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lire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971</w:t>
            </w:r>
          </w:p>
        </w:tc>
      </w:tr>
      <w:tr>
        <w:tc>
          <w:tcPr/>
          <w:p>
            <w:pPr>
              <w:pStyle w:val="Compact"/>
              <w:jc w:val="left"/>
            </w:pPr>
            <w:r>
              <w:t xml:space="preserve">Marovoay</w:t>
            </w:r>
          </w:p>
        </w:tc>
        <w:tc>
          <w:tcPr/>
          <w:p>
            <w:pPr>
              <w:pStyle w:val="Compact"/>
              <w:jc w:val="right"/>
            </w:pPr>
            <w:r>
              <w:t xml:space="preserve">902</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lire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right"/>
            </w:pPr>
            <w:r>
              <w:t xml:space="preserve">620</w:t>
            </w:r>
          </w:p>
        </w:tc>
        <w:tc>
          <w:tcPr/>
          <w:p>
            <w:pPr>
              <w:pStyle w:val="Compact"/>
              <w:jc w:val="right"/>
            </w:pPr>
            <w:r>
              <w:t xml:space="preserve">64.0</w:t>
            </w:r>
          </w:p>
        </w:tc>
      </w:tr>
      <w:tr>
        <w:tc>
          <w:tcPr/>
          <w:p>
            <w:pPr>
              <w:pStyle w:val="Compact"/>
              <w:jc w:val="left"/>
            </w:pPr>
            <w:r>
              <w:t xml:space="preserve">Homme</w:t>
            </w:r>
          </w:p>
        </w:tc>
        <w:tc>
          <w:tcPr/>
          <w:p>
            <w:pPr>
              <w:pStyle w:val="Compact"/>
              <w:jc w:val="right"/>
            </w:pPr>
            <w:r>
              <w:t xml:space="preserve">348</w:t>
            </w:r>
          </w:p>
        </w:tc>
        <w:tc>
          <w:tcPr/>
          <w:p>
            <w:pPr>
              <w:pStyle w:val="Compact"/>
              <w:jc w:val="right"/>
            </w:pPr>
            <w:r>
              <w:t xml:space="preserve">36.0</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right"/>
            </w:pPr>
            <w:r>
              <w:t xml:space="preserve">576</w:t>
            </w:r>
          </w:p>
        </w:tc>
        <w:tc>
          <w:tcPr/>
          <w:p>
            <w:pPr>
              <w:pStyle w:val="Compact"/>
              <w:jc w:val="right"/>
            </w:pPr>
            <w:r>
              <w:t xml:space="preserve">63.9</w:t>
            </w:r>
          </w:p>
        </w:tc>
      </w:tr>
      <w:tr>
        <w:tc>
          <w:tcPr/>
          <w:p>
            <w:pPr>
              <w:pStyle w:val="Compact"/>
              <w:jc w:val="left"/>
            </w:pPr>
            <w:r>
              <w:t xml:space="preserve">Homme</w:t>
            </w:r>
          </w:p>
        </w:tc>
        <w:tc>
          <w:tcPr/>
          <w:p>
            <w:pPr>
              <w:pStyle w:val="Compact"/>
              <w:jc w:val="right"/>
            </w:pPr>
            <w:r>
              <w:t xml:space="preserve">325</w:t>
            </w:r>
          </w:p>
        </w:tc>
        <w:tc>
          <w:tcPr/>
          <w:p>
            <w:pPr>
              <w:pStyle w:val="Compact"/>
              <w:jc w:val="right"/>
            </w:pPr>
            <w:r>
              <w:t xml:space="preserve">36.1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Effectifs — Autres membres sachant lire selon le sexe" title="" id="122" name="Picture"/>
            <a:graphic>
              <a:graphicData uri="http://schemas.openxmlformats.org/drawingml/2006/picture">
                <pic:pic>
                  <pic:nvPicPr>
                    <pic:cNvPr descr="02_structure_menages_files/figure-docx/fig_other_r_sex-1.png" id="123" name="Picture"/>
                    <pic:cNvPicPr>
                      <a:picLocks noChangeArrowheads="1" noChangeAspect="1"/>
                    </pic:cNvPicPr>
                  </pic:nvPicPr>
                  <pic:blipFill>
                    <a:blip r:embed="rId12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Effectifs — Autres membres sachant lire selon le sexe</w:t>
      </w:r>
    </w:p>
    <w:bookmarkEnd w:id="124"/>
    <w:bookmarkStart w:id="128" w:name="savoir-écrire-1"/>
    <w:p>
      <w:pPr>
        <w:pStyle w:val="Heading5"/>
      </w:pPr>
      <w:r>
        <w:t xml:space="preserve">2.3.2.3.3 Savoir écrire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Autres membres sachant écrire</w:t>
            </w:r>
          </w:p>
        </w:tc>
      </w:tr>
      <w:tr>
        <w:trPr>
          <w:tblHeader w:val="on"/>
        </w:trPr>
        <w:tc>
          <w:tcPr/>
          <w:p>
            <w:pPr>
              <w:pStyle w:val="Compact"/>
              <w:jc w:val="left"/>
            </w:pPr>
            <w:r>
              <w:t xml:space="preserve">Observatoire</w:t>
            </w:r>
          </w:p>
        </w:tc>
        <w:tc>
          <w:tcPr/>
          <w:p>
            <w:pPr>
              <w:pStyle w:val="Compact"/>
              <w:jc w:val="right"/>
            </w:pPr>
            <w:r>
              <w:t xml:space="preserve">Effectif</w:t>
            </w:r>
          </w:p>
        </w:tc>
      </w:tr>
      <w:tr>
        <w:tc>
          <w:tcPr/>
          <w:p>
            <w:pPr>
              <w:pStyle w:val="Compact"/>
              <w:jc w:val="left"/>
            </w:pPr>
            <w:r>
              <w:t xml:space="preserve">Alaotra</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902</w:t>
            </w:r>
          </w:p>
        </w:tc>
      </w:tr>
      <w:tr>
        <w:tc>
          <w:tcPr>
            <w:gridSpan w:val="2"/>
          </w:tcPr>
          <w:p>
            <w:pPr>
              <w:pStyle w:val="Compact"/>
              <w:jc w:val="left"/>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Autres membres sachant écrire selon le sexe</w:t>
            </w:r>
          </w:p>
        </w:tc>
      </w:tr>
      <w:tr>
        <w:trPr>
          <w:tblHeader w:val="on"/>
        </w:trPr>
        <w:tc>
          <w:tcPr/>
          <w:p>
            <w:pPr>
              <w:pStyle w:val="Compact"/>
              <w:jc w:val="left"/>
            </w:pPr>
            <w:r>
              <w:t xml:space="preserve">Sexe</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right"/>
            </w:pPr>
            <w:r>
              <w:t xml:space="preserve">619</w:t>
            </w:r>
          </w:p>
        </w:tc>
        <w:tc>
          <w:tcPr/>
          <w:p>
            <w:pPr>
              <w:pStyle w:val="Compact"/>
              <w:jc w:val="right"/>
            </w:pPr>
            <w:r>
              <w:t xml:space="preserve">64.1</w:t>
            </w:r>
          </w:p>
        </w:tc>
      </w:tr>
      <w:tr>
        <w:tc>
          <w:tcPr/>
          <w:p>
            <w:pPr>
              <w:pStyle w:val="Compact"/>
              <w:jc w:val="left"/>
            </w:pPr>
            <w:r>
              <w:t xml:space="preserve">Homme</w:t>
            </w:r>
          </w:p>
        </w:tc>
        <w:tc>
          <w:tcPr/>
          <w:p>
            <w:pPr>
              <w:pStyle w:val="Compact"/>
              <w:jc w:val="right"/>
            </w:pPr>
            <w:r>
              <w:t xml:space="preserve">347</w:t>
            </w:r>
          </w:p>
        </w:tc>
        <w:tc>
          <w:tcPr/>
          <w:p>
            <w:pPr>
              <w:pStyle w:val="Compact"/>
              <w:jc w:val="right"/>
            </w:pPr>
            <w:r>
              <w:t xml:space="preserve">35.9</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right"/>
            </w:pPr>
            <w:r>
              <w:t xml:space="preserve">575</w:t>
            </w:r>
          </w:p>
        </w:tc>
        <w:tc>
          <w:tcPr/>
          <w:p>
            <w:pPr>
              <w:pStyle w:val="Compact"/>
              <w:jc w:val="right"/>
            </w:pPr>
            <w:r>
              <w:t xml:space="preserve">63.8</w:t>
            </w:r>
          </w:p>
        </w:tc>
      </w:tr>
      <w:tr>
        <w:tc>
          <w:tcPr/>
          <w:p>
            <w:pPr>
              <w:pStyle w:val="Compact"/>
              <w:jc w:val="left"/>
            </w:pPr>
            <w:r>
              <w:t xml:space="preserve">Homme</w:t>
            </w:r>
          </w:p>
        </w:tc>
        <w:tc>
          <w:tcPr/>
          <w:p>
            <w:pPr>
              <w:pStyle w:val="Compact"/>
              <w:jc w:val="right"/>
            </w:pPr>
            <w:r>
              <w:t xml:space="preserve">326</w:t>
            </w:r>
          </w:p>
        </w:tc>
        <w:tc>
          <w:tcPr/>
          <w:p>
            <w:pPr>
              <w:pStyle w:val="Compact"/>
              <w:jc w:val="right"/>
            </w:pPr>
            <w:r>
              <w:t xml:space="preserve">36.2</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Effectifs — Autres membres sachant écrire selon le sexe" title="" id="126" name="Picture"/>
            <a:graphic>
              <a:graphicData uri="http://schemas.openxmlformats.org/drawingml/2006/picture">
                <pic:pic>
                  <pic:nvPicPr>
                    <pic:cNvPr descr="02_structure_menages_files/figure-docx/fig_other_w_sex-1.png" id="127" name="Picture"/>
                    <pic:cNvPicPr>
                      <a:picLocks noChangeArrowheads="1" noChangeAspect="1"/>
                    </pic:cNvPicPr>
                  </pic:nvPicPr>
                  <pic:blipFill>
                    <a:blip r:embed="rId1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Effectifs — Autres membres sachant écrire selon le sexe</w:t>
      </w:r>
    </w:p>
    <w:bookmarkEnd w:id="128"/>
    <w:bookmarkEnd w:id="129"/>
    <w:bookmarkEnd w:id="130"/>
    <w:bookmarkStart w:id="139" w:name="scolarisation"/>
    <w:p>
      <w:pPr>
        <w:pStyle w:val="Heading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BodyText"/>
      </w:pPr>
      <w:r>
        <w:t xml:space="preserve">Dans l’Alaotra, le taux de scolarisation s’élève à 93.7 %.</w:t>
      </w:r>
    </w:p>
    <w:p>
      <w:pPr>
        <w:pStyle w:val="BodyText"/>
      </w:pPr>
      <w:r>
        <w:t xml:space="preserve">Dans Marovoay, le taux de scolarisation s’élève à 81.7 %.</w:t>
      </w:r>
    </w:p>
    <w:bookmarkStart w:id="131" w:name="X6d9aa1dd44c1ac9e432add0b434b8dafb589d26"/>
    <w:p>
      <w:pPr>
        <w:pStyle w:val="Heading4"/>
      </w:pPr>
      <w:r>
        <w:t xml:space="preserve">2.3.3.1 Taux de scolarisation des enfants de 6 à 14 ans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Taux de scolarisation des enfants de 6 à 14 ans</w:t>
            </w:r>
          </w:p>
        </w:tc>
      </w:tr>
      <w:tr>
        <w:trPr>
          <w:tblHeader w:val="on"/>
        </w:trPr>
        <w:tc>
          <w:tcPr/>
          <w:p>
            <w:pPr>
              <w:pStyle w:val="Compact"/>
              <w:jc w:val="left"/>
            </w:pPr>
            <w:r>
              <w:t xml:space="preserve">Observatoire</w:t>
            </w:r>
          </w:p>
        </w:tc>
        <w:tc>
          <w:tcPr/>
          <w:p>
            <w:pPr>
              <w:pStyle w:val="Compact"/>
              <w:jc w:val="right"/>
            </w:pPr>
            <w:r>
              <w:t xml:space="preserve">Non scolarisés (N)</w:t>
            </w:r>
          </w:p>
        </w:tc>
        <w:tc>
          <w:tcPr/>
          <w:p>
            <w:pPr>
              <w:pStyle w:val="Compact"/>
              <w:jc w:val="right"/>
            </w:pPr>
            <w:r>
              <w:t xml:space="preserve">Scolarisés (N)</w:t>
            </w:r>
          </w:p>
        </w:tc>
        <w:tc>
          <w:tcPr/>
          <w:p>
            <w:pPr>
              <w:pStyle w:val="Compact"/>
              <w:jc w:val="right"/>
            </w:pPr>
            <w:r>
              <w:t xml:space="preserve">Non scolarisés (%)</w:t>
            </w:r>
          </w:p>
        </w:tc>
        <w:tc>
          <w:tcPr/>
          <w:p>
            <w:pPr>
              <w:pStyle w:val="Compact"/>
              <w:jc w:val="right"/>
            </w:pPr>
            <w:r>
              <w:t xml:space="preserve">Scolarisés (%)</w:t>
            </w:r>
          </w:p>
        </w:tc>
      </w:tr>
      <w:tr>
        <w:tc>
          <w:tcPr/>
          <w:p>
            <w:pPr>
              <w:pStyle w:val="Compact"/>
              <w:jc w:val="left"/>
            </w:pPr>
            <w:r>
              <w:t xml:space="preserve">Alaotra</w:t>
            </w:r>
          </w:p>
        </w:tc>
        <w:tc>
          <w:tcPr/>
          <w:p>
            <w:pPr>
              <w:pStyle w:val="Compact"/>
              <w:jc w:val="right"/>
            </w:pPr>
            <w:r>
              <w:t xml:space="preserve">26</w:t>
            </w:r>
          </w:p>
        </w:tc>
        <w:tc>
          <w:tcPr/>
          <w:p>
            <w:pPr>
              <w:pStyle w:val="Compact"/>
              <w:jc w:val="right"/>
            </w:pPr>
            <w:r>
              <w:t xml:space="preserve">387</w:t>
            </w:r>
          </w:p>
        </w:tc>
        <w:tc>
          <w:tcPr/>
          <w:p>
            <w:pPr>
              <w:pStyle w:val="Compact"/>
              <w:jc w:val="right"/>
            </w:pPr>
            <w:r>
              <w:t xml:space="preserve">6.3</w:t>
            </w:r>
          </w:p>
        </w:tc>
        <w:tc>
          <w:tcPr/>
          <w:p>
            <w:pPr>
              <w:pStyle w:val="Compact"/>
              <w:jc w:val="right"/>
            </w:pPr>
            <w:r>
              <w:t xml:space="preserve">93.7</w:t>
            </w:r>
          </w:p>
        </w:tc>
      </w:tr>
      <w:tr>
        <w:tc>
          <w:tcPr/>
          <w:p>
            <w:pPr>
              <w:pStyle w:val="Compact"/>
              <w:jc w:val="left"/>
            </w:pPr>
            <w:r>
              <w:t xml:space="preserve">Marovoay</w:t>
            </w:r>
          </w:p>
        </w:tc>
        <w:tc>
          <w:tcPr/>
          <w:p>
            <w:pPr>
              <w:pStyle w:val="Compact"/>
              <w:jc w:val="right"/>
            </w:pPr>
            <w:r>
              <w:t xml:space="preserve">111</w:t>
            </w:r>
          </w:p>
        </w:tc>
        <w:tc>
          <w:tcPr/>
          <w:p>
            <w:pPr>
              <w:pStyle w:val="Compact"/>
              <w:jc w:val="right"/>
            </w:pPr>
            <w:r>
              <w:t xml:space="preserve">497</w:t>
            </w:r>
          </w:p>
        </w:tc>
        <w:tc>
          <w:tcPr/>
          <w:p>
            <w:pPr>
              <w:pStyle w:val="Compact"/>
              <w:jc w:val="right"/>
            </w:pPr>
            <w:r>
              <w:t xml:space="preserve">18.3</w:t>
            </w:r>
          </w:p>
        </w:tc>
        <w:tc>
          <w:tcPr/>
          <w:p>
            <w:pPr>
              <w:pStyle w:val="Compact"/>
              <w:jc w:val="right"/>
            </w:pPr>
            <w:r>
              <w:t xml:space="preserve">81.7</w:t>
            </w:r>
          </w:p>
        </w:tc>
      </w:tr>
      <w:tr>
        <w:tc>
          <w:tcPr>
            <w:gridSpan w:val="5"/>
          </w:tcPr>
          <w:p>
            <w:pPr>
              <w:pStyle w:val="Compact"/>
              <w:jc w:val="left"/>
            </w:pPr>
            <w:r>
              <w:rPr>
                <w:b/>
                <w:bCs/>
              </w:rPr>
              <w:t xml:space="preserve">Source : Enquête auprès des OR 2025</w:t>
            </w:r>
          </w:p>
        </w:tc>
      </w:tr>
    </w:tbl>
    <w:bookmarkEnd w:id="131"/>
    <w:bookmarkStart w:id="132" w:name="classe-suivie-2024-2025"/>
    <w:p>
      <w:pPr>
        <w:pStyle w:val="Heading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132"/>
    <w:bookmarkStart w:id="138" w:name="Xe1cead9d2afb94967e0a6d7bde7feca3037673d"/>
    <w:p>
      <w:pPr>
        <w:pStyle w:val="Heading4"/>
      </w:pPr>
      <w:r>
        <w:t xml:space="preserve">2.3.3.3 Raisons de non fréquentation de l’école pour les 6 à 15 ans</w:t>
      </w:r>
    </w:p>
    <w:p>
      <w:pPr>
        <w:pStyle w:val="FirstParagraph"/>
      </w:pPr>
      <w:r>
        <w:t xml:space="preserve">La</w:t>
      </w:r>
      <w:r>
        <w:t xml:space="preserve"> </w:t>
      </w:r>
      <w:hyperlink w:anchor="fig-raisons-non-scol">
        <w:r>
          <w:rPr>
            <w:rStyle w:val="Hyperlink"/>
          </w:rPr>
          <w:t xml:space="preserve">Figure 2.1</w:t>
        </w:r>
      </w:hyperlink>
      <w:r>
        <w:t xml:space="preserve"> </w:t>
      </w:r>
      <w:r>
        <w:t xml:space="preserve">et le</w:t>
      </w:r>
      <w:r>
        <w:t xml:space="preserve"> </w:t>
      </w:r>
      <w:hyperlink w:anchor="tbl-raisons-non-scol">
        <w:r>
          <w:rPr>
            <w:rStyle w:val="Hyperlink"/>
          </w:rPr>
          <w:t xml:space="preserve">Table 2.2</w:t>
        </w:r>
      </w:hyperlink>
      <w:r>
        <w:t xml:space="preserve"> </w:t>
      </w:r>
      <w:r>
        <w:t xml:space="preserve">détaillent l’ensemble des motifs de non-scolarisation cités.</w:t>
      </w:r>
    </w:p>
    <w:p>
      <w:pPr>
        <w:pStyle w:val="BodyText"/>
      </w:pPr>
      <w:r>
        <w:t xml:space="preserve">Dans l’Alaotra, parmi les enfants de 6 à 15 ans non scolarisés, la première raison invoquée est « Autre » (33.3 %).</w:t>
      </w:r>
    </w:p>
    <w:p>
      <w:pPr>
        <w:pStyle w:val="BodyText"/>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36" w:name="fig-raisons-non-scol"/>
          <w:p>
            <w:pPr>
              <w:pStyle w:val="Compact"/>
              <w:jc w:val="center"/>
            </w:pPr>
            <w:r>
              <w:drawing>
                <wp:inline>
                  <wp:extent cx="5334000" cy="3200400"/>
                  <wp:effectExtent b="0" l="0" r="0" t="0"/>
                  <wp:docPr descr="" title="" id="134" name="Picture"/>
                  <a:graphic>
                    <a:graphicData uri="http://schemas.openxmlformats.org/drawingml/2006/picture">
                      <pic:pic>
                        <pic:nvPicPr>
                          <pic:cNvPr descr="02_structure_menages_files/figure-docx/fig-raisons-non-scol-1.png" id="135" name="Picture"/>
                          <pic:cNvPicPr>
                            <a:picLocks noChangeArrowheads="1" noChangeAspect="1"/>
                          </pic:cNvPicPr>
                        </pic:nvPicPr>
                        <pic:blipFill>
                          <a:blip r:embed="rId13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Principales raisons de non-scolarisation ou d’arrêt des études (6-15 ans)</w:t>
            </w:r>
          </w:p>
          <w:bookmarkEnd w:id="136"/>
        </w:tc>
      </w:tr>
    </w:tbl>
    <w:tbl>
      <w:tblPr>
        <w:tblStyle w:val="Table"/>
        <w:tblW w:type="pct" w:w="5000"/>
        <w:tblLayout w:type="fixed"/>
        <w:tblLook w:firstRow="0" w:lastRow="0" w:firstColumn="0" w:lastColumn="0" w:noHBand="0" w:noVBand="0" w:val="0000"/>
      </w:tblPr>
      <w:tblGrid>
        <w:gridCol w:w="7920"/>
      </w:tblGrid>
      <w:tr>
        <w:tc>
          <w:tcPr/>
          <w:bookmarkStart w:id="137"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Trop jeune</w:t>
                  </w:r>
                </w:p>
              </w:tc>
              <w:tc>
                <w:tcPr/>
                <w:p>
                  <w:pPr>
                    <w:pStyle w:val="Compact"/>
                    <w:jc w:val="right"/>
                    <w:jc w:val="center"/>
                  </w:pPr>
                  <w:r>
                    <w:t xml:space="preserve">33.3</w:t>
                  </w:r>
                </w:p>
              </w:tc>
              <w:tc>
                <w:tcPr/>
                <w:p>
                  <w:pPr>
                    <w:pStyle w:val="Compact"/>
                    <w:jc w:val="right"/>
                    <w:jc w:val="center"/>
                  </w:pPr>
                  <w:r>
                    <w:t xml:space="preserve">21.5</w:t>
                  </w:r>
                </w:p>
              </w:tc>
            </w:tr>
            <w:tr>
              <w:tc>
                <w:tcPr/>
                <w:p>
                  <w:pPr>
                    <w:pStyle w:val="Compact"/>
                    <w:jc w:val="left"/>
                    <w:jc w:val="center"/>
                  </w:pPr>
                  <w:r>
                    <w:t xml:space="preserve">Frais scolarité trop élevés</w:t>
                  </w:r>
                </w:p>
              </w:tc>
              <w:tc>
                <w:tcPr/>
                <w:p>
                  <w:pPr>
                    <w:pStyle w:val="Compact"/>
                    <w:jc w:val="right"/>
                    <w:jc w:val="center"/>
                  </w:pPr>
                  <w:r>
                    <w:t xml:space="preserve">0.0</w:t>
                  </w:r>
                </w:p>
              </w:tc>
              <w:tc>
                <w:tcPr/>
                <w:p>
                  <w:pPr>
                    <w:pStyle w:val="Compact"/>
                    <w:jc w:val="right"/>
                    <w:jc w:val="center"/>
                  </w:pPr>
                  <w:r>
                    <w:t xml:space="preserve">52.1</w:t>
                  </w:r>
                </w:p>
              </w:tc>
            </w:tr>
            <w:tr>
              <w:tc>
                <w:tcPr/>
                <w:p>
                  <w:pPr>
                    <w:pStyle w:val="Compact"/>
                    <w:jc w:val="left"/>
                    <w:jc w:val="center"/>
                  </w:pPr>
                  <w:r>
                    <w:t xml:space="preserve">Autre raison</w:t>
                  </w:r>
                </w:p>
              </w:tc>
              <w:tc>
                <w:tcPr/>
                <w:p>
                  <w:pPr>
                    <w:pStyle w:val="Compact"/>
                    <w:jc w:val="right"/>
                    <w:jc w:val="center"/>
                  </w:pPr>
                  <w:r>
                    <w:t xml:space="preserve">33.3</w:t>
                  </w:r>
                </w:p>
              </w:tc>
              <w:tc>
                <w:tcPr/>
                <w:p>
                  <w:pPr>
                    <w:pStyle w:val="Compact"/>
                    <w:jc w:val="right"/>
                    <w:jc w:val="center"/>
                  </w:pPr>
                  <w:r>
                    <w:t xml:space="preserve">9.1</w:t>
                  </w:r>
                </w:p>
              </w:tc>
            </w:tr>
            <w:tr>
              <w:tc>
                <w:tcPr/>
                <w:p>
                  <w:pPr>
                    <w:pStyle w:val="Compact"/>
                    <w:jc w:val="left"/>
                    <w:jc w:val="center"/>
                  </w:pPr>
                  <w:r>
                    <w:t xml:space="preserve">Handicap / maladie</w:t>
                  </w:r>
                </w:p>
              </w:tc>
              <w:tc>
                <w:tcPr/>
                <w:p>
                  <w:pPr>
                    <w:pStyle w:val="Compact"/>
                    <w:jc w:val="right"/>
                    <w:jc w:val="center"/>
                  </w:pPr>
                  <w:r>
                    <w:t xml:space="preserve">8.3</w:t>
                  </w:r>
                </w:p>
              </w:tc>
              <w:tc>
                <w:tcPr/>
                <w:p>
                  <w:pPr>
                    <w:pStyle w:val="Compact"/>
                    <w:jc w:val="right"/>
                    <w:jc w:val="center"/>
                  </w:pPr>
                  <w:r>
                    <w:t xml:space="preserve">0.8</w:t>
                  </w:r>
                </w:p>
              </w:tc>
            </w:tr>
            <w:tr>
              <w:tc>
                <w:tcPr/>
                <w:p>
                  <w:pPr>
                    <w:pStyle w:val="Compact"/>
                    <w:jc w:val="left"/>
                    <w:jc w:val="center"/>
                  </w:pPr>
                  <w:r>
                    <w:t xml:space="preserve">Paresse</w:t>
                  </w:r>
                </w:p>
              </w:tc>
              <w:tc>
                <w:tcPr/>
                <w:p>
                  <w:pPr>
                    <w:pStyle w:val="Compact"/>
                    <w:jc w:val="right"/>
                    <w:jc w:val="center"/>
                  </w:pPr>
                  <w:r>
                    <w:t xml:space="preserve">0.0</w:t>
                  </w:r>
                </w:p>
              </w:tc>
              <w:tc>
                <w:tcPr/>
                <w:p>
                  <w:pPr>
                    <w:pStyle w:val="Compact"/>
                    <w:jc w:val="right"/>
                    <w:jc w:val="center"/>
                  </w:pPr>
                  <w:r>
                    <w:t xml:space="preserve">9.1</w:t>
                  </w:r>
                </w:p>
              </w:tc>
            </w:tr>
            <w:tr>
              <w:tc>
                <w:tcPr/>
                <w:p>
                  <w:pPr>
                    <w:pStyle w:val="Compact"/>
                    <w:jc w:val="left"/>
                    <w:jc w:val="center"/>
                  </w:pPr>
                  <w:r>
                    <w:t xml:space="preserve">Famine</w:t>
                  </w:r>
                </w:p>
              </w:tc>
              <w:tc>
                <w:tcPr/>
                <w:p>
                  <w:pPr>
                    <w:pStyle w:val="Compact"/>
                    <w:jc w:val="right"/>
                    <w:jc w:val="center"/>
                  </w:pPr>
                  <w:r>
                    <w:t xml:space="preserve">8.3</w:t>
                  </w:r>
                </w:p>
              </w:tc>
              <w:tc>
                <w:tcPr/>
                <w:p>
                  <w:pPr>
                    <w:pStyle w:val="Compact"/>
                    <w:jc w:val="right"/>
                    <w:jc w:val="center"/>
                  </w:pPr>
                  <w:r>
                    <w:t xml:space="preserve">0.0</w:t>
                  </w:r>
                </w:p>
              </w:tc>
            </w:tr>
            <w:tr>
              <w:tc>
                <w:tcPr/>
                <w:p>
                  <w:pPr>
                    <w:pStyle w:val="Compact"/>
                    <w:jc w:val="left"/>
                    <w:jc w:val="center"/>
                  </w:pPr>
                  <w:r>
                    <w:t xml:space="preserve">Main-d'oeuvre exploitation</w:t>
                  </w:r>
                </w:p>
              </w:tc>
              <w:tc>
                <w:tcPr/>
                <w:p>
                  <w:pPr>
                    <w:pStyle w:val="Compact"/>
                    <w:jc w:val="right"/>
                    <w:jc w:val="center"/>
                  </w:pPr>
                  <w:r>
                    <w:t xml:space="preserve">4.2</w:t>
                  </w:r>
                </w:p>
              </w:tc>
              <w:tc>
                <w:tcPr/>
                <w:p>
                  <w:pPr>
                    <w:pStyle w:val="Compact"/>
                    <w:jc w:val="right"/>
                    <w:jc w:val="center"/>
                  </w:pPr>
                  <w:r>
                    <w:t xml:space="preserve">3.3</w:t>
                  </w:r>
                </w:p>
              </w:tc>
            </w:tr>
            <w:tr>
              <w:tc>
                <w:tcPr/>
                <w:p>
                  <w:pPr>
                    <w:pStyle w:val="Compact"/>
                    <w:jc w:val="left"/>
                    <w:jc w:val="center"/>
                  </w:pPr>
                  <w:r>
                    <w:t xml:space="preserve">Besoin revenu</w:t>
                  </w:r>
                </w:p>
              </w:tc>
              <w:tc>
                <w:tcPr/>
                <w:p>
                  <w:pPr>
                    <w:pStyle w:val="Compact"/>
                    <w:jc w:val="right"/>
                    <w:jc w:val="center"/>
                  </w:pPr>
                  <w:r>
                    <w:t xml:space="preserve">4.2</w:t>
                  </w:r>
                </w:p>
              </w:tc>
              <w:tc>
                <w:tcPr/>
                <w:p>
                  <w:pPr>
                    <w:pStyle w:val="Compact"/>
                    <w:jc w:val="right"/>
                    <w:jc w:val="center"/>
                  </w:pPr>
                  <w:r>
                    <w:t xml:space="preserve">1.7</w:t>
                  </w:r>
                </w:p>
              </w:tc>
            </w:tr>
            <w:tr>
              <w:tc>
                <w:tcPr/>
                <w:p>
                  <w:pPr>
                    <w:pStyle w:val="Compact"/>
                    <w:jc w:val="left"/>
                    <w:jc w:val="center"/>
                  </w:pPr>
                  <w:r>
                    <w:t xml:space="preserve">École trop éloignée</w:t>
                  </w:r>
                </w:p>
              </w:tc>
              <w:tc>
                <w:tcPr/>
                <w:p>
                  <w:pPr>
                    <w:pStyle w:val="Compact"/>
                    <w:jc w:val="right"/>
                    <w:jc w:val="center"/>
                  </w:pPr>
                  <w:r>
                    <w:t xml:space="preserve">4.2</w:t>
                  </w:r>
                </w:p>
              </w:tc>
              <w:tc>
                <w:tcPr/>
                <w:p>
                  <w:pPr>
                    <w:pStyle w:val="Compact"/>
                    <w:jc w:val="right"/>
                    <w:jc w:val="center"/>
                  </w:pPr>
                  <w:r>
                    <w:t xml:space="preserve">0.8</w:t>
                  </w:r>
                </w:p>
              </w:tc>
            </w:tr>
            <w:tr>
              <w:tc>
                <w:tcPr/>
                <w:p>
                  <w:pPr>
                    <w:pStyle w:val="Compact"/>
                    <w:jc w:val="left"/>
                    <w:jc w:val="center"/>
                  </w:pPr>
                  <w:r>
                    <w:t xml:space="preserve">Sans intérêt (famille)</w:t>
                  </w:r>
                </w:p>
              </w:tc>
              <w:tc>
                <w:tcPr/>
                <w:p>
                  <w:pPr>
                    <w:pStyle w:val="Compact"/>
                    <w:jc w:val="right"/>
                    <w:jc w:val="center"/>
                  </w:pPr>
                  <w:r>
                    <w:t xml:space="preserve">4.2</w:t>
                  </w:r>
                </w:p>
              </w:tc>
              <w:tc>
                <w:tcPr/>
                <w:p>
                  <w:pPr>
                    <w:pStyle w:val="Compact"/>
                    <w:jc w:val="right"/>
                    <w:jc w:val="center"/>
                  </w:pPr>
                  <w:r>
                    <w:t xml:space="preserve">0.0</w:t>
                  </w:r>
                </w:p>
              </w:tc>
            </w:tr>
            <w:tr>
              <w:tc>
                <w:tcPr/>
                <w:p>
                  <w:pPr>
                    <w:pStyle w:val="Compact"/>
                    <w:jc w:val="left"/>
                    <w:jc w:val="center"/>
                  </w:pPr>
                  <w:r>
                    <w:t xml:space="preserve">Autre</w:t>
                  </w:r>
                </w:p>
              </w:tc>
              <w:tc>
                <w:tcPr/>
                <w:p>
                  <w:pPr>
                    <w:pStyle w:val="Compact"/>
                    <w:jc w:val="right"/>
                    <w:jc w:val="center"/>
                  </w:pPr>
                  <w:r>
                    <w:t xml:space="preserve">0.0</w:t>
                  </w:r>
                </w:p>
              </w:tc>
              <w:tc>
                <w:tcPr/>
                <w:p>
                  <w:pPr>
                    <w:pStyle w:val="Compact"/>
                    <w:jc w:val="right"/>
                    <w:jc w:val="center"/>
                  </w:pPr>
                  <w:r>
                    <w:t xml:space="preserve">1.7</w:t>
                  </w:r>
                </w:p>
              </w:tc>
            </w:tr>
          </w:tbl>
          <w:bookmarkEnd w:id="137"/>
          <w:p/>
        </w:tc>
      </w:tr>
    </w:tbl>
    <w:bookmarkEnd w:id="138"/>
    <w:bookmarkEnd w:id="139"/>
    <w:bookmarkStart w:id="147" w:name="Xe10b0f911d4aea72fedebcae4fa3fbee9ebe092"/>
    <w:p>
      <w:pPr>
        <w:pStyle w:val="Heading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observatoire</w:t>
            </w:r>
          </w:p>
        </w:tc>
      </w:tr>
      <w:tr>
        <w:trPr>
          <w:tblHeader w:val="on"/>
        </w:trPr>
        <w:tc>
          <w:tcPr/>
          <w:p>
            <w:pPr>
              <w:pStyle w:val="Compact"/>
              <w:jc w:val="left"/>
            </w:pPr>
            <w:r>
              <w:t xml:space="preserve">Activité</w:t>
            </w:r>
          </w:p>
        </w:tc>
        <w:tc>
          <w:tcPr/>
          <w:p>
            <w:pPr>
              <w:pStyle w:val="Compact"/>
              <w:jc w:val="right"/>
            </w:pPr>
            <w:r>
              <w:t xml:space="preserve">Effectif</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391</w:t>
            </w:r>
          </w:p>
        </w:tc>
        <w:tc>
          <w:tcPr/>
          <w:p>
            <w:pPr>
              <w:pStyle w:val="Compact"/>
              <w:jc w:val="right"/>
            </w:pPr>
            <w:r>
              <w:t xml:space="preserve">52.9</w:t>
            </w:r>
          </w:p>
        </w:tc>
      </w:tr>
      <w:tr>
        <w:tc>
          <w:tcPr/>
          <w:p>
            <w:pPr>
              <w:pStyle w:val="Compact"/>
              <w:jc w:val="left"/>
            </w:pPr>
            <w:r>
              <w:t xml:space="preserve">Services &amp; Autres</w:t>
            </w:r>
          </w:p>
        </w:tc>
        <w:tc>
          <w:tcPr/>
          <w:p>
            <w:pPr>
              <w:pStyle w:val="Compact"/>
              <w:jc w:val="right"/>
            </w:pPr>
            <w:r>
              <w:t xml:space="preserve">84</w:t>
            </w:r>
          </w:p>
        </w:tc>
        <w:tc>
          <w:tcPr/>
          <w:p>
            <w:pPr>
              <w:pStyle w:val="Compact"/>
              <w:jc w:val="right"/>
            </w:pPr>
            <w:r>
              <w:t xml:space="preserve">11.4</w:t>
            </w:r>
          </w:p>
        </w:tc>
      </w:tr>
      <w:tr>
        <w:tc>
          <w:tcPr/>
          <w:p>
            <w:pPr>
              <w:pStyle w:val="Compact"/>
              <w:jc w:val="left"/>
            </w:pPr>
            <w:r>
              <w:t xml:space="preserve">Ouvrier agricole</w:t>
            </w:r>
          </w:p>
        </w:tc>
        <w:tc>
          <w:tcPr/>
          <w:p>
            <w:pPr>
              <w:pStyle w:val="Compact"/>
              <w:jc w:val="right"/>
            </w:pPr>
            <w:r>
              <w:t xml:space="preserve">76</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73</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51</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35</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29</w:t>
            </w:r>
          </w:p>
        </w:tc>
        <w:tc>
          <w:tcPr/>
          <w:p>
            <w:pPr>
              <w:pStyle w:val="Compact"/>
              <w:jc w:val="right"/>
            </w:pPr>
            <w:r>
              <w:t xml:space="preserve">3.9</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419</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147</w:t>
            </w:r>
          </w:p>
        </w:tc>
        <w:tc>
          <w:tcPr/>
          <w:p>
            <w:pPr>
              <w:pStyle w:val="Compact"/>
              <w:jc w:val="right"/>
            </w:pPr>
            <w:r>
              <w:t xml:space="preserve">17.3</w:t>
            </w:r>
          </w:p>
        </w:tc>
      </w:tr>
      <w:tr>
        <w:tc>
          <w:tcPr/>
          <w:p>
            <w:pPr>
              <w:pStyle w:val="Compact"/>
              <w:jc w:val="left"/>
            </w:pPr>
            <w:r>
              <w:t xml:space="preserve">Services &amp; Autres</w:t>
            </w:r>
          </w:p>
        </w:tc>
        <w:tc>
          <w:tcPr/>
          <w:p>
            <w:pPr>
              <w:pStyle w:val="Compact"/>
              <w:jc w:val="right"/>
            </w:pPr>
            <w:r>
              <w:t xml:space="preserve">94</w:t>
            </w:r>
          </w:p>
        </w:tc>
        <w:tc>
          <w:tcPr/>
          <w:p>
            <w:pPr>
              <w:pStyle w:val="Compact"/>
              <w:jc w:val="right"/>
            </w:pPr>
            <w:r>
              <w:t xml:space="preserve">11.0</w:t>
            </w:r>
          </w:p>
        </w:tc>
      </w:tr>
      <w:tr>
        <w:tc>
          <w:tcPr/>
          <w:p>
            <w:pPr>
              <w:pStyle w:val="Compact"/>
              <w:jc w:val="left"/>
            </w:pPr>
            <w:r>
              <w:t xml:space="preserve">Elève / Etudiant</w:t>
            </w:r>
          </w:p>
        </w:tc>
        <w:tc>
          <w:tcPr/>
          <w:p>
            <w:pPr>
              <w:pStyle w:val="Compact"/>
              <w:jc w:val="right"/>
            </w:pPr>
            <w:r>
              <w:t xml:space="preserve">80</w:t>
            </w:r>
          </w:p>
        </w:tc>
        <w:tc>
          <w:tcPr/>
          <w:p>
            <w:pPr>
              <w:pStyle w:val="Compact"/>
              <w:jc w:val="right"/>
            </w:pPr>
            <w:r>
              <w:t xml:space="preserve">9.4</w:t>
            </w:r>
          </w:p>
        </w:tc>
      </w:tr>
      <w:tr>
        <w:tc>
          <w:tcPr/>
          <w:p>
            <w:pPr>
              <w:pStyle w:val="Compact"/>
              <w:jc w:val="left"/>
            </w:pPr>
            <w:r>
              <w:t xml:space="preserve">Commerce &amp; Restauration</w:t>
            </w:r>
          </w:p>
        </w:tc>
        <w:tc>
          <w:tcPr/>
          <w:p>
            <w:pPr>
              <w:pStyle w:val="Compact"/>
              <w:jc w:val="right"/>
            </w:pPr>
            <w:r>
              <w:t xml:space="preserve">64</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30</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18</w:t>
            </w:r>
          </w:p>
        </w:tc>
        <w:tc>
          <w:tcPr/>
          <w:p>
            <w:pPr>
              <w:pStyle w:val="Compact"/>
              <w:jc w:val="right"/>
            </w:pPr>
            <w:r>
              <w:t xml:space="preserve">2.1</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41" name="Picture"/>
            <a:graphic>
              <a:graphicData uri="http://schemas.openxmlformats.org/drawingml/2006/picture">
                <pic:pic>
                  <pic:nvPicPr>
                    <pic:cNvPr descr="02_structure_menages_files/figure-docx/other_act_grouped-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bookmarkStart w:id="146" w:name="X46ff1d61f791f42f47b783b920cfc68895dbbf2"/>
    <w:p>
      <w:pPr>
        <w:pStyle w:val="Heading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Activités principales des autres membres par sexe par observatoire</w:t>
            </w:r>
          </w:p>
        </w:tc>
      </w:tr>
      <w:tr>
        <w:trPr>
          <w:tblHeader w:val="on"/>
        </w:trPr>
        <w:tc>
          <w:tcPr>
            <w:vMerge w:val="restart"/>
          </w:tcPr>
          <w:p>
            <w:pPr>
              <w:pStyle w:val="Compact"/>
              <w:jc w:val="left"/>
            </w:pPr>
            <w:r>
              <w:t xml:space="preserve">Activité</w:t>
            </w:r>
          </w:p>
        </w:tc>
        <w:tc>
          <w:tcPr>
            <w:gridSpan w:val="2"/>
          </w:tcPr>
          <w:p>
            <w:pPr>
              <w:pStyle w:val="Compact"/>
              <w:jc w:val="center"/>
            </w:pPr>
            <w:r>
              <w:t xml:space="preserve">Femme</w:t>
            </w:r>
          </w:p>
        </w:tc>
        <w:tc>
          <w:tcPr>
            <w:gridSpan w:val="2"/>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gridSpan w:val="5"/>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289</w:t>
            </w:r>
          </w:p>
        </w:tc>
        <w:tc>
          <w:tcPr/>
          <w:p>
            <w:pPr>
              <w:pStyle w:val="Compact"/>
              <w:jc w:val="right"/>
            </w:pPr>
            <w:r>
              <w:t xml:space="preserve">54.9</w:t>
            </w:r>
          </w:p>
        </w:tc>
        <w:tc>
          <w:tcPr/>
          <w:p>
            <w:pPr>
              <w:pStyle w:val="Compact"/>
              <w:jc w:val="right"/>
            </w:pPr>
            <w:r>
              <w:t xml:space="preserve">101</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71</w:t>
            </w:r>
          </w:p>
        </w:tc>
        <w:tc>
          <w:tcPr/>
          <w:p>
            <w:pPr>
              <w:pStyle w:val="Compact"/>
              <w:jc w:val="right"/>
            </w:pPr>
            <w:r>
              <w:t xml:space="preserve">13.5</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57</w:t>
            </w:r>
          </w:p>
        </w:tc>
        <w:tc>
          <w:tcPr/>
          <w:p>
            <w:pPr>
              <w:pStyle w:val="Compact"/>
              <w:jc w:val="right"/>
            </w:pPr>
            <w:r>
              <w:t xml:space="preserve">10.8</w:t>
            </w:r>
          </w:p>
        </w:tc>
        <w:tc>
          <w:tcPr/>
          <w:p>
            <w:pPr>
              <w:pStyle w:val="Compact"/>
              <w:jc w:val="right"/>
            </w:pPr>
            <w:r>
              <w:t xml:space="preserve">19</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46</w:t>
            </w:r>
          </w:p>
        </w:tc>
        <w:tc>
          <w:tcPr/>
          <w:p>
            <w:pPr>
              <w:pStyle w:val="Compact"/>
              <w:jc w:val="right"/>
            </w:pPr>
            <w:r>
              <w:t xml:space="preserve">8.7</w:t>
            </w:r>
          </w:p>
        </w:tc>
        <w:tc>
          <w:tcPr/>
          <w:p>
            <w:pPr>
              <w:pStyle w:val="Compact"/>
              <w:jc w:val="right"/>
            </w:pPr>
            <w:r>
              <w:t xml:space="preserve">38</w:t>
            </w:r>
          </w:p>
        </w:tc>
        <w:tc>
          <w:tcPr/>
          <w:p>
            <w:pPr>
              <w:pStyle w:val="Compact"/>
              <w:jc w:val="right"/>
            </w:pPr>
            <w:r>
              <w:t xml:space="preserve">17.9</w:t>
            </w:r>
          </w:p>
        </w:tc>
      </w:tr>
      <w:tr>
        <w:tc>
          <w:tcPr/>
          <w:p>
            <w:pPr>
              <w:pStyle w:val="Compact"/>
              <w:jc w:val="left"/>
            </w:pPr>
            <w:r>
              <w:t xml:space="preserve">Elève / Etudiant</w:t>
            </w:r>
          </w:p>
        </w:tc>
        <w:tc>
          <w:tcPr/>
          <w:p>
            <w:pPr>
              <w:pStyle w:val="Compact"/>
              <w:jc w:val="right"/>
            </w:pPr>
            <w:r>
              <w:t xml:space="preserve">26</w:t>
            </w:r>
          </w:p>
        </w:tc>
        <w:tc>
          <w:tcPr/>
          <w:p>
            <w:pPr>
              <w:pStyle w:val="Compact"/>
              <w:jc w:val="right"/>
            </w:pPr>
            <w:r>
              <w:t xml:space="preserve">4.9</w:t>
            </w:r>
          </w:p>
        </w:tc>
        <w:tc>
          <w:tcPr/>
          <w:p>
            <w:pPr>
              <w:pStyle w:val="Compact"/>
              <w:jc w:val="right"/>
            </w:pPr>
            <w:r>
              <w:t xml:space="preserve">25</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19</w:t>
            </w:r>
          </w:p>
        </w:tc>
        <w:tc>
          <w:tcPr/>
          <w:p>
            <w:pPr>
              <w:pStyle w:val="Compact"/>
              <w:jc w:val="right"/>
            </w:pPr>
            <w:r>
              <w:t xml:space="preserve">3.6</w:t>
            </w:r>
          </w:p>
        </w:tc>
        <w:tc>
          <w:tcPr/>
          <w:p>
            <w:pPr>
              <w:pStyle w:val="Compact"/>
              <w:jc w:val="right"/>
            </w:pPr>
            <w:r>
              <w:t xml:space="preserve">16</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18</w:t>
            </w:r>
          </w:p>
        </w:tc>
        <w:tc>
          <w:tcPr/>
          <w:p>
            <w:pPr>
              <w:pStyle w:val="Compact"/>
              <w:jc w:val="right"/>
            </w:pPr>
            <w:r>
              <w:t xml:space="preserve">3.4</w:t>
            </w:r>
          </w:p>
        </w:tc>
        <w:tc>
          <w:tcPr/>
          <w:p>
            <w:pPr>
              <w:pStyle w:val="Compact"/>
              <w:jc w:val="right"/>
            </w:pPr>
            <w:r>
              <w:t xml:space="preserve">11</w:t>
            </w:r>
          </w:p>
        </w:tc>
        <w:tc>
          <w:tcPr/>
          <w:p>
            <w:pPr>
              <w:pStyle w:val="Compact"/>
              <w:jc w:val="right"/>
            </w:pPr>
            <w:r>
              <w:t xml:space="preserve">5.2</w:t>
            </w:r>
          </w:p>
        </w:tc>
      </w:tr>
      <w:tr>
        <w:tc>
          <w:tcPr>
            <w:gridSpan w:val="5"/>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317</w:t>
            </w:r>
          </w:p>
        </w:tc>
        <w:tc>
          <w:tcPr/>
          <w:p>
            <w:pPr>
              <w:pStyle w:val="Compact"/>
              <w:jc w:val="right"/>
            </w:pPr>
            <w:r>
              <w:t xml:space="preserve">53.5</w:t>
            </w:r>
          </w:p>
        </w:tc>
        <w:tc>
          <w:tcPr/>
          <w:p>
            <w:pPr>
              <w:pStyle w:val="Compact"/>
              <w:jc w:val="right"/>
            </w:pPr>
            <w:r>
              <w:t xml:space="preserve">101</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48</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60</w:t>
            </w:r>
          </w:p>
        </w:tc>
        <w:tc>
          <w:tcPr/>
          <w:p>
            <w:pPr>
              <w:pStyle w:val="Compact"/>
              <w:jc w:val="right"/>
            </w:pPr>
            <w:r>
              <w:t xml:space="preserve">10.1</w:t>
            </w:r>
          </w:p>
        </w:tc>
        <w:tc>
          <w:tcPr/>
          <w:p>
            <w:pPr>
              <w:pStyle w:val="Compact"/>
              <w:jc w:val="right"/>
            </w:pPr>
            <w:r>
              <w:t xml:space="preserve">&lt; 5</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57</w:t>
            </w:r>
          </w:p>
        </w:tc>
        <w:tc>
          <w:tcPr/>
          <w:p>
            <w:pPr>
              <w:pStyle w:val="Compact"/>
              <w:jc w:val="right"/>
            </w:pPr>
            <w:r>
              <w:t xml:space="preserve">9.6</w:t>
            </w:r>
          </w:p>
        </w:tc>
        <w:tc>
          <w:tcPr/>
          <w:p>
            <w:pPr>
              <w:pStyle w:val="Compact"/>
              <w:jc w:val="right"/>
            </w:pPr>
            <w:r>
              <w:t xml:space="preserve">37</w:t>
            </w:r>
          </w:p>
        </w:tc>
        <w:tc>
          <w:tcPr/>
          <w:p>
            <w:pPr>
              <w:pStyle w:val="Compact"/>
              <w:jc w:val="right"/>
            </w:pPr>
            <w:r>
              <w:t xml:space="preserve">14.3</w:t>
            </w:r>
          </w:p>
        </w:tc>
      </w:tr>
      <w:tr>
        <w:tc>
          <w:tcPr/>
          <w:p>
            <w:pPr>
              <w:pStyle w:val="Compact"/>
              <w:jc w:val="left"/>
            </w:pPr>
            <w:r>
              <w:t xml:space="preserve">Elève / Etudiant</w:t>
            </w:r>
          </w:p>
        </w:tc>
        <w:tc>
          <w:tcPr/>
          <w:p>
            <w:pPr>
              <w:pStyle w:val="Compact"/>
              <w:jc w:val="right"/>
            </w:pPr>
            <w:r>
              <w:t xml:space="preserve">34</w:t>
            </w:r>
          </w:p>
        </w:tc>
        <w:tc>
          <w:tcPr/>
          <w:p>
            <w:pPr>
              <w:pStyle w:val="Compact"/>
              <w:jc w:val="right"/>
            </w:pPr>
            <w:r>
              <w:t xml:space="preserve">5.7</w:t>
            </w:r>
          </w:p>
        </w:tc>
        <w:tc>
          <w:tcPr/>
          <w:p>
            <w:pPr>
              <w:pStyle w:val="Compact"/>
              <w:jc w:val="right"/>
            </w:pPr>
            <w:r>
              <w:t xml:space="preserve">46</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16</w:t>
            </w:r>
          </w:p>
        </w:tc>
        <w:tc>
          <w:tcPr/>
          <w:p>
            <w:pPr>
              <w:pStyle w:val="Compact"/>
              <w:jc w:val="right"/>
            </w:pPr>
            <w:r>
              <w:t xml:space="preserve">2.7</w:t>
            </w:r>
          </w:p>
        </w:tc>
        <w:tc>
          <w:tcPr/>
          <w:p>
            <w:pPr>
              <w:pStyle w:val="Compact"/>
              <w:jc w:val="right"/>
            </w:pPr>
            <w:r>
              <w:t xml:space="preserve">14</w:t>
            </w:r>
          </w:p>
        </w:tc>
        <w:tc>
          <w:tcPr/>
          <w:p>
            <w:pPr>
              <w:pStyle w:val="Compact"/>
              <w:jc w:val="right"/>
            </w:pPr>
            <w:r>
              <w:t xml:space="preserve">5.4</w:t>
            </w:r>
          </w:p>
        </w:tc>
      </w:tr>
      <w:tr>
        <w:tc>
          <w:tcPr/>
          <w:p>
            <w:pPr>
              <w:pStyle w:val="Compact"/>
              <w:jc w:val="left"/>
            </w:pPr>
            <w:r>
              <w:t xml:space="preserve">Elevage, Pêche &amp; Ress. nat.</w:t>
            </w:r>
          </w:p>
        </w:tc>
        <w:tc>
          <w:tcPr/>
          <w:p>
            <w:pPr>
              <w:pStyle w:val="Compact"/>
              <w:jc w:val="right"/>
            </w:pPr>
            <w:r>
              <w:t xml:space="preserve">10</w:t>
            </w:r>
          </w:p>
        </w:tc>
        <w:tc>
          <w:tcPr/>
          <w:p>
            <w:pPr>
              <w:pStyle w:val="Compact"/>
              <w:jc w:val="right"/>
            </w:pPr>
            <w:r>
              <w:t xml:space="preserve">1.7</w:t>
            </w:r>
          </w:p>
        </w:tc>
        <w:tc>
          <w:tcPr/>
          <w:p>
            <w:pPr>
              <w:pStyle w:val="Compact"/>
              <w:jc w:val="right"/>
            </w:pPr>
            <w:r>
              <w:t xml:space="preserve">8</w:t>
            </w:r>
          </w:p>
        </w:tc>
        <w:tc>
          <w:tcPr/>
          <w:p>
            <w:pPr>
              <w:pStyle w:val="Compact"/>
              <w:jc w:val="right"/>
            </w:pPr>
            <w:r>
              <w:t xml:space="preserve">3.1</w:t>
            </w:r>
          </w:p>
        </w:tc>
      </w:tr>
      <w:tr>
        <w:tc>
          <w:tcPr>
            <w:gridSpan w:val="5"/>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44" name="Picture"/>
            <a:graphic>
              <a:graphicData uri="http://schemas.openxmlformats.org/drawingml/2006/picture">
                <pic:pic>
                  <pic:nvPicPr>
                    <pic:cNvPr descr="02_structure_menages_files/figure-docx/other_act_sex-1.png" id="145" name="Picture"/>
                    <pic:cNvPicPr>
                      <a:picLocks noChangeArrowheads="1" noChangeAspect="1"/>
                    </pic:cNvPicPr>
                  </pic:nvPicPr>
                  <pic:blipFill>
                    <a:blip r:embed="rId143"/>
                    <a:stretch>
                      <a:fillRect/>
                    </a:stretch>
                  </pic:blipFill>
                  <pic:spPr bwMode="auto">
                    <a:xfrm>
                      <a:off x="0" y="0"/>
                      <a:ext cx="4620126" cy="3696101"/>
                    </a:xfrm>
                    <a:prstGeom prst="rect">
                      <a:avLst/>
                    </a:prstGeom>
                    <a:noFill/>
                    <a:ln w="9525">
                      <a:noFill/>
                      <a:headEnd/>
                      <a:tailEnd/>
                    </a:ln>
                  </pic:spPr>
                </pic:pic>
              </a:graphicData>
            </a:graphic>
          </wp:inline>
        </w:drawing>
      </w:r>
    </w:p>
    <w:bookmarkEnd w:id="146"/>
    <w:bookmarkEnd w:id="147"/>
    <w:bookmarkEnd w:id="148"/>
    <w:bookmarkStart w:id="164" w:name="sec-demog-multiyear"/>
    <w:p>
      <w:pPr>
        <w:pStyle w:val="Heading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C:\Users\fbede\AppData\Local\Programs\Quarto\share\formats\docx\caution.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BodyText"/>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p>
      <w:pPr>
        <w:pStyle w:val="CaptionedFigure"/>
      </w:pPr>
      <w:r>
        <w:drawing>
          <wp:inline>
            <wp:extent cx="5334000" cy="2963333"/>
            <wp:effectExtent b="0" l="0" r="0" t="0"/>
            <wp:docPr descr="Évolution de la taille moyenne des ménages (1996-2025)" title="" id="153" name="Picture"/>
            <a:graphic>
              <a:graphicData uri="http://schemas.openxmlformats.org/drawingml/2006/picture">
                <pic:pic>
                  <pic:nvPicPr>
                    <pic:cNvPr descr="02_structure_menages_files/figure-docx/fig_demog_taille-1.png" id="154" name="Picture"/>
                    <pic:cNvPicPr>
                      <a:picLocks noChangeArrowheads="1" noChangeAspect="1"/>
                    </pic:cNvPicPr>
                  </pic:nvPicPr>
                  <pic:blipFill>
                    <a:blip r:embed="rId15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aptionedFigure"/>
      </w:pPr>
      <w:r>
        <w:drawing>
          <wp:inline>
            <wp:extent cx="5334000" cy="2963333"/>
            <wp:effectExtent b="0" l="0" r="0" t="0"/>
            <wp:docPr descr="Évolution du pourcentage de chefs de ménage femmes (1996-2025)" title="" id="156" name="Picture"/>
            <a:graphic>
              <a:graphicData uri="http://schemas.openxmlformats.org/drawingml/2006/picture">
                <pic:pic>
                  <pic:nvPicPr>
                    <pic:cNvPr descr="02_structure_menages_files/figure-docx/fig_demog_fem_cm-1.png" id="157" name="Picture"/>
                    <pic:cNvPicPr>
                      <a:picLocks noChangeArrowheads="1" noChangeAspect="1"/>
                    </pic:cNvPicPr>
                  </pic:nvPicPr>
                  <pic:blipFill>
                    <a:blip r:embed="rId15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aptionedFigure"/>
      </w:pPr>
      <w:r>
        <w:drawing>
          <wp:inline>
            <wp:extent cx="5334000" cy="2963333"/>
            <wp:effectExtent b="0" l="0" r="0" t="0"/>
            <wp:docPr descr="Évolution du taux de scolarisation des 6-14 ans (1996-2025)" title="" id="159" name="Picture"/>
            <a:graphic>
              <a:graphicData uri="http://schemas.openxmlformats.org/drawingml/2006/picture">
                <pic:pic>
                  <pic:nvPicPr>
                    <pic:cNvPr descr="02_structure_menages_files/figure-docx/fig_demog_scol-1.png" id="160" name="Picture"/>
                    <pic:cNvPicPr>
                      <a:picLocks noChangeArrowheads="1" noChangeAspect="1"/>
                    </pic:cNvPicPr>
                  </pic:nvPicPr>
                  <pic:blipFill>
                    <a:blip r:embed="rId15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aptionedFigure"/>
      </w:pPr>
      <w:r>
        <w:drawing>
          <wp:inline>
            <wp:extent cx="5334000" cy="2963333"/>
            <wp:effectExtent b="0" l="0" r="0" t="0"/>
            <wp:docPr descr="Évolution de l’âge moyen du chef de ménage (1996-2025)" title="" id="162" name="Picture"/>
            <a:graphic>
              <a:graphicData uri="http://schemas.openxmlformats.org/drawingml/2006/picture">
                <pic:pic>
                  <pic:nvPicPr>
                    <pic:cNvPr descr="02_structure_menages_files/figure-docx/fig_demog_age_cm-1.png" id="163" name="Picture"/>
                    <pic:cNvPicPr>
                      <a:picLocks noChangeArrowheads="1" noChangeAspect="1"/>
                    </pic:cNvPicPr>
                  </pic:nvPicPr>
                  <pic:blipFill>
                    <a:blip r:embed="rId16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164"/>
    <w:bookmarkEnd w:id="165"/>
    <w:bookmarkStart w:id="268" w:name="habitat-et-niveau-de-vie"/>
    <w:p>
      <w:pPr>
        <w:pStyle w:val="Heading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fbede\AppData\Local\Programs\Quarto\share\formats\docx\warning.png" id="16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pPr>
        <w:pStyle w:val="BodyText"/>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88" w:name="habitat"/>
    <w:p>
      <w:pPr>
        <w:pStyle w:val="Heading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71" w:name="statut-doccupation-du-logement"/>
    <w:p>
      <w:pPr>
        <w:pStyle w:val="Heading3"/>
      </w:pPr>
      <w:r>
        <w:t xml:space="preserve">3.1.1 Statut d’occupation du logement</w:t>
      </w:r>
    </w:p>
    <w:p>
      <w:pPr>
        <w:pStyle w:val="FirstParagraph"/>
      </w:pPr>
      <w:r>
        <w:t xml:space="preserve">Le statut d’occupation du logement traduit la sécurité résidentielle des ménages.</w:t>
      </w:r>
    </w:p>
    <w:p>
      <w:pPr>
        <w:pStyle w:val="BodyText"/>
      </w:pPr>
      <w:r>
        <w:t xml:space="preserve">Dans l’Alaotra, 74.2 % des ménages occupent un logement en « En propriété ».</w:t>
      </w:r>
    </w:p>
    <w:p>
      <w:pPr>
        <w:pStyle w:val="BodyText"/>
      </w:pPr>
      <w:r>
        <w:t xml:space="preserve">A Marovoay, 88.1 % des ménages occupent un logement en « En propriété ».</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Statut d'occupation du logement par observatoire</w:t>
            </w:r>
          </w:p>
        </w:tc>
      </w:tr>
      <w:tr>
        <w:trPr>
          <w:tblHeader w:val="on"/>
        </w:trPr>
        <w:tc>
          <w:tcPr/>
          <w:p>
            <w:pPr>
              <w:pStyle w:val="Compact"/>
              <w:jc w:val="left"/>
            </w:pPr>
            <w:r>
              <w:t xml:space="preserve">Statut</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En location</w:t>
            </w:r>
          </w:p>
        </w:tc>
        <w:tc>
          <w:tcPr/>
          <w:p>
            <w:pPr>
              <w:pStyle w:val="Compact"/>
              <w:jc w:val="right"/>
            </w:pPr>
            <w:r>
              <w:t xml:space="preserve">51</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376</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80</w:t>
            </w:r>
          </w:p>
        </w:tc>
        <w:tc>
          <w:tcPr/>
          <w:p>
            <w:pPr>
              <w:pStyle w:val="Compact"/>
              <w:jc w:val="right"/>
            </w:pPr>
            <w:r>
              <w:t xml:space="preserve">15.8</w:t>
            </w:r>
          </w:p>
        </w:tc>
      </w:tr>
      <w:tr>
        <w:tc>
          <w:tcPr>
            <w:gridSpan w:val="3"/>
          </w:tcPr>
          <w:p>
            <w:pPr>
              <w:pStyle w:val="Compact"/>
              <w:jc w:val="left"/>
            </w:pPr>
            <w:r>
              <w:t xml:space="preserve">Marovoay</w:t>
            </w:r>
          </w:p>
        </w:tc>
      </w:tr>
      <w:tr>
        <w:tc>
          <w:tcPr/>
          <w:p>
            <w:pPr>
              <w:pStyle w:val="Compact"/>
              <w:jc w:val="left"/>
            </w:pPr>
            <w:r>
              <w:t xml:space="preserve">En location</w:t>
            </w:r>
          </w:p>
        </w:tc>
        <w:tc>
          <w:tcPr/>
          <w:p>
            <w:pPr>
              <w:pStyle w:val="Compact"/>
              <w:jc w:val="right"/>
            </w:pPr>
            <w:r>
              <w:t xml:space="preserve">32</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457</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30</w:t>
            </w:r>
          </w:p>
        </w:tc>
        <w:tc>
          <w:tcPr/>
          <w:p>
            <w:pPr>
              <w:pStyle w:val="Compact"/>
              <w:jc w:val="right"/>
            </w:pPr>
            <w:r>
              <w:t xml:space="preserve">5.8</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69" name="Picture"/>
            <a:graphic>
              <a:graphicData uri="http://schemas.openxmlformats.org/drawingml/2006/picture">
                <pic:pic>
                  <pic:nvPicPr>
                    <pic:cNvPr descr="03_habitat_niveau_de_vie_files/figure-docx/house_status-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bookmarkEnd w:id="171"/>
    <w:bookmarkStart w:id="175" w:name="type-de-latrine"/>
    <w:p>
      <w:pPr>
        <w:pStyle w:val="Heading3"/>
      </w:pPr>
      <w:r>
        <w:t xml:space="preserve">3.1.2 Type de latrine</w:t>
      </w:r>
    </w:p>
    <w:p>
      <w:pPr>
        <w:pStyle w:val="FirstParagraph"/>
      </w:pPr>
      <w:r>
        <w:t xml:space="preserve">Le type de latrine constitue un indicateur sanitaire fondamental.</w:t>
      </w:r>
    </w:p>
    <w:p>
      <w:pPr>
        <w:pStyle w:val="BodyText"/>
      </w:pPr>
      <w:r>
        <w:t xml:space="preserve">Dans l’Alaotra, Le type dominant est « Fosse perdue en commun » (67.1 % des ménages).</w:t>
      </w:r>
    </w:p>
    <w:p>
      <w:pPr>
        <w:pStyle w:val="BodyText"/>
      </w:pPr>
      <w:r>
        <w:t xml:space="preserve">A Marovoay, Le type dominant est « Dans la nature » (48.2 % des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Types de latrine par observatoire</w:t>
            </w:r>
          </w:p>
        </w:tc>
      </w:tr>
      <w:tr>
        <w:trPr>
          <w:tblHeader w:val="on"/>
        </w:trPr>
        <w:tc>
          <w:tcPr/>
          <w:p>
            <w:pPr>
              <w:pStyle w:val="Compact"/>
              <w:jc w:val="left"/>
            </w:pPr>
            <w:r>
              <w:t xml:space="preserve">Type de latrine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Dans la nature</w:t>
            </w:r>
          </w:p>
        </w:tc>
        <w:tc>
          <w:tcPr/>
          <w:p>
            <w:pPr>
              <w:pStyle w:val="Compact"/>
              <w:jc w:val="right"/>
            </w:pPr>
            <w:r>
              <w:t xml:space="preserve">35</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340</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126</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3</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3</w:t>
            </w:r>
          </w:p>
        </w:tc>
        <w:tc>
          <w:tcPr/>
          <w:p>
            <w:pPr>
              <w:pStyle w:val="Compact"/>
              <w:jc w:val="right"/>
            </w:pPr>
            <w:r>
              <w:t xml:space="preserve">0.6</w:t>
            </w:r>
          </w:p>
        </w:tc>
      </w:tr>
      <w:tr>
        <w:tc>
          <w:tcPr>
            <w:gridSpan w:val="3"/>
          </w:tcPr>
          <w:p>
            <w:pPr>
              <w:pStyle w:val="Compact"/>
              <w:jc w:val="left"/>
            </w:pPr>
            <w:r>
              <w:t xml:space="preserve">Marovoay</w:t>
            </w:r>
          </w:p>
        </w:tc>
      </w:tr>
      <w:tr>
        <w:tc>
          <w:tcPr/>
          <w:p>
            <w:pPr>
              <w:pStyle w:val="Compact"/>
              <w:jc w:val="left"/>
            </w:pPr>
            <w:r>
              <w:t xml:space="preserve">Dans la nature</w:t>
            </w:r>
          </w:p>
        </w:tc>
        <w:tc>
          <w:tcPr/>
          <w:p>
            <w:pPr>
              <w:pStyle w:val="Compact"/>
              <w:jc w:val="right"/>
            </w:pPr>
            <w:r>
              <w:t xml:space="preserve">250</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131</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131</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3</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4</w:t>
            </w:r>
          </w:p>
        </w:tc>
        <w:tc>
          <w:tcPr/>
          <w:p>
            <w:pPr>
              <w:pStyle w:val="Compact"/>
              <w:jc w:val="right"/>
            </w:pPr>
            <w:r>
              <w:t xml:space="preserve">0.8</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73" name="Picture"/>
            <a:graphic>
              <a:graphicData uri="http://schemas.openxmlformats.org/drawingml/2006/picture">
                <pic:pic>
                  <pic:nvPicPr>
                    <pic:cNvPr descr="03_habitat_niveau_de_vie_files/figure-docx/latrine-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bookmarkEnd w:id="175"/>
    <w:bookmarkStart w:id="179" w:name="acces-a-leau"/>
    <w:p>
      <w:pPr>
        <w:pStyle w:val="Heading3"/>
      </w:pPr>
      <w:r>
        <w:t xml:space="preserve">3.1.3 Acces a l’eau</w:t>
      </w:r>
    </w:p>
    <w:p>
      <w:pPr>
        <w:pStyle w:val="FirstParagraph"/>
      </w:pPr>
      <w:r>
        <w:t xml:space="preserve">L’approvisionnement en eau détermine en grande partie les conditions sanitaires des ménages ruraux.</w:t>
      </w:r>
    </w:p>
    <w:p>
      <w:pPr>
        <w:pStyle w:val="BodyText"/>
      </w:pPr>
      <w:r>
        <w:t xml:space="preserve">Dans l’Alaotra, La source principale est « Borne fontaine publique » (54.8 %).</w:t>
      </w:r>
    </w:p>
    <w:p>
      <w:pPr>
        <w:pStyle w:val="BodyText"/>
      </w:pPr>
      <w:r>
        <w:t xml:space="preserve">A Marovoay, La source principale est « Cours d?eau » (37.4 %).</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 d'approvisionnement en eau par observatoire</w:t>
            </w:r>
          </w:p>
        </w:tc>
      </w:tr>
      <w:tr>
        <w:trPr>
          <w:tblHeader w:val="on"/>
        </w:trPr>
        <w:tc>
          <w:tcPr/>
          <w:p>
            <w:pPr>
              <w:pStyle w:val="Compact"/>
              <w:jc w:val="left"/>
            </w:pPr>
            <w:r>
              <w:t xml:space="preserve">Source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Autre ____________________________</w:t>
            </w:r>
          </w:p>
        </w:tc>
        <w:tc>
          <w:tcPr/>
          <w:p>
            <w:pPr>
              <w:pStyle w:val="Compact"/>
              <w:jc w:val="right"/>
            </w:pPr>
            <w:r>
              <w:t xml:space="preserve">7</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278</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7</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8</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15</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159</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32</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1</w:t>
            </w:r>
          </w:p>
        </w:tc>
        <w:tc>
          <w:tcPr/>
          <w:p>
            <w:pPr>
              <w:pStyle w:val="Compact"/>
              <w:jc w:val="right"/>
            </w:pPr>
            <w:r>
              <w:t xml:space="preserve">0.2</w:t>
            </w:r>
          </w:p>
        </w:tc>
      </w:tr>
      <w:tr>
        <w:tc>
          <w:tcPr>
            <w:gridSpan w:val="3"/>
          </w:tcPr>
          <w:p>
            <w:pPr>
              <w:pStyle w:val="Compact"/>
              <w:jc w:val="left"/>
            </w:pPr>
            <w:r>
              <w:t xml:space="preserve">Marovoay</w:t>
            </w:r>
          </w:p>
        </w:tc>
      </w:tr>
      <w:tr>
        <w:tc>
          <w:tcPr/>
          <w:p>
            <w:pPr>
              <w:pStyle w:val="Compact"/>
              <w:jc w:val="left"/>
            </w:pPr>
            <w:r>
              <w:t xml:space="preserve">Borne fontaine publique</w:t>
            </w:r>
          </w:p>
        </w:tc>
        <w:tc>
          <w:tcPr/>
          <w:p>
            <w:pPr>
              <w:pStyle w:val="Compact"/>
              <w:jc w:val="right"/>
            </w:pPr>
            <w:r>
              <w:t xml:space="preserve">95</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194</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4</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1</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58</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143</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24</w:t>
            </w:r>
          </w:p>
        </w:tc>
        <w:tc>
          <w:tcPr/>
          <w:p>
            <w:pPr>
              <w:pStyle w:val="Compact"/>
              <w:jc w:val="right"/>
            </w:pPr>
            <w:r>
              <w:t xml:space="preserve">4.6</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77" name="Picture"/>
            <a:graphic>
              <a:graphicData uri="http://schemas.openxmlformats.org/drawingml/2006/picture">
                <pic:pic>
                  <pic:nvPicPr>
                    <pic:cNvPr descr="03_habitat_niveau_de_vie_files/figure-docx/water-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bookmarkEnd w:id="179"/>
    <w:bookmarkStart w:id="183" w:name="mode-declairage"/>
    <w:p>
      <w:pPr>
        <w:pStyle w:val="Heading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Modes d'éclairage des ménages par observatoire</w:t>
            </w:r>
          </w:p>
        </w:tc>
      </w:tr>
      <w:tr>
        <w:trPr>
          <w:tblHeader w:val="on"/>
        </w:trPr>
        <w:tc>
          <w:tcPr/>
          <w:p>
            <w:pPr>
              <w:pStyle w:val="Compact"/>
              <w:jc w:val="left"/>
            </w:pPr>
            <w:r>
              <w:t xml:space="preserve">Type d'eclairage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Batteries</w:t>
            </w:r>
          </w:p>
        </w:tc>
        <w:tc>
          <w:tcPr/>
          <w:p>
            <w:pPr>
              <w:pStyle w:val="Compact"/>
              <w:jc w:val="right"/>
            </w:pPr>
            <w:r>
              <w:t xml:space="preserve">59</w:t>
            </w:r>
          </w:p>
        </w:tc>
        <w:tc>
          <w:tcPr/>
          <w:p>
            <w:pPr>
              <w:pStyle w:val="Compact"/>
              <w:jc w:val="right"/>
            </w:pPr>
            <w:r>
              <w:t xml:space="preserve">6.5</w:t>
            </w:r>
          </w:p>
        </w:tc>
      </w:tr>
      <w:tr>
        <w:tc>
          <w:tcPr/>
          <w:p>
            <w:pPr>
              <w:pStyle w:val="Compact"/>
              <w:jc w:val="left"/>
            </w:pPr>
            <w:r>
              <w:t xml:space="preserve">Bois De Chauffe</w:t>
            </w:r>
          </w:p>
        </w:tc>
        <w:tc>
          <w:tcPr/>
          <w:p>
            <w:pPr>
              <w:pStyle w:val="Compact"/>
              <w:jc w:val="right"/>
            </w:pPr>
            <w:r>
              <w:t xml:space="preserve">2</w:t>
            </w:r>
          </w:p>
        </w:tc>
        <w:tc>
          <w:tcPr/>
          <w:p>
            <w:pPr>
              <w:pStyle w:val="Compact"/>
              <w:jc w:val="right"/>
            </w:pPr>
            <w:r>
              <w:t xml:space="preserve">0.2</w:t>
            </w:r>
          </w:p>
        </w:tc>
      </w:tr>
      <w:tr>
        <w:tc>
          <w:tcPr/>
          <w:p>
            <w:pPr>
              <w:pStyle w:val="Compact"/>
              <w:jc w:val="left"/>
            </w:pPr>
            <w:r>
              <w:t xml:space="preserve">Bougies</w:t>
            </w:r>
          </w:p>
        </w:tc>
        <w:tc>
          <w:tcPr/>
          <w:p>
            <w:pPr>
              <w:pStyle w:val="Compact"/>
              <w:jc w:val="right"/>
            </w:pPr>
            <w:r>
              <w:t xml:space="preserve">22</w:t>
            </w:r>
          </w:p>
        </w:tc>
        <w:tc>
          <w:tcPr/>
          <w:p>
            <w:pPr>
              <w:pStyle w:val="Compact"/>
              <w:jc w:val="right"/>
            </w:pPr>
            <w:r>
              <w:t xml:space="preserve">2.4</w:t>
            </w:r>
          </w:p>
        </w:tc>
      </w:tr>
      <w:tr>
        <w:tc>
          <w:tcPr/>
          <w:p>
            <w:pPr>
              <w:pStyle w:val="Compact"/>
              <w:jc w:val="left"/>
            </w:pPr>
            <w:r>
              <w:t xml:space="preserve">Electricité Réseau</w:t>
            </w:r>
          </w:p>
        </w:tc>
        <w:tc>
          <w:tcPr/>
          <w:p>
            <w:pPr>
              <w:pStyle w:val="Compact"/>
              <w:jc w:val="right"/>
            </w:pPr>
            <w:r>
              <w:t xml:space="preserve">1</w:t>
            </w:r>
          </w:p>
        </w:tc>
        <w:tc>
          <w:tcPr/>
          <w:p>
            <w:pPr>
              <w:pStyle w:val="Compact"/>
              <w:jc w:val="right"/>
            </w:pPr>
            <w:r>
              <w:t xml:space="preserve">0.1</w:t>
            </w:r>
          </w:p>
        </w:tc>
      </w:tr>
      <w:tr>
        <w:tc>
          <w:tcPr/>
          <w:p>
            <w:pPr>
              <w:pStyle w:val="Compact"/>
              <w:jc w:val="left"/>
            </w:pPr>
            <w:r>
              <w:t xml:space="preserve">Groupe Électrogène</w:t>
            </w:r>
          </w:p>
        </w:tc>
        <w:tc>
          <w:tcPr/>
          <w:p>
            <w:pPr>
              <w:pStyle w:val="Compact"/>
              <w:jc w:val="right"/>
            </w:pPr>
            <w:r>
              <w:t xml:space="preserve">3</w:t>
            </w:r>
          </w:p>
        </w:tc>
        <w:tc>
          <w:tcPr/>
          <w:p>
            <w:pPr>
              <w:pStyle w:val="Compact"/>
              <w:jc w:val="right"/>
            </w:pPr>
            <w:r>
              <w:t xml:space="preserve">0.3</w:t>
            </w:r>
          </w:p>
        </w:tc>
      </w:tr>
      <w:tr>
        <w:tc>
          <w:tcPr/>
          <w:p>
            <w:pPr>
              <w:pStyle w:val="Compact"/>
              <w:jc w:val="left"/>
            </w:pPr>
            <w:r>
              <w:t xml:space="preserve">Panneau Solaire En Marche ?</w:t>
            </w:r>
          </w:p>
        </w:tc>
        <w:tc>
          <w:tcPr/>
          <w:p>
            <w:pPr>
              <w:pStyle w:val="Compact"/>
              <w:jc w:val="right"/>
            </w:pPr>
            <w:r>
              <w:t xml:space="preserve">232</w:t>
            </w:r>
          </w:p>
        </w:tc>
        <w:tc>
          <w:tcPr/>
          <w:p>
            <w:pPr>
              <w:pStyle w:val="Compact"/>
              <w:jc w:val="right"/>
            </w:pPr>
            <w:r>
              <w:t xml:space="preserve">25.4</w:t>
            </w:r>
          </w:p>
        </w:tc>
      </w:tr>
      <w:tr>
        <w:tc>
          <w:tcPr/>
          <w:p>
            <w:pPr>
              <w:pStyle w:val="Compact"/>
              <w:jc w:val="left"/>
            </w:pPr>
            <w:r>
              <w:t xml:space="preserve">Piles</w:t>
            </w:r>
          </w:p>
        </w:tc>
        <w:tc>
          <w:tcPr/>
          <w:p>
            <w:pPr>
              <w:pStyle w:val="Compact"/>
              <w:jc w:val="right"/>
            </w:pPr>
            <w:r>
              <w:t xml:space="preserve">63</w:t>
            </w:r>
          </w:p>
        </w:tc>
        <w:tc>
          <w:tcPr/>
          <w:p>
            <w:pPr>
              <w:pStyle w:val="Compact"/>
              <w:jc w:val="right"/>
            </w:pPr>
            <w:r>
              <w:t xml:space="preserve">6.9</w:t>
            </w:r>
          </w:p>
        </w:tc>
      </w:tr>
      <w:tr>
        <w:tc>
          <w:tcPr/>
          <w:p>
            <w:pPr>
              <w:pStyle w:val="Compact"/>
              <w:jc w:val="left"/>
            </w:pPr>
            <w:r>
              <w:t xml:space="preserve">Pétrole Lampant</w:t>
            </w:r>
          </w:p>
        </w:tc>
        <w:tc>
          <w:tcPr/>
          <w:p>
            <w:pPr>
              <w:pStyle w:val="Compact"/>
              <w:jc w:val="right"/>
            </w:pPr>
            <w:r>
              <w:t xml:space="preserve">290</w:t>
            </w:r>
          </w:p>
        </w:tc>
        <w:tc>
          <w:tcPr/>
          <w:p>
            <w:pPr>
              <w:pStyle w:val="Compact"/>
              <w:jc w:val="right"/>
            </w:pPr>
            <w:r>
              <w:t xml:space="preserve">31.8</w:t>
            </w:r>
          </w:p>
        </w:tc>
      </w:tr>
      <w:tr>
        <w:tc>
          <w:tcPr/>
          <w:p>
            <w:pPr>
              <w:pStyle w:val="Compact"/>
              <w:jc w:val="left"/>
            </w:pPr>
            <w:r>
              <w:t xml:space="preserve">Solaire</w:t>
            </w:r>
          </w:p>
        </w:tc>
        <w:tc>
          <w:tcPr/>
          <w:p>
            <w:pPr>
              <w:pStyle w:val="Compact"/>
              <w:jc w:val="right"/>
            </w:pPr>
            <w:r>
              <w:t xml:space="preserve">241</w:t>
            </w:r>
          </w:p>
        </w:tc>
        <w:tc>
          <w:tcPr/>
          <w:p>
            <w:pPr>
              <w:pStyle w:val="Compact"/>
              <w:jc w:val="right"/>
            </w:pPr>
            <w:r>
              <w:t xml:space="preserve">26.4</w:t>
            </w:r>
          </w:p>
        </w:tc>
      </w:tr>
      <w:tr>
        <w:tc>
          <w:tcPr>
            <w:gridSpan w:val="3"/>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31</w:t>
            </w:r>
          </w:p>
        </w:tc>
        <w:tc>
          <w:tcPr/>
          <w:p>
            <w:pPr>
              <w:pStyle w:val="Compact"/>
              <w:jc w:val="right"/>
            </w:pPr>
            <w:r>
              <w:t xml:space="preserve">3.6</w:t>
            </w:r>
          </w:p>
        </w:tc>
      </w:tr>
      <w:tr>
        <w:tc>
          <w:tcPr/>
          <w:p>
            <w:pPr>
              <w:pStyle w:val="Compact"/>
              <w:jc w:val="left"/>
            </w:pPr>
            <w:r>
              <w:t xml:space="preserve">Batteries</w:t>
            </w:r>
          </w:p>
        </w:tc>
        <w:tc>
          <w:tcPr/>
          <w:p>
            <w:pPr>
              <w:pStyle w:val="Compact"/>
              <w:jc w:val="right"/>
            </w:pPr>
            <w:r>
              <w:t xml:space="preserve">65</w:t>
            </w:r>
          </w:p>
        </w:tc>
        <w:tc>
          <w:tcPr/>
          <w:p>
            <w:pPr>
              <w:pStyle w:val="Compact"/>
              <w:jc w:val="right"/>
            </w:pPr>
            <w:r>
              <w:t xml:space="preserve">7.5</w:t>
            </w:r>
          </w:p>
        </w:tc>
      </w:tr>
      <w:tr>
        <w:tc>
          <w:tcPr/>
          <w:p>
            <w:pPr>
              <w:pStyle w:val="Compact"/>
              <w:jc w:val="left"/>
            </w:pPr>
            <w:r>
              <w:t xml:space="preserve">Bois De Chauffe</w:t>
            </w:r>
          </w:p>
        </w:tc>
        <w:tc>
          <w:tcPr/>
          <w:p>
            <w:pPr>
              <w:pStyle w:val="Compact"/>
              <w:jc w:val="right"/>
            </w:pPr>
            <w:r>
              <w:t xml:space="preserve">6</w:t>
            </w:r>
          </w:p>
        </w:tc>
        <w:tc>
          <w:tcPr/>
          <w:p>
            <w:pPr>
              <w:pStyle w:val="Compact"/>
              <w:jc w:val="right"/>
            </w:pPr>
            <w:r>
              <w:t xml:space="preserve">0.7</w:t>
            </w:r>
          </w:p>
        </w:tc>
      </w:tr>
      <w:tr>
        <w:tc>
          <w:tcPr/>
          <w:p>
            <w:pPr>
              <w:pStyle w:val="Compact"/>
              <w:jc w:val="left"/>
            </w:pPr>
            <w:r>
              <w:t xml:space="preserve">Bougies</w:t>
            </w:r>
          </w:p>
        </w:tc>
        <w:tc>
          <w:tcPr/>
          <w:p>
            <w:pPr>
              <w:pStyle w:val="Compact"/>
              <w:jc w:val="right"/>
            </w:pPr>
            <w:r>
              <w:t xml:space="preserve">4</w:t>
            </w:r>
          </w:p>
        </w:tc>
        <w:tc>
          <w:tcPr/>
          <w:p>
            <w:pPr>
              <w:pStyle w:val="Compact"/>
              <w:jc w:val="right"/>
            </w:pPr>
            <w:r>
              <w:t xml:space="preserve">0.5</w:t>
            </w:r>
          </w:p>
        </w:tc>
      </w:tr>
      <w:tr>
        <w:tc>
          <w:tcPr/>
          <w:p>
            <w:pPr>
              <w:pStyle w:val="Compact"/>
              <w:jc w:val="left"/>
            </w:pPr>
            <w:r>
              <w:t xml:space="preserve">Panneau Solaire En Marche ?</w:t>
            </w:r>
          </w:p>
        </w:tc>
        <w:tc>
          <w:tcPr/>
          <w:p>
            <w:pPr>
              <w:pStyle w:val="Compact"/>
              <w:jc w:val="right"/>
            </w:pPr>
            <w:r>
              <w:t xml:space="preserve">163</w:t>
            </w:r>
          </w:p>
        </w:tc>
        <w:tc>
          <w:tcPr/>
          <w:p>
            <w:pPr>
              <w:pStyle w:val="Compact"/>
              <w:jc w:val="right"/>
            </w:pPr>
            <w:r>
              <w:t xml:space="preserve">18.8</w:t>
            </w:r>
          </w:p>
        </w:tc>
      </w:tr>
      <w:tr>
        <w:tc>
          <w:tcPr/>
          <w:p>
            <w:pPr>
              <w:pStyle w:val="Compact"/>
              <w:jc w:val="left"/>
            </w:pPr>
            <w:r>
              <w:t xml:space="preserve">Piles</w:t>
            </w:r>
          </w:p>
        </w:tc>
        <w:tc>
          <w:tcPr/>
          <w:p>
            <w:pPr>
              <w:pStyle w:val="Compact"/>
              <w:jc w:val="right"/>
            </w:pPr>
            <w:r>
              <w:t xml:space="preserve">151</w:t>
            </w:r>
          </w:p>
        </w:tc>
        <w:tc>
          <w:tcPr/>
          <w:p>
            <w:pPr>
              <w:pStyle w:val="Compact"/>
              <w:jc w:val="right"/>
            </w:pPr>
            <w:r>
              <w:t xml:space="preserve">17.5</w:t>
            </w:r>
          </w:p>
        </w:tc>
      </w:tr>
      <w:tr>
        <w:tc>
          <w:tcPr/>
          <w:p>
            <w:pPr>
              <w:pStyle w:val="Compact"/>
              <w:jc w:val="left"/>
            </w:pPr>
            <w:r>
              <w:t xml:space="preserve">Pétrole Lampant</w:t>
            </w:r>
          </w:p>
        </w:tc>
        <w:tc>
          <w:tcPr/>
          <w:p>
            <w:pPr>
              <w:pStyle w:val="Compact"/>
              <w:jc w:val="right"/>
            </w:pPr>
            <w:r>
              <w:t xml:space="preserve">283</w:t>
            </w:r>
          </w:p>
        </w:tc>
        <w:tc>
          <w:tcPr/>
          <w:p>
            <w:pPr>
              <w:pStyle w:val="Compact"/>
              <w:jc w:val="right"/>
            </w:pPr>
            <w:r>
              <w:t xml:space="preserve">32.7</w:t>
            </w:r>
          </w:p>
        </w:tc>
      </w:tr>
      <w:tr>
        <w:tc>
          <w:tcPr/>
          <w:p>
            <w:pPr>
              <w:pStyle w:val="Compact"/>
              <w:jc w:val="left"/>
            </w:pPr>
            <w:r>
              <w:t xml:space="preserve">Solaire</w:t>
            </w:r>
          </w:p>
        </w:tc>
        <w:tc>
          <w:tcPr/>
          <w:p>
            <w:pPr>
              <w:pStyle w:val="Compact"/>
              <w:jc w:val="right"/>
            </w:pPr>
            <w:r>
              <w:t xml:space="preserve">162</w:t>
            </w:r>
          </w:p>
        </w:tc>
        <w:tc>
          <w:tcPr/>
          <w:p>
            <w:pPr>
              <w:pStyle w:val="Compact"/>
              <w:jc w:val="right"/>
            </w:pPr>
            <w:r>
              <w:t xml:space="preserve">18.7</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81" name="Picture"/>
            <a:graphic>
              <a:graphicData uri="http://schemas.openxmlformats.org/drawingml/2006/picture">
                <pic:pic>
                  <pic:nvPicPr>
                    <pic:cNvPr descr="03_habitat_niveau_de_vie_files/figure-docx/lighting-1.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bookmarkEnd w:id="183"/>
    <w:bookmarkStart w:id="187" w:name="source-denergie-pour-la-cuisson"/>
    <w:p>
      <w:pPr>
        <w:pStyle w:val="Heading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Modes de cuisson des ménages par observatoire</w:t>
            </w:r>
          </w:p>
        </w:tc>
      </w:tr>
      <w:tr>
        <w:trPr>
          <w:tblHeader w:val="on"/>
        </w:trPr>
        <w:tc>
          <w:tcPr/>
          <w:p>
            <w:pPr>
              <w:pStyle w:val="Compact"/>
              <w:jc w:val="left"/>
            </w:pPr>
            <w:r>
              <w:t xml:space="preserve">Source d'energie</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Autre</w:t>
            </w:r>
          </w:p>
        </w:tc>
        <w:tc>
          <w:tcPr/>
          <w:p>
            <w:pPr>
              <w:pStyle w:val="Compact"/>
              <w:jc w:val="right"/>
            </w:pPr>
            <w:r>
              <w:t xml:space="preserve">2</w:t>
            </w:r>
          </w:p>
        </w:tc>
        <w:tc>
          <w:tcPr/>
          <w:p>
            <w:pPr>
              <w:pStyle w:val="Compact"/>
              <w:jc w:val="right"/>
            </w:pPr>
            <w:r>
              <w:t xml:space="preserve">0.3</w:t>
            </w:r>
          </w:p>
        </w:tc>
      </w:tr>
      <w:tr>
        <w:tc>
          <w:tcPr/>
          <w:p>
            <w:pPr>
              <w:pStyle w:val="Compact"/>
              <w:jc w:val="left"/>
            </w:pPr>
            <w:r>
              <w:t xml:space="preserve">Charbon</w:t>
            </w:r>
          </w:p>
        </w:tc>
        <w:tc>
          <w:tcPr/>
          <w:p>
            <w:pPr>
              <w:pStyle w:val="Compact"/>
              <w:jc w:val="right"/>
            </w:pPr>
            <w:r>
              <w:t xml:space="preserve">218</w:t>
            </w:r>
          </w:p>
        </w:tc>
        <w:tc>
          <w:tcPr/>
          <w:p>
            <w:pPr>
              <w:pStyle w:val="Compact"/>
              <w:jc w:val="right"/>
            </w:pPr>
            <w:r>
              <w:t xml:space="preserve">34.0</w:t>
            </w:r>
          </w:p>
        </w:tc>
      </w:tr>
      <w:tr>
        <w:tc>
          <w:tcPr/>
          <w:p>
            <w:pPr>
              <w:pStyle w:val="Compact"/>
              <w:jc w:val="left"/>
            </w:pPr>
            <w:r>
              <w:t xml:space="preserve">Gaz</w:t>
            </w:r>
          </w:p>
        </w:tc>
        <w:tc>
          <w:tcPr/>
          <w:p>
            <w:pPr>
              <w:pStyle w:val="Compact"/>
              <w:jc w:val="right"/>
            </w:pPr>
            <w:r>
              <w:t xml:space="preserve">1</w:t>
            </w:r>
          </w:p>
        </w:tc>
        <w:tc>
          <w:tcPr/>
          <w:p>
            <w:pPr>
              <w:pStyle w:val="Compact"/>
              <w:jc w:val="right"/>
            </w:pPr>
            <w:r>
              <w:t xml:space="preserve">0.2</w:t>
            </w:r>
          </w:p>
        </w:tc>
      </w:tr>
      <w:tr>
        <w:tc>
          <w:tcPr/>
          <w:p>
            <w:pPr>
              <w:pStyle w:val="Compact"/>
              <w:jc w:val="left"/>
            </w:pPr>
            <w:r>
              <w:t xml:space="preserve">Morceaux De Bois Résinés</w:t>
            </w:r>
          </w:p>
        </w:tc>
        <w:tc>
          <w:tcPr/>
          <w:p>
            <w:pPr>
              <w:pStyle w:val="Compact"/>
              <w:jc w:val="right"/>
            </w:pPr>
            <w:r>
              <w:t xml:space="preserve">420</w:t>
            </w:r>
          </w:p>
        </w:tc>
        <w:tc>
          <w:tcPr/>
          <w:p>
            <w:pPr>
              <w:pStyle w:val="Compact"/>
              <w:jc w:val="right"/>
            </w:pPr>
            <w:r>
              <w:t xml:space="preserve">65.5</w:t>
            </w:r>
          </w:p>
        </w:tc>
      </w:tr>
      <w:tr>
        <w:tc>
          <w:tcPr>
            <w:gridSpan w:val="3"/>
          </w:tcPr>
          <w:p>
            <w:pPr>
              <w:pStyle w:val="Compact"/>
              <w:jc w:val="left"/>
            </w:pPr>
            <w:r>
              <w:t xml:space="preserve">Marovoay</w:t>
            </w:r>
          </w:p>
        </w:tc>
      </w:tr>
      <w:tr>
        <w:tc>
          <w:tcPr/>
          <w:p>
            <w:pPr>
              <w:pStyle w:val="Compact"/>
              <w:jc w:val="left"/>
            </w:pPr>
            <w:r>
              <w:t xml:space="preserve">Charbon</w:t>
            </w:r>
          </w:p>
        </w:tc>
        <w:tc>
          <w:tcPr/>
          <w:p>
            <w:pPr>
              <w:pStyle w:val="Compact"/>
              <w:jc w:val="right"/>
            </w:pPr>
            <w:r>
              <w:t xml:space="preserve">241</w:t>
            </w:r>
          </w:p>
        </w:tc>
        <w:tc>
          <w:tcPr/>
          <w:p>
            <w:pPr>
              <w:pStyle w:val="Compact"/>
              <w:jc w:val="right"/>
            </w:pPr>
            <w:r>
              <w:t xml:space="preserve">39.0</w:t>
            </w:r>
          </w:p>
        </w:tc>
      </w:tr>
      <w:tr>
        <w:tc>
          <w:tcPr/>
          <w:p>
            <w:pPr>
              <w:pStyle w:val="Compact"/>
              <w:jc w:val="left"/>
            </w:pPr>
            <w:r>
              <w:t xml:space="preserve">Morceaux De Bois Résinés</w:t>
            </w:r>
          </w:p>
        </w:tc>
        <w:tc>
          <w:tcPr/>
          <w:p>
            <w:pPr>
              <w:pStyle w:val="Compact"/>
              <w:jc w:val="right"/>
            </w:pPr>
            <w:r>
              <w:t xml:space="preserve">377</w:t>
            </w:r>
          </w:p>
        </w:tc>
        <w:tc>
          <w:tcPr/>
          <w:p>
            <w:pPr>
              <w:pStyle w:val="Compact"/>
              <w:jc w:val="right"/>
            </w:pPr>
            <w:r>
              <w:t xml:space="preserve">61.0</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85" name="Picture"/>
            <a:graphic>
              <a:graphicData uri="http://schemas.openxmlformats.org/drawingml/2006/picture">
                <pic:pic>
                  <pic:nvPicPr>
                    <pic:cNvPr descr="03_habitat_niveau_de_vie_files/figure-docx/cooking-1.png" id="186" name="Picture"/>
                    <pic:cNvPicPr>
                      <a:picLocks noChangeArrowheads="1" noChangeAspect="1"/>
                    </pic:cNvPicPr>
                  </pic:nvPicPr>
                  <pic:blipFill>
                    <a:blip r:embed="rId184"/>
                    <a:stretch>
                      <a:fillRect/>
                    </a:stretch>
                  </pic:blipFill>
                  <pic:spPr bwMode="auto">
                    <a:xfrm>
                      <a:off x="0" y="0"/>
                      <a:ext cx="4620126" cy="3696101"/>
                    </a:xfrm>
                    <a:prstGeom prst="rect">
                      <a:avLst/>
                    </a:prstGeom>
                    <a:noFill/>
                    <a:ln w="9525">
                      <a:noFill/>
                      <a:headEnd/>
                      <a:tailEnd/>
                    </a:ln>
                  </pic:spPr>
                </pic:pic>
              </a:graphicData>
            </a:graphic>
          </wp:inline>
        </w:drawing>
      </w:r>
    </w:p>
    <w:bookmarkEnd w:id="187"/>
    <w:bookmarkEnd w:id="188"/>
    <w:bookmarkStart w:id="201" w:name="niveau-de-vie"/>
    <w:p>
      <w:pPr>
        <w:pStyle w:val="Heading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92" w:name="biens-de-confort-courant"/>
    <w:p>
      <w:pPr>
        <w:pStyle w:val="Heading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de biens de confort courants par observatoire</w:t>
            </w:r>
          </w:p>
        </w:tc>
      </w:tr>
      <w:tr>
        <w:trPr>
          <w:tblHeader w:val="on"/>
        </w:trPr>
        <w:tc>
          <w:tcPr/>
          <w:p>
            <w:pPr>
              <w:pStyle w:val="Compact"/>
              <w:jc w:val="left"/>
            </w:pPr>
            <w:r>
              <w:t xml:space="preserve">Bien</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15</w:t>
            </w:r>
          </w:p>
        </w:tc>
        <w:tc>
          <w:tcPr/>
          <w:p>
            <w:pPr>
              <w:pStyle w:val="Compact"/>
              <w:jc w:val="right"/>
            </w:pPr>
            <w:r>
              <w:t xml:space="preserve">1.1</w:t>
            </w:r>
          </w:p>
        </w:tc>
      </w:tr>
      <w:tr>
        <w:tc>
          <w:tcPr/>
          <w:p>
            <w:pPr>
              <w:pStyle w:val="Compact"/>
              <w:jc w:val="left"/>
            </w:pPr>
            <w:r>
              <w:t xml:space="preserve">Bicyclette</w:t>
            </w:r>
          </w:p>
        </w:tc>
        <w:tc>
          <w:tcPr/>
          <w:p>
            <w:pPr>
              <w:pStyle w:val="Compact"/>
              <w:jc w:val="right"/>
            </w:pPr>
            <w:r>
              <w:t xml:space="preserve">184</w:t>
            </w:r>
          </w:p>
        </w:tc>
        <w:tc>
          <w:tcPr/>
          <w:p>
            <w:pPr>
              <w:pStyle w:val="Compact"/>
              <w:jc w:val="right"/>
            </w:pPr>
            <w:r>
              <w:t xml:space="preserve">12.9</w:t>
            </w:r>
          </w:p>
        </w:tc>
      </w:tr>
      <w:tr>
        <w:tc>
          <w:tcPr/>
          <w:p>
            <w:pPr>
              <w:pStyle w:val="Compact"/>
              <w:jc w:val="left"/>
            </w:pPr>
            <w:r>
              <w:t xml:space="preserve">Chaises</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Lecteur Vcd / Dvd / Divx</w:t>
            </w:r>
          </w:p>
        </w:tc>
        <w:tc>
          <w:tcPr/>
          <w:p>
            <w:pPr>
              <w:pStyle w:val="Compact"/>
              <w:jc w:val="right"/>
            </w:pPr>
            <w:r>
              <w:t xml:space="preserve">39</w:t>
            </w:r>
          </w:p>
        </w:tc>
        <w:tc>
          <w:tcPr/>
          <w:p>
            <w:pPr>
              <w:pStyle w:val="Compact"/>
              <w:jc w:val="right"/>
            </w:pPr>
            <w:r>
              <w:t xml:space="preserve">2.7</w:t>
            </w:r>
          </w:p>
        </w:tc>
      </w:tr>
      <w:tr>
        <w:tc>
          <w:tcPr/>
          <w:p>
            <w:pPr>
              <w:pStyle w:val="Compact"/>
              <w:jc w:val="left"/>
            </w:pPr>
            <w:r>
              <w:t xml:space="preserve">Lits</w:t>
            </w:r>
          </w:p>
        </w:tc>
        <w:tc>
          <w:tcPr/>
          <w:p>
            <w:pPr>
              <w:pStyle w:val="Compact"/>
              <w:jc w:val="right"/>
            </w:pPr>
            <w:r>
              <w:t xml:space="preserve">229</w:t>
            </w:r>
          </w:p>
        </w:tc>
        <w:tc>
          <w:tcPr/>
          <w:p>
            <w:pPr>
              <w:pStyle w:val="Compact"/>
              <w:jc w:val="right"/>
            </w:pPr>
            <w:r>
              <w:t xml:space="preserve">16.0</w:t>
            </w:r>
          </w:p>
        </w:tc>
      </w:tr>
      <w:tr>
        <w:tc>
          <w:tcPr/>
          <w:p>
            <w:pPr>
              <w:pStyle w:val="Compact"/>
              <w:jc w:val="left"/>
            </w:pPr>
            <w:r>
              <w:t xml:space="preserve">Marmites</w:t>
            </w:r>
          </w:p>
        </w:tc>
        <w:tc>
          <w:tcPr/>
          <w:p>
            <w:pPr>
              <w:pStyle w:val="Compact"/>
              <w:jc w:val="right"/>
            </w:pPr>
            <w:r>
              <w:t xml:space="preserve">8</w:t>
            </w:r>
          </w:p>
        </w:tc>
        <w:tc>
          <w:tcPr/>
          <w:p>
            <w:pPr>
              <w:pStyle w:val="Compact"/>
              <w:jc w:val="right"/>
            </w:pPr>
            <w:r>
              <w:t xml:space="preserve">0.6</w:t>
            </w:r>
          </w:p>
        </w:tc>
      </w:tr>
      <w:tr>
        <w:tc>
          <w:tcPr/>
          <w:p>
            <w:pPr>
              <w:pStyle w:val="Compact"/>
              <w:jc w:val="left"/>
            </w:pPr>
            <w:r>
              <w:t xml:space="preserve">Moto</w:t>
            </w:r>
          </w:p>
        </w:tc>
        <w:tc>
          <w:tcPr/>
          <w:p>
            <w:pPr>
              <w:pStyle w:val="Compact"/>
              <w:jc w:val="right"/>
            </w:pPr>
            <w:r>
              <w:t xml:space="preserve">27</w:t>
            </w:r>
          </w:p>
        </w:tc>
        <w:tc>
          <w:tcPr/>
          <w:p>
            <w:pPr>
              <w:pStyle w:val="Compact"/>
              <w:jc w:val="right"/>
            </w:pPr>
            <w:r>
              <w:t xml:space="preserve">1.9</w:t>
            </w:r>
          </w:p>
        </w:tc>
      </w:tr>
      <w:tr>
        <w:tc>
          <w:tcPr/>
          <w:p>
            <w:pPr>
              <w:pStyle w:val="Compact"/>
              <w:jc w:val="left"/>
            </w:pPr>
            <w:r>
              <w:t xml:space="preserve">Nattes Pour Dormir</w:t>
            </w:r>
          </w:p>
        </w:tc>
        <w:tc>
          <w:tcPr/>
          <w:p>
            <w:pPr>
              <w:pStyle w:val="Compact"/>
              <w:jc w:val="right"/>
            </w:pPr>
            <w:r>
              <w:t xml:space="preserve">102</w:t>
            </w:r>
          </w:p>
        </w:tc>
        <w:tc>
          <w:tcPr/>
          <w:p>
            <w:pPr>
              <w:pStyle w:val="Compact"/>
              <w:jc w:val="right"/>
            </w:pPr>
            <w:r>
              <w:t xml:space="preserve">7.1</w:t>
            </w:r>
          </w:p>
        </w:tc>
      </w:tr>
      <w:tr>
        <w:tc>
          <w:tcPr/>
          <w:p>
            <w:pPr>
              <w:pStyle w:val="Compact"/>
              <w:jc w:val="left"/>
            </w:pPr>
            <w:r>
              <w:t xml:space="preserve">Radio / Radio-K7</w:t>
            </w:r>
          </w:p>
        </w:tc>
        <w:tc>
          <w:tcPr/>
          <w:p>
            <w:pPr>
              <w:pStyle w:val="Compact"/>
              <w:jc w:val="right"/>
            </w:pPr>
            <w:r>
              <w:t xml:space="preserve">264</w:t>
            </w:r>
          </w:p>
        </w:tc>
        <w:tc>
          <w:tcPr/>
          <w:p>
            <w:pPr>
              <w:pStyle w:val="Compact"/>
              <w:jc w:val="right"/>
            </w:pPr>
            <w:r>
              <w:t xml:space="preserve">18.5</w:t>
            </w:r>
          </w:p>
        </w:tc>
      </w:tr>
      <w:tr>
        <w:tc>
          <w:tcPr/>
          <w:p>
            <w:pPr>
              <w:pStyle w:val="Compact"/>
              <w:jc w:val="left"/>
            </w:pPr>
            <w:r>
              <w:t xml:space="preserve">Tables</w:t>
            </w:r>
          </w:p>
        </w:tc>
        <w:tc>
          <w:tcPr/>
          <w:p>
            <w:pPr>
              <w:pStyle w:val="Compact"/>
              <w:jc w:val="right"/>
            </w:pPr>
            <w:r>
              <w:t xml:space="preserve">235</w:t>
            </w:r>
          </w:p>
        </w:tc>
        <w:tc>
          <w:tcPr/>
          <w:p>
            <w:pPr>
              <w:pStyle w:val="Compact"/>
              <w:jc w:val="right"/>
            </w:pPr>
            <w:r>
              <w:t xml:space="preserve">16.5</w:t>
            </w:r>
          </w:p>
        </w:tc>
      </w:tr>
      <w:tr>
        <w:tc>
          <w:tcPr/>
          <w:p>
            <w:pPr>
              <w:pStyle w:val="Compact"/>
              <w:jc w:val="left"/>
            </w:pPr>
            <w:r>
              <w:t xml:space="preserve">Téléphone Fixe Ou Mobile</w:t>
            </w:r>
          </w:p>
        </w:tc>
        <w:tc>
          <w:tcPr/>
          <w:p>
            <w:pPr>
              <w:pStyle w:val="Compact"/>
              <w:jc w:val="right"/>
            </w:pPr>
            <w:r>
              <w:t xml:space="preserve">190</w:t>
            </w:r>
          </w:p>
        </w:tc>
        <w:tc>
          <w:tcPr/>
          <w:p>
            <w:pPr>
              <w:pStyle w:val="Compact"/>
              <w:jc w:val="right"/>
            </w:pPr>
            <w:r>
              <w:t xml:space="preserve">13.3</w:t>
            </w:r>
          </w:p>
        </w:tc>
      </w:tr>
      <w:tr>
        <w:tc>
          <w:tcPr/>
          <w:p>
            <w:pPr>
              <w:pStyle w:val="Compact"/>
              <w:jc w:val="left"/>
            </w:pPr>
            <w:r>
              <w:t xml:space="preserve">Télévision</w:t>
            </w:r>
          </w:p>
        </w:tc>
        <w:tc>
          <w:tcPr/>
          <w:p>
            <w:pPr>
              <w:pStyle w:val="Compact"/>
              <w:jc w:val="right"/>
            </w:pPr>
            <w:r>
              <w:t xml:space="preserve">77</w:t>
            </w:r>
          </w:p>
        </w:tc>
        <w:tc>
          <w:tcPr/>
          <w:p>
            <w:pPr>
              <w:pStyle w:val="Compact"/>
              <w:jc w:val="right"/>
            </w:pPr>
            <w:r>
              <w:t xml:space="preserve">5.4</w:t>
            </w:r>
          </w:p>
        </w:tc>
      </w:tr>
      <w:tr>
        <w:tc>
          <w:tcPr/>
          <w:p>
            <w:pPr>
              <w:pStyle w:val="Compact"/>
              <w:jc w:val="left"/>
            </w:pPr>
            <w:r>
              <w:t xml:space="preserve">Voiture/Camionnette</w:t>
            </w:r>
          </w:p>
        </w:tc>
        <w:tc>
          <w:tcPr/>
          <w:p>
            <w:pPr>
              <w:pStyle w:val="Compact"/>
              <w:jc w:val="right"/>
            </w:pPr>
            <w:r>
              <w:t xml:space="preserve">2</w:t>
            </w:r>
          </w:p>
        </w:tc>
        <w:tc>
          <w:tcPr/>
          <w:p>
            <w:pPr>
              <w:pStyle w:val="Compact"/>
              <w:jc w:val="right"/>
            </w:pPr>
            <w:r>
              <w:t xml:space="preserve">0.1</w:t>
            </w:r>
          </w:p>
        </w:tc>
      </w:tr>
      <w:tr>
        <w:tc>
          <w:tcPr>
            <w:gridSpan w:val="3"/>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16</w:t>
            </w:r>
          </w:p>
        </w:tc>
        <w:tc>
          <w:tcPr/>
          <w:p>
            <w:pPr>
              <w:pStyle w:val="Compact"/>
              <w:jc w:val="right"/>
            </w:pPr>
            <w:r>
              <w:t xml:space="preserve">1.2</w:t>
            </w:r>
          </w:p>
        </w:tc>
      </w:tr>
      <w:tr>
        <w:tc>
          <w:tcPr/>
          <w:p>
            <w:pPr>
              <w:pStyle w:val="Compact"/>
              <w:jc w:val="left"/>
            </w:pPr>
            <w:r>
              <w:t xml:space="preserve">Bicyclette</w:t>
            </w:r>
          </w:p>
        </w:tc>
        <w:tc>
          <w:tcPr/>
          <w:p>
            <w:pPr>
              <w:pStyle w:val="Compact"/>
              <w:jc w:val="right"/>
            </w:pPr>
            <w:r>
              <w:t xml:space="preserve">40</w:t>
            </w:r>
          </w:p>
        </w:tc>
        <w:tc>
          <w:tcPr/>
          <w:p>
            <w:pPr>
              <w:pStyle w:val="Compact"/>
              <w:jc w:val="right"/>
            </w:pPr>
            <w:r>
              <w:t xml:space="preserve">3.1</w:t>
            </w:r>
          </w:p>
        </w:tc>
      </w:tr>
      <w:tr>
        <w:tc>
          <w:tcPr/>
          <w:p>
            <w:pPr>
              <w:pStyle w:val="Compact"/>
              <w:jc w:val="left"/>
            </w:pPr>
            <w:r>
              <w:t xml:space="preserve">Chaises</w:t>
            </w:r>
          </w:p>
        </w:tc>
        <w:tc>
          <w:tcPr/>
          <w:p>
            <w:pPr>
              <w:pStyle w:val="Compact"/>
              <w:jc w:val="right"/>
            </w:pPr>
            <w:r>
              <w:t xml:space="preserve">34</w:t>
            </w:r>
          </w:p>
        </w:tc>
        <w:tc>
          <w:tcPr/>
          <w:p>
            <w:pPr>
              <w:pStyle w:val="Compact"/>
              <w:jc w:val="right"/>
            </w:pPr>
            <w:r>
              <w:t xml:space="preserve">2.7</w:t>
            </w:r>
          </w:p>
        </w:tc>
      </w:tr>
      <w:tr>
        <w:tc>
          <w:tcPr/>
          <w:p>
            <w:pPr>
              <w:pStyle w:val="Compact"/>
              <w:jc w:val="left"/>
            </w:pPr>
            <w:r>
              <w:t xml:space="preserve">Lecteur Vcd / Dvd / Divx</w:t>
            </w:r>
          </w:p>
        </w:tc>
        <w:tc>
          <w:tcPr/>
          <w:p>
            <w:pPr>
              <w:pStyle w:val="Compact"/>
              <w:jc w:val="right"/>
            </w:pPr>
            <w:r>
              <w:t xml:space="preserve">5</w:t>
            </w:r>
          </w:p>
        </w:tc>
        <w:tc>
          <w:tcPr/>
          <w:p>
            <w:pPr>
              <w:pStyle w:val="Compact"/>
              <w:jc w:val="right"/>
            </w:pPr>
            <w:r>
              <w:t xml:space="preserve">0.4</w:t>
            </w:r>
          </w:p>
        </w:tc>
      </w:tr>
      <w:tr>
        <w:tc>
          <w:tcPr/>
          <w:p>
            <w:pPr>
              <w:pStyle w:val="Compact"/>
              <w:jc w:val="left"/>
            </w:pPr>
            <w:r>
              <w:t xml:space="preserve">Lits</w:t>
            </w:r>
          </w:p>
        </w:tc>
        <w:tc>
          <w:tcPr/>
          <w:p>
            <w:pPr>
              <w:pStyle w:val="Compact"/>
              <w:jc w:val="right"/>
            </w:pPr>
            <w:r>
              <w:t xml:space="preserve">263</w:t>
            </w:r>
          </w:p>
        </w:tc>
        <w:tc>
          <w:tcPr/>
          <w:p>
            <w:pPr>
              <w:pStyle w:val="Compact"/>
              <w:jc w:val="right"/>
            </w:pPr>
            <w:r>
              <w:t xml:space="preserve">20.5</w:t>
            </w:r>
          </w:p>
        </w:tc>
      </w:tr>
      <w:tr>
        <w:tc>
          <w:tcPr/>
          <w:p>
            <w:pPr>
              <w:pStyle w:val="Compact"/>
              <w:jc w:val="left"/>
            </w:pPr>
            <w:r>
              <w:t xml:space="preserve">Marmites</w:t>
            </w:r>
          </w:p>
        </w:tc>
        <w:tc>
          <w:tcPr/>
          <w:p>
            <w:pPr>
              <w:pStyle w:val="Compact"/>
              <w:jc w:val="right"/>
            </w:pPr>
            <w:r>
              <w:t xml:space="preserve">3</w:t>
            </w:r>
          </w:p>
        </w:tc>
        <w:tc>
          <w:tcPr/>
          <w:p>
            <w:pPr>
              <w:pStyle w:val="Compact"/>
              <w:jc w:val="right"/>
            </w:pPr>
            <w:r>
              <w:t xml:space="preserve">0.2</w:t>
            </w:r>
          </w:p>
        </w:tc>
      </w:tr>
      <w:tr>
        <w:tc>
          <w:tcPr/>
          <w:p>
            <w:pPr>
              <w:pStyle w:val="Compact"/>
              <w:jc w:val="left"/>
            </w:pPr>
            <w:r>
              <w:t xml:space="preserve">Moto</w:t>
            </w:r>
          </w:p>
        </w:tc>
        <w:tc>
          <w:tcPr/>
          <w:p>
            <w:pPr>
              <w:pStyle w:val="Compact"/>
              <w:jc w:val="right"/>
            </w:pPr>
            <w:r>
              <w:t xml:space="preserve">7</w:t>
            </w:r>
          </w:p>
        </w:tc>
        <w:tc>
          <w:tcPr/>
          <w:p>
            <w:pPr>
              <w:pStyle w:val="Compact"/>
              <w:jc w:val="right"/>
            </w:pPr>
            <w:r>
              <w:t xml:space="preserve">0.5</w:t>
            </w:r>
          </w:p>
        </w:tc>
      </w:tr>
      <w:tr>
        <w:tc>
          <w:tcPr/>
          <w:p>
            <w:pPr>
              <w:pStyle w:val="Compact"/>
              <w:jc w:val="left"/>
            </w:pPr>
            <w:r>
              <w:t xml:space="preserve">Nattes Pour Dormir</w:t>
            </w:r>
          </w:p>
        </w:tc>
        <w:tc>
          <w:tcPr/>
          <w:p>
            <w:pPr>
              <w:pStyle w:val="Compact"/>
              <w:jc w:val="right"/>
            </w:pPr>
            <w:r>
              <w:t xml:space="preserve">199</w:t>
            </w:r>
          </w:p>
        </w:tc>
        <w:tc>
          <w:tcPr/>
          <w:p>
            <w:pPr>
              <w:pStyle w:val="Compact"/>
              <w:jc w:val="right"/>
            </w:pPr>
            <w:r>
              <w:t xml:space="preserve">15.5</w:t>
            </w:r>
          </w:p>
        </w:tc>
      </w:tr>
      <w:tr>
        <w:tc>
          <w:tcPr/>
          <w:p>
            <w:pPr>
              <w:pStyle w:val="Compact"/>
              <w:jc w:val="left"/>
            </w:pPr>
            <w:r>
              <w:t xml:space="preserve">Radio / Radio-K7</w:t>
            </w:r>
          </w:p>
        </w:tc>
        <w:tc>
          <w:tcPr/>
          <w:p>
            <w:pPr>
              <w:pStyle w:val="Compact"/>
              <w:jc w:val="right"/>
            </w:pPr>
            <w:r>
              <w:t xml:space="preserve">224</w:t>
            </w:r>
          </w:p>
        </w:tc>
        <w:tc>
          <w:tcPr/>
          <w:p>
            <w:pPr>
              <w:pStyle w:val="Compact"/>
              <w:jc w:val="right"/>
            </w:pPr>
            <w:r>
              <w:t xml:space="preserve">17.5</w:t>
            </w:r>
          </w:p>
        </w:tc>
      </w:tr>
      <w:tr>
        <w:tc>
          <w:tcPr/>
          <w:p>
            <w:pPr>
              <w:pStyle w:val="Compact"/>
              <w:jc w:val="left"/>
            </w:pPr>
            <w:r>
              <w:t xml:space="preserve">Tables</w:t>
            </w:r>
          </w:p>
        </w:tc>
        <w:tc>
          <w:tcPr/>
          <w:p>
            <w:pPr>
              <w:pStyle w:val="Compact"/>
              <w:jc w:val="right"/>
            </w:pPr>
            <w:r>
              <w:t xml:space="preserve">224</w:t>
            </w:r>
          </w:p>
        </w:tc>
        <w:tc>
          <w:tcPr/>
          <w:p>
            <w:pPr>
              <w:pStyle w:val="Compact"/>
              <w:jc w:val="right"/>
            </w:pPr>
            <w:r>
              <w:t xml:space="preserve">17.5</w:t>
            </w:r>
          </w:p>
        </w:tc>
      </w:tr>
      <w:tr>
        <w:tc>
          <w:tcPr/>
          <w:p>
            <w:pPr>
              <w:pStyle w:val="Compact"/>
              <w:jc w:val="left"/>
            </w:pPr>
            <w:r>
              <w:t xml:space="preserve">Téléphone Fixe Ou Mobile</w:t>
            </w:r>
          </w:p>
        </w:tc>
        <w:tc>
          <w:tcPr/>
          <w:p>
            <w:pPr>
              <w:pStyle w:val="Compact"/>
              <w:jc w:val="right"/>
            </w:pPr>
            <w:r>
              <w:t xml:space="preserve">237</w:t>
            </w:r>
          </w:p>
        </w:tc>
        <w:tc>
          <w:tcPr/>
          <w:p>
            <w:pPr>
              <w:pStyle w:val="Compact"/>
              <w:jc w:val="right"/>
            </w:pPr>
            <w:r>
              <w:t xml:space="preserve">18.5</w:t>
            </w:r>
          </w:p>
        </w:tc>
      </w:tr>
      <w:tr>
        <w:tc>
          <w:tcPr/>
          <w:p>
            <w:pPr>
              <w:pStyle w:val="Compact"/>
              <w:jc w:val="left"/>
            </w:pPr>
            <w:r>
              <w:t xml:space="preserve">Télévision</w:t>
            </w:r>
          </w:p>
        </w:tc>
        <w:tc>
          <w:tcPr/>
          <w:p>
            <w:pPr>
              <w:pStyle w:val="Compact"/>
              <w:jc w:val="right"/>
            </w:pPr>
            <w:r>
              <w:t xml:space="preserve">27</w:t>
            </w:r>
          </w:p>
        </w:tc>
        <w:tc>
          <w:tcPr/>
          <w:p>
            <w:pPr>
              <w:pStyle w:val="Compact"/>
              <w:jc w:val="right"/>
            </w:pPr>
            <w:r>
              <w:t xml:space="preserve">2.1</w:t>
            </w:r>
          </w:p>
        </w:tc>
      </w:tr>
      <w:tr>
        <w:tc>
          <w:tcPr/>
          <w:p>
            <w:pPr>
              <w:pStyle w:val="Compact"/>
              <w:jc w:val="left"/>
            </w:pPr>
            <w:r>
              <w:t xml:space="preserve">Voiture/Camionnette</w:t>
            </w:r>
          </w:p>
        </w:tc>
        <w:tc>
          <w:tcPr/>
          <w:p>
            <w:pPr>
              <w:pStyle w:val="Compact"/>
              <w:jc w:val="right"/>
            </w:pPr>
            <w:r>
              <w:t xml:space="preserve">3</w:t>
            </w:r>
          </w:p>
        </w:tc>
        <w:tc>
          <w:tcPr/>
          <w:p>
            <w:pPr>
              <w:pStyle w:val="Compact"/>
              <w:jc w:val="right"/>
            </w:pPr>
            <w:r>
              <w:t xml:space="preserve">0.2</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90" name="Picture"/>
            <a:graphic>
              <a:graphicData uri="http://schemas.openxmlformats.org/drawingml/2006/picture">
                <pic:pic>
                  <pic:nvPicPr>
                    <pic:cNvPr descr="03_habitat_niveau_de_vie_files/figure-docx/comfort_goods-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bookmarkEnd w:id="192"/>
    <w:bookmarkStart w:id="196" w:name="equipement-agricole"/>
    <w:p>
      <w:pPr>
        <w:pStyle w:val="Heading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Taux de possession d'équipements agricoles par observatoire</w:t>
            </w:r>
          </w:p>
        </w:tc>
      </w:tr>
      <w:tr>
        <w:trPr>
          <w:tblHeader w:val="on"/>
        </w:trPr>
        <w:tc>
          <w:tcPr/>
          <w:p>
            <w:pPr>
              <w:pStyle w:val="Compact"/>
              <w:jc w:val="left"/>
            </w:pPr>
            <w:r>
              <w:t xml:space="preserve">Equipement</w:t>
            </w:r>
          </w:p>
        </w:tc>
        <w:tc>
          <w:tcPr/>
          <w:p>
            <w:pPr>
              <w:pStyle w:val="Compact"/>
              <w:jc w:val="right"/>
            </w:pPr>
            <w:r>
              <w:t xml:space="preserve">Menages (N)</w:t>
            </w:r>
          </w:p>
        </w:tc>
        <w:tc>
          <w:tcPr/>
          <w:p>
            <w:pPr>
              <w:pStyle w:val="Compact"/>
              <w:jc w:val="right"/>
            </w:pPr>
            <w:r>
              <w:t xml:space="preserve">Menages (%)</w:t>
            </w:r>
          </w:p>
        </w:tc>
        <w:tc>
          <w:tcPr/>
          <w:p>
            <w:pPr>
              <w:pStyle w:val="Compact"/>
              <w:jc w:val="right"/>
            </w:pPr>
            <w:r>
              <w:t xml:space="preserve">Nb outils</w:t>
            </w:r>
          </w:p>
        </w:tc>
      </w:tr>
      <w:tr>
        <w:tc>
          <w:tcPr>
            <w:gridSpan w:val="4"/>
          </w:tcPr>
          <w:p>
            <w:pPr>
              <w:pStyle w:val="Compact"/>
              <w:jc w:val="left"/>
            </w:pPr>
            <w:r>
              <w:t xml:space="preserve">Alaotra</w:t>
            </w:r>
          </w:p>
        </w:tc>
      </w:tr>
      <w:tr>
        <w:tc>
          <w:tcPr/>
          <w:p>
            <w:pPr>
              <w:pStyle w:val="Compact"/>
            </w:pPr>
          </w:p>
        </w:tc>
        <w:tc>
          <w:tcPr/>
          <w:p>
            <w:pPr>
              <w:pStyle w:val="Compact"/>
              <w:jc w:val="right"/>
            </w:pPr>
            <w:r>
              <w:t xml:space="preserve">460</w:t>
            </w:r>
          </w:p>
        </w:tc>
        <w:tc>
          <w:tcPr/>
          <w:p>
            <w:pPr>
              <w:pStyle w:val="Compact"/>
              <w:jc w:val="right"/>
            </w:pPr>
            <w:r>
              <w:t xml:space="preserve">90.7</w:t>
            </w:r>
          </w:p>
        </w:tc>
        <w:tc>
          <w:tcPr/>
          <w:p>
            <w:pPr>
              <w:pStyle w:val="Compact"/>
              <w:jc w:val="right"/>
            </w:pPr>
            <w:r>
              <w:t xml:space="preserve">5,088</w:t>
            </w:r>
          </w:p>
        </w:tc>
      </w:tr>
      <w:tr>
        <w:tc>
          <w:tcPr/>
          <w:p>
            <w:pPr>
              <w:pStyle w:val="Compact"/>
              <w:jc w:val="left"/>
            </w:pPr>
            <w:r>
              <w:t xml:space="preserve">Angady</w:t>
            </w:r>
          </w:p>
        </w:tc>
        <w:tc>
          <w:tcPr/>
          <w:p>
            <w:pPr>
              <w:pStyle w:val="Compact"/>
              <w:jc w:val="right"/>
            </w:pPr>
            <w:r>
              <w:t xml:space="preserve">442</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270</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165</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91</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77</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46</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46</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41</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27</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24</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24</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22</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Bœuf (ex : piétinage)</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17</w:t>
            </w:r>
          </w:p>
        </w:tc>
      </w:tr>
      <w:tr>
        <w:tc>
          <w:tcPr/>
          <w:p>
            <w:pPr>
              <w:pStyle w:val="Compact"/>
              <w:jc w:val="left"/>
            </w:pPr>
            <w:r>
              <w:t xml:space="preserve">Natte et semblables (goel</w:t>
            </w:r>
          </w:p>
        </w:tc>
        <w:tc>
          <w:tcPr/>
          <w:p>
            <w:pPr>
              <w:pStyle w:val="Compact"/>
              <w:jc w:val="right"/>
            </w:pPr>
            <w:r>
              <w:t xml:space="preserve">11</w:t>
            </w:r>
          </w:p>
        </w:tc>
        <w:tc>
          <w:tcPr/>
          <w:p>
            <w:pPr>
              <w:pStyle w:val="Compact"/>
              <w:jc w:val="right"/>
            </w:pPr>
            <w:r>
              <w:t xml:space="preserve">2.2</w:t>
            </w:r>
          </w:p>
        </w:tc>
        <w:tc>
          <w:tcPr/>
          <w:p>
            <w:pPr>
              <w:pStyle w:val="Compact"/>
              <w:jc w:val="right"/>
            </w:pPr>
            <w:r>
              <w:t xml:space="preserve">11</w:t>
            </w:r>
          </w:p>
        </w:tc>
      </w:tr>
      <w:tr>
        <w:tc>
          <w:tcPr/>
          <w:p>
            <w:pPr>
              <w:pStyle w:val="Compact"/>
              <w:jc w:val="left"/>
            </w:pPr>
            <w:r>
              <w:t xml:space="preserve">Bidon (genre bidon à pétr</w:t>
            </w:r>
          </w:p>
        </w:tc>
        <w:tc>
          <w:tcPr/>
          <w:p>
            <w:pPr>
              <w:pStyle w:val="Compact"/>
              <w:jc w:val="right"/>
            </w:pPr>
            <w:r>
              <w:t xml:space="preserve">8</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Pioche</w:t>
            </w:r>
          </w:p>
        </w:tc>
        <w:tc>
          <w:tcPr/>
          <w:p>
            <w:pPr>
              <w:pStyle w:val="Compact"/>
              <w:jc w:val="right"/>
            </w:pPr>
            <w:r>
              <w:t xml:space="preserve">8</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Nasse</w:t>
            </w:r>
          </w:p>
        </w:tc>
        <w:tc>
          <w:tcPr/>
          <w:p>
            <w:pPr>
              <w:pStyle w:val="Compact"/>
              <w:jc w:val="right"/>
            </w:pPr>
            <w:r>
              <w:t xml:space="preserve">7</w:t>
            </w:r>
          </w:p>
        </w:tc>
        <w:tc>
          <w:tcPr/>
          <w:p>
            <w:pPr>
              <w:pStyle w:val="Compact"/>
              <w:jc w:val="right"/>
            </w:pPr>
            <w:r>
              <w:t xml:space="preserve">1.4</w:t>
            </w:r>
          </w:p>
        </w:tc>
        <w:tc>
          <w:tcPr/>
          <w:p>
            <w:pPr>
              <w:pStyle w:val="Compact"/>
              <w:jc w:val="right"/>
            </w:pPr>
            <w:r>
              <w:t xml:space="preserve">7</w:t>
            </w:r>
          </w:p>
        </w:tc>
      </w:tr>
      <w:tr>
        <w:tc>
          <w:tcPr/>
          <w:p>
            <w:pPr>
              <w:pStyle w:val="Compact"/>
              <w:jc w:val="left"/>
            </w:pPr>
            <w:r>
              <w:t xml:space="preserve">Hafa</w:t>
            </w:r>
          </w:p>
        </w:tc>
        <w:tc>
          <w:tcPr/>
          <w:p>
            <w:pPr>
              <w:pStyle w:val="Compact"/>
              <w:jc w:val="right"/>
            </w:pPr>
            <w:r>
              <w:t xml:space="preserve">6</w:t>
            </w:r>
          </w:p>
        </w:tc>
        <w:tc>
          <w:tcPr/>
          <w:p>
            <w:pPr>
              <w:pStyle w:val="Compact"/>
              <w:jc w:val="right"/>
            </w:pPr>
            <w:r>
              <w:t xml:space="preserve">1.2</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6</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Bicyclette</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Scie</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Autres</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Barre à mine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Charrette attelée (à trac</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Egreneuse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Semoir attelé</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Brouette</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Soubique, produits de tis</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Charrette non attelée (à</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Rouleau</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gridSpan w:val="4"/>
          </w:tcPr>
          <w:p>
            <w:pPr>
              <w:pStyle w:val="Compact"/>
              <w:jc w:val="left"/>
            </w:pPr>
            <w:r>
              <w:t xml:space="preserve">Marovoay</w:t>
            </w:r>
          </w:p>
        </w:tc>
      </w:tr>
      <w:tr>
        <w:tc>
          <w:tcPr/>
          <w:p>
            <w:pPr>
              <w:pStyle w:val="Compact"/>
            </w:pPr>
          </w:p>
        </w:tc>
        <w:tc>
          <w:tcPr/>
          <w:p>
            <w:pPr>
              <w:pStyle w:val="Compact"/>
              <w:jc w:val="right"/>
            </w:pPr>
            <w:r>
              <w:t xml:space="preserve">435</w:t>
            </w:r>
          </w:p>
        </w:tc>
        <w:tc>
          <w:tcPr/>
          <w:p>
            <w:pPr>
              <w:pStyle w:val="Compact"/>
              <w:jc w:val="right"/>
            </w:pPr>
            <w:r>
              <w:t xml:space="preserve">83.8</w:t>
            </w:r>
          </w:p>
        </w:tc>
        <w:tc>
          <w:tcPr/>
          <w:p>
            <w:pPr>
              <w:pStyle w:val="Compact"/>
              <w:jc w:val="right"/>
            </w:pPr>
            <w:r>
              <w:t xml:space="preserve">4,776</w:t>
            </w:r>
          </w:p>
        </w:tc>
      </w:tr>
      <w:tr>
        <w:tc>
          <w:tcPr/>
          <w:p>
            <w:pPr>
              <w:pStyle w:val="Compact"/>
              <w:jc w:val="left"/>
            </w:pPr>
            <w:r>
              <w:t xml:space="preserve">Angady</w:t>
            </w:r>
          </w:p>
        </w:tc>
        <w:tc>
          <w:tcPr/>
          <w:p>
            <w:pPr>
              <w:pStyle w:val="Compact"/>
              <w:jc w:val="right"/>
            </w:pPr>
            <w:r>
              <w:t xml:space="preserve">425</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314</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133</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122</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114</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105</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Bœuf (ex : piétinage)</w:t>
            </w:r>
          </w:p>
        </w:tc>
        <w:tc>
          <w:tcPr/>
          <w:p>
            <w:pPr>
              <w:pStyle w:val="Compact"/>
              <w:jc w:val="right"/>
            </w:pPr>
            <w:r>
              <w:t xml:space="preserve">64</w:t>
            </w:r>
          </w:p>
        </w:tc>
        <w:tc>
          <w:tcPr/>
          <w:p>
            <w:pPr>
              <w:pStyle w:val="Compact"/>
              <w:jc w:val="right"/>
            </w:pPr>
            <w:r>
              <w:t xml:space="preserve">12.3</w:t>
            </w:r>
          </w:p>
        </w:tc>
        <w:tc>
          <w:tcPr/>
          <w:p>
            <w:pPr>
              <w:pStyle w:val="Compact"/>
              <w:jc w:val="right"/>
            </w:pPr>
            <w:r>
              <w:t xml:space="preserve">64</w:t>
            </w:r>
          </w:p>
        </w:tc>
      </w:tr>
      <w:tr>
        <w:tc>
          <w:tcPr/>
          <w:p>
            <w:pPr>
              <w:pStyle w:val="Compact"/>
              <w:jc w:val="left"/>
            </w:pPr>
            <w:r>
              <w:t xml:space="preserve">Charrette attelée (à trac</w:t>
            </w:r>
          </w:p>
        </w:tc>
        <w:tc>
          <w:tcPr/>
          <w:p>
            <w:pPr>
              <w:pStyle w:val="Compact"/>
              <w:jc w:val="right"/>
            </w:pPr>
            <w:r>
              <w:t xml:space="preserve">39</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Natte et semblables (goel</w:t>
            </w:r>
          </w:p>
        </w:tc>
        <w:tc>
          <w:tcPr/>
          <w:p>
            <w:pPr>
              <w:pStyle w:val="Compact"/>
              <w:jc w:val="right"/>
            </w:pPr>
            <w:r>
              <w:t xml:space="preserve">33</w:t>
            </w:r>
          </w:p>
        </w:tc>
        <w:tc>
          <w:tcPr/>
          <w:p>
            <w:pPr>
              <w:pStyle w:val="Compact"/>
              <w:jc w:val="right"/>
            </w:pPr>
            <w:r>
              <w:t xml:space="preserve">6.4</w:t>
            </w:r>
          </w:p>
        </w:tc>
        <w:tc>
          <w:tcPr/>
          <w:p>
            <w:pPr>
              <w:pStyle w:val="Compact"/>
              <w:jc w:val="right"/>
            </w:pPr>
            <w:r>
              <w:t xml:space="preserve">33</w:t>
            </w:r>
          </w:p>
        </w:tc>
      </w:tr>
      <w:tr>
        <w:tc>
          <w:tcPr/>
          <w:p>
            <w:pPr>
              <w:pStyle w:val="Compact"/>
              <w:jc w:val="left"/>
            </w:pPr>
            <w:r>
              <w:t xml:space="preserve">Soubique, produits de tis</w:t>
            </w:r>
          </w:p>
        </w:tc>
        <w:tc>
          <w:tcPr/>
          <w:p>
            <w:pPr>
              <w:pStyle w:val="Compact"/>
              <w:jc w:val="right"/>
            </w:pPr>
            <w:r>
              <w:t xml:space="preserve">24</w:t>
            </w:r>
          </w:p>
        </w:tc>
        <w:tc>
          <w:tcPr/>
          <w:p>
            <w:pPr>
              <w:pStyle w:val="Compact"/>
              <w:jc w:val="right"/>
            </w:pPr>
            <w:r>
              <w:t xml:space="preserve">4.6</w:t>
            </w:r>
          </w:p>
        </w:tc>
        <w:tc>
          <w:tcPr/>
          <w:p>
            <w:pPr>
              <w:pStyle w:val="Compact"/>
              <w:jc w:val="right"/>
            </w:pPr>
            <w:r>
              <w:t xml:space="preserve">24</w:t>
            </w:r>
          </w:p>
        </w:tc>
      </w:tr>
      <w:tr>
        <w:tc>
          <w:tcPr/>
          <w:p>
            <w:pPr>
              <w:pStyle w:val="Compact"/>
              <w:jc w:val="left"/>
            </w:pPr>
            <w:r>
              <w:t xml:space="preserve">Bidon (genre bidon à pétr</w:t>
            </w:r>
          </w:p>
        </w:tc>
        <w:tc>
          <w:tcPr/>
          <w:p>
            <w:pPr>
              <w:pStyle w:val="Compact"/>
              <w:jc w:val="right"/>
            </w:pPr>
            <w:r>
              <w:t xml:space="preserve">14</w:t>
            </w:r>
          </w:p>
        </w:tc>
        <w:tc>
          <w:tcPr/>
          <w:p>
            <w:pPr>
              <w:pStyle w:val="Compact"/>
              <w:jc w:val="right"/>
            </w:pPr>
            <w:r>
              <w:t xml:space="preserve">2.7</w:t>
            </w:r>
          </w:p>
        </w:tc>
        <w:tc>
          <w:tcPr/>
          <w:p>
            <w:pPr>
              <w:pStyle w:val="Compact"/>
              <w:jc w:val="right"/>
            </w:pPr>
            <w:r>
              <w:t xml:space="preserve">14</w:t>
            </w:r>
          </w:p>
        </w:tc>
      </w:tr>
      <w:tr>
        <w:tc>
          <w:tcPr/>
          <w:p>
            <w:pPr>
              <w:pStyle w:val="Compact"/>
              <w:jc w:val="left"/>
            </w:pPr>
            <w:r>
              <w:t xml:space="preserve">Houe</w:t>
            </w:r>
          </w:p>
        </w:tc>
        <w:tc>
          <w:tcPr/>
          <w:p>
            <w:pPr>
              <w:pStyle w:val="Compact"/>
              <w:jc w:val="right"/>
            </w:pPr>
            <w:r>
              <w:t xml:space="preserve">12</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10</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Filet</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Sarcleuse</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Rouleau</w:t>
            </w:r>
          </w:p>
        </w:tc>
        <w:tc>
          <w:tcPr/>
          <w:p>
            <w:pPr>
              <w:pStyle w:val="Compact"/>
              <w:jc w:val="right"/>
            </w:pPr>
            <w:r>
              <w:t xml:space="preserve">4</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Barre à mine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Brouette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Hafa</w:t>
            </w:r>
          </w:p>
        </w:tc>
        <w:tc>
          <w:tcPr/>
          <w:p>
            <w:pPr>
              <w:pStyle w:val="Compact"/>
              <w:jc w:val="right"/>
            </w:pPr>
            <w:r>
              <w:t xml:space="preserve">3</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3</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3</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Canne planteuse</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Corde (ex : servant pour</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Tracteur</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Balance</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Camion</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Décortiqueur / dépailleur</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Pompe hydraulique</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p>
            <w:pPr>
              <w:pStyle w:val="Compact"/>
              <w:jc w:val="left"/>
            </w:pPr>
            <w:r>
              <w:t xml:space="preserve">Scie</w:t>
            </w:r>
          </w:p>
        </w:tc>
        <w:tc>
          <w:tcPr/>
          <w:p>
            <w:pPr>
              <w:pStyle w:val="Compact"/>
              <w:jc w:val="right"/>
            </w:pPr>
            <w:r>
              <w:t xml:space="preserve">1</w:t>
            </w:r>
          </w:p>
        </w:tc>
        <w:tc>
          <w:tcPr/>
          <w:p>
            <w:pPr>
              <w:pStyle w:val="Compact"/>
              <w:jc w:val="right"/>
            </w:pPr>
            <w:r>
              <w:t xml:space="preserve">0.2</w:t>
            </w:r>
          </w:p>
        </w:tc>
        <w:tc>
          <w:tcPr/>
          <w:p>
            <w:pPr>
              <w:pStyle w:val="Compact"/>
              <w:jc w:val="right"/>
            </w:pPr>
            <w:r>
              <w:t xml:space="preserve">1</w:t>
            </w:r>
          </w:p>
        </w:tc>
      </w:tr>
      <w:tr>
        <w:tc>
          <w:tcPr>
            <w:gridSpan w:val="4"/>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94" name="Picture"/>
            <a:graphic>
              <a:graphicData uri="http://schemas.openxmlformats.org/drawingml/2006/picture">
                <pic:pic>
                  <pic:nvPicPr>
                    <pic:cNvPr descr="03_habitat_niveau_de_vie_files/figure-docx/agri_equipment-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bookmarkEnd w:id="196"/>
    <w:bookmarkStart w:id="200" w:name="X24c737da7e24b14633fee24ad0f9be046aa4214"/>
    <w:p>
      <w:pPr>
        <w:pStyle w:val="Heading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Matériels de communication audiovisuelle et télécommunication par observatoire</w:t>
            </w:r>
          </w:p>
        </w:tc>
      </w:tr>
      <w:tr>
        <w:trPr>
          <w:tblHeader w:val="on"/>
        </w:trPr>
        <w:tc>
          <w:tcPr/>
          <w:p>
            <w:pPr>
              <w:pStyle w:val="Compact"/>
              <w:jc w:val="left"/>
            </w:pPr>
            <w:r>
              <w:t xml:space="preserve">Equipement</w:t>
            </w:r>
          </w:p>
        </w:tc>
        <w:tc>
          <w:tcPr/>
          <w:p>
            <w:pPr>
              <w:pStyle w:val="Compact"/>
              <w:jc w:val="right"/>
            </w:pPr>
            <w:r>
              <w:t xml:space="preserve">N</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15</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39</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264</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190</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77</w:t>
            </w:r>
          </w:p>
        </w:tc>
        <w:tc>
          <w:tcPr/>
          <w:p>
            <w:pPr>
              <w:pStyle w:val="Compact"/>
              <w:jc w:val="right"/>
            </w:pPr>
            <w:r>
              <w:t xml:space="preserve">13.2</w:t>
            </w:r>
          </w:p>
        </w:tc>
      </w:tr>
      <w:tr>
        <w:tc>
          <w:tcPr>
            <w:gridSpan w:val="3"/>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16</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5</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224</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237</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27</w:t>
            </w:r>
          </w:p>
        </w:tc>
        <w:tc>
          <w:tcPr/>
          <w:p>
            <w:pPr>
              <w:pStyle w:val="Compact"/>
              <w:jc w:val="right"/>
            </w:pPr>
            <w:r>
              <w:t xml:space="preserve">5.3</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98" name="Picture"/>
            <a:graphic>
              <a:graphicData uri="http://schemas.openxmlformats.org/drawingml/2006/picture">
                <pic:pic>
                  <pic:nvPicPr>
                    <pic:cNvPr descr="03_habitat_niveau_de_vie_files/figure-docx/communication-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bookmarkEnd w:id="200"/>
    <w:bookmarkEnd w:id="201"/>
    <w:bookmarkStart w:id="211" w:name="transferts-sortants"/>
    <w:p>
      <w:pPr>
        <w:pStyle w:val="Heading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205" w:name="fig-transferts-sortants"/>
          <w:p>
            <w:pPr>
              <w:pStyle w:val="Compact"/>
              <w:jc w:val="center"/>
            </w:pPr>
            <w:r>
              <w:drawing>
                <wp:inline>
                  <wp:extent cx="5334000" cy="3200400"/>
                  <wp:effectExtent b="0" l="0" r="0" t="0"/>
                  <wp:docPr descr="" title="" id="203" name="Picture"/>
                  <a:graphic>
                    <a:graphicData uri="http://schemas.openxmlformats.org/drawingml/2006/picture">
                      <pic:pic>
                        <pic:nvPicPr>
                          <pic:cNvPr descr="03_habitat_niveau_de_vie_files/figure-docx/fig-transferts-sortants-1.png" id="204" name="Picture"/>
                          <pic:cNvPicPr>
                            <a:picLocks noChangeArrowheads="1" noChangeAspect="1"/>
                          </pic:cNvPicPr>
                        </pic:nvPicPr>
                        <pic:blipFill>
                          <a:blip r:embed="rId20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Valeur moyenne des transferts sortants par observatoire et type</w:t>
            </w:r>
          </w:p>
          <w:bookmarkEnd w:id="205"/>
        </w:tc>
      </w:tr>
    </w:tbl>
    <w:tbl>
      <w:tblPr>
        <w:tblStyle w:val="Table"/>
        <w:tblW w:type="pct" w:w="5000"/>
        <w:tblLayout w:type="fixed"/>
        <w:tblLook w:firstRow="0" w:lastRow="0" w:firstColumn="0" w:lastColumn="0" w:noHBand="0" w:noVBand="0" w:val="0000"/>
      </w:tblPr>
      <w:tblGrid>
        <w:gridCol w:w="7920"/>
      </w:tblGrid>
      <w:tr>
        <w:tc>
          <w:tcPr/>
          <w:bookmarkStart w:id="206"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206"/>
          <w:p/>
        </w:tc>
      </w:tr>
    </w:tbl>
    <w:tbl>
      <w:tblPr>
        <w:tblStyle w:val="Table"/>
        <w:tblW w:type="pct" w:w="5000"/>
        <w:tblLayout w:type="fixed"/>
        <w:tblLook w:firstRow="0" w:lastRow="0" w:firstColumn="0" w:lastColumn="0" w:noHBand="0" w:noVBand="0" w:val="0000"/>
      </w:tblPr>
      <w:tblGrid>
        <w:gridCol w:w="7920"/>
      </w:tblGrid>
      <w:tr>
        <w:tc>
          <w:tcPr/>
          <w:bookmarkStart w:id="210" w:name="fig-destination-transferts"/>
          <w:p>
            <w:pPr>
              <w:pStyle w:val="Compact"/>
              <w:jc w:val="center"/>
            </w:pPr>
            <w:r>
              <w:drawing>
                <wp:inline>
                  <wp:extent cx="5334000" cy="2963333"/>
                  <wp:effectExtent b="0" l="0" r="0" t="0"/>
                  <wp:docPr descr="" title="" id="208" name="Picture"/>
                  <a:graphic>
                    <a:graphicData uri="http://schemas.openxmlformats.org/drawingml/2006/picture">
                      <pic:pic>
                        <pic:nvPicPr>
                          <pic:cNvPr descr="03_habitat_niveau_de_vie_files/figure-docx/fig-destination-transferts-1.png" id="209" name="Picture"/>
                          <pic:cNvPicPr>
                            <a:picLocks noChangeArrowheads="1" noChangeAspect="1"/>
                          </pic:cNvPicPr>
                        </pic:nvPicPr>
                        <pic:blipFill>
                          <a:blip r:embed="rId20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Lieu de residence des destinataires de transferts</w:t>
            </w:r>
          </w:p>
          <w:bookmarkEnd w:id="210"/>
        </w:tc>
      </w:tr>
    </w:tbl>
    <w:bookmarkEnd w:id="211"/>
    <w:bookmarkStart w:id="223" w:name="revenu"/>
    <w:p>
      <w:pPr>
        <w:pStyle w:val="Heading2"/>
      </w:pPr>
      <w:r>
        <w:t xml:space="preserve">3.4 Revenu</w:t>
      </w:r>
    </w:p>
    <w:p>
      <w:pPr>
        <w:pStyle w:val="FirstParagraph"/>
      </w:pPr>
      <w:r>
        <w:t xml:space="preserve">Les revenus presentes ici sont des revenus annuels par menage, calcules sur la periode de reference (PR) de la campagne 2025. Le revenu total (</w:t>
      </w:r>
      <w:r>
        <w:rPr>
          <w:rStyle w:val="VerbatimChar"/>
        </w:rPr>
        <w:t xml:space="preserve">revtot</w:t>
      </w:r>
      <w:r>
        <w:t xml:space="preserve">) se decompose en revenu courant (</w:t>
      </w:r>
      <w:r>
        <w:rPr>
          <w:rStyle w:val="VerbatimChar"/>
        </w:rPr>
        <w:t xml:space="preserve">revcou</w:t>
      </w:r>
      <w:r>
        <w:t xml:space="preserve">) et revenu exceptionnel (</w:t>
      </w:r>
      <w:r>
        <w:rPr>
          <w:rStyle w:val="VerbatimChar"/>
        </w:rPr>
        <w:t xml:space="preserve">revexcept</w:t>
      </w:r>
      <w:r>
        <w:t xml:space="preserve">).</w:t>
      </w:r>
    </w:p>
    <w:p>
      <w:pPr>
        <w:pStyle w:val="BodyText"/>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w:t>
      </w:r>
      <w:r>
        <w:rPr>
          <w:rStyle w:val="VerbatimChar"/>
        </w:rPr>
        <w:t xml:space="preserve">revsec</w:t>
      </w:r>
      <w:r>
        <w:t xml:space="preserve">) : remuneration du travail salarie agricole ;</w:t>
      </w:r>
    </w:p>
    <w:p>
      <w:pPr>
        <w:pStyle w:val="Compact"/>
        <w:numPr>
          <w:ilvl w:val="0"/>
          <w:numId w:val="1003"/>
        </w:numPr>
      </w:pPr>
      <w:r>
        <w:t xml:space="preserve">les</w:t>
      </w:r>
      <w:r>
        <w:t xml:space="preserve"> </w:t>
      </w:r>
      <w:r>
        <w:rPr>
          <w:b/>
          <w:bCs/>
        </w:rPr>
        <w:t xml:space="preserve">salaires non-agricoles</w:t>
      </w:r>
      <w:r>
        <w:t xml:space="preserve"> </w:t>
      </w:r>
      <w:r>
        <w:t xml:space="preserve">(</w:t>
      </w:r>
      <w:r>
        <w:rPr>
          <w:rStyle w:val="VerbatimChar"/>
        </w:rPr>
        <w:t xml:space="preserve">revppal</w:t>
      </w:r>
      <w:r>
        <w:t xml:space="preserve">) : remuneration du travail salarie hors agriculture ;</w:t>
      </w:r>
    </w:p>
    <w:p>
      <w:pPr>
        <w:pStyle w:val="Compact"/>
        <w:numPr>
          <w:ilvl w:val="0"/>
          <w:numId w:val="1003"/>
        </w:numPr>
      </w:pPr>
      <w:r>
        <w:t xml:space="preserve">les</w:t>
      </w:r>
      <w:r>
        <w:t xml:space="preserve"> </w:t>
      </w:r>
      <w:r>
        <w:rPr>
          <w:b/>
          <w:bCs/>
        </w:rPr>
        <w:t xml:space="preserve">revenus independants</w:t>
      </w:r>
      <w:r>
        <w:t xml:space="preserve"> </w:t>
      </w:r>
      <w:r>
        <w:t xml:space="preserve">(</w:t>
      </w:r>
      <w:r>
        <w:rPr>
          <w:rStyle w:val="VerbatimChar"/>
        </w:rPr>
        <w:t xml:space="preserve">rev_indep</w:t>
      </w:r>
      <w:r>
        <w:t xml:space="preserve">) :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w:t>
      </w:r>
      <w:r>
        <w:t xml:space="preserve">(</w:t>
      </w:r>
      <w:r>
        <w:rPr>
          <w:rStyle w:val="VerbatimChar"/>
        </w:rPr>
        <w:t xml:space="preserve">rev_riz</w:t>
      </w:r>
      <w:r>
        <w:t xml:space="preserve">) :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w:t>
      </w:r>
      <w:r>
        <w:rPr>
          <w:rStyle w:val="VerbatimChar"/>
        </w:rPr>
        <w:t xml:space="preserve">rev_cu</w:t>
      </w:r>
      <w:r>
        <w:t xml:space="preserve">) : meme logique pour les cultures non-rizicoles ;</w:t>
      </w:r>
    </w:p>
    <w:p>
      <w:pPr>
        <w:pStyle w:val="Compact"/>
        <w:numPr>
          <w:ilvl w:val="0"/>
          <w:numId w:val="1003"/>
        </w:numPr>
      </w:pPr>
      <w:r>
        <w:t xml:space="preserve">le</w:t>
      </w:r>
      <w:r>
        <w:t xml:space="preserve"> </w:t>
      </w:r>
      <w:r>
        <w:rPr>
          <w:b/>
          <w:bCs/>
        </w:rPr>
        <w:t xml:space="preserve">revenu de l’elevage</w:t>
      </w:r>
      <w:r>
        <w:t xml:space="preserve"> </w:t>
      </w:r>
      <w:r>
        <w:t xml:space="preserve">(</w:t>
      </w:r>
      <w:r>
        <w:rPr>
          <w:rStyle w:val="VerbatimChar"/>
        </w:rPr>
        <w:t xml:space="preserve">revel</w:t>
      </w:r>
      <w:r>
        <w:t xml:space="preserve">) : ventes d’animaux et produits d’elevage ;</w:t>
      </w:r>
    </w:p>
    <w:p>
      <w:pPr>
        <w:pStyle w:val="Compact"/>
        <w:numPr>
          <w:ilvl w:val="0"/>
          <w:numId w:val="1003"/>
        </w:numPr>
      </w:pPr>
      <w:r>
        <w:t xml:space="preserve">la</w:t>
      </w:r>
      <w:r>
        <w:t xml:space="preserve"> </w:t>
      </w:r>
      <w:r>
        <w:rPr>
          <w:b/>
          <w:bCs/>
        </w:rPr>
        <w:t xml:space="preserve">peche</w:t>
      </w:r>
      <w:r>
        <w:t xml:space="preserve"> </w:t>
      </w:r>
      <w:r>
        <w:t xml:space="preserve">(</w:t>
      </w:r>
      <w:r>
        <w:rPr>
          <w:rStyle w:val="VerbatimChar"/>
        </w:rPr>
        <w:t xml:space="preserve">revpeche</w:t>
      </w:r>
      <w:r>
        <w:t xml:space="preserve">).</w:t>
      </w:r>
    </w:p>
    <w:p>
      <w:pPr>
        <w:pStyle w:val="FirstParagraph"/>
      </w:pPr>
      <w:r>
        <w:t xml:space="preserve">Le revenu exceptionnel regroupe les rentes foncieres, les autres revenus, le travail HIMO, la decapitalisation et les transferts recus.</w:t>
      </w:r>
    </w:p>
    <w:bookmarkStart w:id="212" w:name="structure-du-revenu-total"/>
    <w:p>
      <w:pPr>
        <w:pStyle w:val="Heading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Revenu total annuel par menage et par observatoire (Ar/an)</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menages</w:t>
            </w:r>
          </w:p>
        </w:tc>
        <w:tc>
          <w:tcPr/>
          <w:p>
            <w:pPr>
              <w:pStyle w:val="Compact"/>
              <w:jc w:val="right"/>
            </w:pPr>
            <w:r>
              <w:t xml:space="preserve">Moyenne</w:t>
            </w:r>
          </w:p>
        </w:tc>
        <w:tc>
          <w:tcPr/>
          <w:p>
            <w:pPr>
              <w:pStyle w:val="Compact"/>
              <w:jc w:val="right"/>
            </w:pPr>
            <w:r>
              <w:t xml:space="preserve">Mediane</w:t>
            </w:r>
          </w:p>
        </w:tc>
        <w:tc>
          <w:tcPr/>
          <w:p>
            <w:pPr>
              <w:pStyle w:val="Compact"/>
              <w:jc w:val="right"/>
            </w:pPr>
            <w:r>
              <w:t xml:space="preserve">Ecart-type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212"/>
    <w:bookmarkStart w:id="216" w:name="decomposition-du-revenu-courant"/>
    <w:p>
      <w:pPr>
        <w:pStyle w:val="Heading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334000" cy="3333750"/>
            <wp:effectExtent b="0" l="0" r="0" t="0"/>
            <wp:docPr descr="Part des composantes dans le revenu courant moyen par observatoire" title="" id="214" name="Picture"/>
            <a:graphic>
              <a:graphicData uri="http://schemas.openxmlformats.org/drawingml/2006/picture">
                <pic:pic>
                  <pic:nvPicPr>
                    <pic:cNvPr descr="03_habitat_niveau_de_vie_files/figure-docx/fig_revcou_shares-1.png" id="215" name="Picture"/>
                    <pic:cNvPicPr>
                      <a:picLocks noChangeArrowheads="1" noChangeAspect="1"/>
                    </pic:cNvPicPr>
                  </pic:nvPicPr>
                  <pic:blipFill>
                    <a:blip r:embed="rId21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216"/>
    <w:bookmarkStart w:id="220" w:name="distribution-du-revenu-total"/>
    <w:p>
      <w:pPr>
        <w:pStyle w:val="Heading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aptionedFigure"/>
      </w:pPr>
      <w:r>
        <w:drawing>
          <wp:inline>
            <wp:extent cx="5334000" cy="3333750"/>
            <wp:effectExtent b="0" l="0" r="0" t="0"/>
            <wp:docPr descr="Distribution du revenu total par observatoire (echelle log)" title="" id="218" name="Picture"/>
            <a:graphic>
              <a:graphicData uri="http://schemas.openxmlformats.org/drawingml/2006/picture">
                <pic:pic>
                  <pic:nvPicPr>
                    <pic:cNvPr descr="03_habitat_niveau_de_vie_files/figure-docx/fig_revtot_dist-1.png" id="219" name="Picture"/>
                    <pic:cNvPicPr>
                      <a:picLocks noChangeArrowheads="1" noChangeAspect="1"/>
                    </pic:cNvPicPr>
                  </pic:nvPicPr>
                  <pic:blipFill>
                    <a:blip r:embed="rId21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220"/>
    <w:bookmarkStart w:id="221" w:name="revenu-courant-et-revenu-exceptionnel"/>
    <w:p>
      <w:pPr>
        <w:pStyle w:val="Heading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221"/>
    <w:bookmarkStart w:id="222" w:name="menages-a-revenu-negatif-ou-nul"/>
    <w:p>
      <w:pPr>
        <w:pStyle w:val="Heading3"/>
      </w:pPr>
      <w:r>
        <w:t xml:space="preserve">3.4.5 Menages a revenu negatif ou nul</w:t>
      </w:r>
    </w:p>
    <w:p>
      <w:pPr>
        <w:pStyle w:val="FirstParagraph"/>
      </w:pPr>
      <w:r>
        <w:t xml:space="preserve">Certains menages presentent un revenu courant negatif, principalement en raison de charges agricoles superieures aux produits (mauvaises recoltes, couts d’intrants eleves).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Menages a revenu courant ou total negatif ou nul</w:t>
            </w:r>
          </w:p>
        </w:tc>
      </w:tr>
      <w:tr>
        <w:trPr>
          <w:tblHeader w:val="on"/>
        </w:trPr>
        <w:tc>
          <w:tcPr/>
          <w:p>
            <w:pPr>
              <w:pStyle w:val="Compact"/>
              <w:jc w:val="left"/>
            </w:pPr>
            <w:r>
              <w:t xml:space="preserve">Observatory</w:t>
            </w:r>
          </w:p>
        </w:tc>
        <w:tc>
          <w:tcPr/>
          <w:p>
            <w:pPr>
              <w:pStyle w:val="Compact"/>
              <w:jc w:val="right"/>
            </w:pPr>
            <w:r>
              <w:t xml:space="preserve">Nb menages</w:t>
            </w:r>
          </w:p>
        </w:tc>
        <w:tc>
          <w:tcPr/>
          <w:p>
            <w:pPr>
              <w:pStyle w:val="Compact"/>
              <w:jc w:val="right"/>
            </w:pPr>
            <w:r>
              <w:t xml:space="preserve">Revenu courant &lt;= 0</w:t>
            </w:r>
          </w:p>
        </w:tc>
        <w:tc>
          <w:tcPr/>
          <w:p>
            <w:pPr>
              <w:pStyle w:val="Compact"/>
              <w:jc w:val="right"/>
            </w:pPr>
            <w:r>
              <w:t xml:space="preserve">% &lt;= 0</w:t>
            </w:r>
          </w:p>
        </w:tc>
        <w:tc>
          <w:tcPr/>
          <w:p>
            <w:pPr>
              <w:pStyle w:val="Compact"/>
              <w:jc w:val="right"/>
            </w:pPr>
            <w:r>
              <w:t xml:space="preserve">Revenu total &lt;= 0</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5</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10</w:t>
            </w:r>
          </w:p>
        </w:tc>
        <w:tc>
          <w:tcPr/>
          <w:p>
            <w:pPr>
              <w:pStyle w:val="Compact"/>
              <w:jc w:val="right"/>
            </w:pPr>
            <w:r>
              <w:t xml:space="preserve">1.9</w:t>
            </w:r>
          </w:p>
        </w:tc>
        <w:tc>
          <w:tcPr/>
          <w:p>
            <w:pPr>
              <w:pStyle w:val="Compact"/>
              <w:jc w:val="right"/>
            </w:pPr>
            <w:r>
              <w:t xml:space="preserve">5</w:t>
            </w:r>
          </w:p>
        </w:tc>
      </w:tr>
      <w:tr>
        <w:tc>
          <w:tcPr>
            <w:gridSpan w:val="5"/>
          </w:tcPr>
          <w:p>
            <w:pPr>
              <w:pStyle w:val="Compact"/>
              <w:jc w:val="left"/>
            </w:pPr>
            <w:r>
              <w:rPr>
                <w:b/>
                <w:bCs/>
              </w:rPr>
              <w:t xml:space="preserve">Source : Enquête auprès des OR 2025</w:t>
            </w:r>
          </w:p>
        </w:tc>
      </w:tr>
    </w:tbl>
    <w:bookmarkEnd w:id="222"/>
    <w:bookmarkEnd w:id="223"/>
    <w:bookmarkStart w:id="260" w:name="sec-income-multiyear"/>
    <w:p>
      <w:pPr>
        <w:pStyle w:val="Heading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aptionedFigure"/>
      </w:pPr>
      <w:r>
        <w:drawing>
          <wp:inline>
            <wp:extent cx="5334000" cy="2963333"/>
            <wp:effectExtent b="0" l="0" r="0" t="0"/>
            <wp:docPr descr="Evolution du revenu total moyen par menage (Ar courants)" title="" id="225" name="Picture"/>
            <a:graphic>
              <a:graphicData uri="http://schemas.openxmlformats.org/drawingml/2006/picture">
                <pic:pic>
                  <pic:nvPicPr>
                    <pic:cNvPr descr="03_habitat_niveau_de_vie_files/figure-docx/fig_trends_revtot-1.png" id="226" name="Picture"/>
                    <pic:cNvPicPr>
                      <a:picLocks noChangeArrowheads="1" noChangeAspect="1"/>
                    </pic:cNvPicPr>
                  </pic:nvPicPr>
                  <pic:blipFill>
                    <a:blip r:embed="rId22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aptionedFigure"/>
      </w:pPr>
      <w:r>
        <w:drawing>
          <wp:inline>
            <wp:extent cx="5334000" cy="2963333"/>
            <wp:effectExtent b="0" l="0" r="0" t="0"/>
            <wp:docPr descr="Evolution du revenu courant moyen par menage (Ar courants)" title="" id="228" name="Picture"/>
            <a:graphic>
              <a:graphicData uri="http://schemas.openxmlformats.org/drawingml/2006/picture">
                <pic:pic>
                  <pic:nvPicPr>
                    <pic:cNvPr descr="03_habitat_niveau_de_vie_files/figure-docx/fig_trends_revcou-1.png" id="229" name="Picture"/>
                    <pic:cNvPicPr>
                      <a:picLocks noChangeArrowheads="1" noChangeAspect="1"/>
                    </pic:cNvPicPr>
                  </pic:nvPicPr>
                  <pic:blipFill>
                    <a:blip r:embed="rId22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aptionedFigure"/>
      </w:pPr>
      <w:r>
        <w:drawing>
          <wp:inline>
            <wp:extent cx="5334000" cy="3200400"/>
            <wp:effectExtent b="0" l="0" r="0" t="0"/>
            <wp:docPr descr="Evolution des composantes du revenu courant moyen (Ar courants)" title="" id="231" name="Picture"/>
            <a:graphic>
              <a:graphicData uri="http://schemas.openxmlformats.org/drawingml/2006/picture">
                <pic:pic>
                  <pic:nvPicPr>
                    <pic:cNvPr descr="03_habitat_niveau_de_vie_files/figure-docx/fig_trends_decomp-1.png" id="232" name="Picture"/>
                    <pic:cNvPicPr>
                      <a:picLocks noChangeArrowheads="1" noChangeAspect="1"/>
                    </pic:cNvPicPr>
                  </pic:nvPicPr>
                  <pic:blipFill>
                    <a:blip r:embed="rId23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238" w:name="deflation-et-indices-de-prix"/>
    <w:p>
      <w:pPr>
        <w:pStyle w:val="Heading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C:\Users\fbede\AppData\Local\Programs\Quarto\share\formats\docx\note.png" id="234"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334000" cy="2370666"/>
            <wp:effectExtent b="0" l="0" r="0" t="0"/>
            <wp:docPr descr="Evolution de l’IPC national Madagascar (base 2010 = 100)" title="" id="236" name="Picture"/>
            <a:graphic>
              <a:graphicData uri="http://schemas.openxmlformats.org/drawingml/2006/picture">
                <pic:pic>
                  <pic:nvPicPr>
                    <pic:cNvPr descr="03_habitat_niveau_de_vie_files/figure-docx/fig_ipc_national-1.png" id="237" name="Picture"/>
                    <pic:cNvPicPr>
                      <a:picLocks noChangeArrowheads="1" noChangeAspect="1"/>
                    </pic:cNvPicPr>
                  </pic:nvPicPr>
                  <pic:blipFill>
                    <a:blip r:embed="rId235"/>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238"/>
    <w:bookmarkStart w:id="245" w:name="X2080cf97900a9cca92f58ce3c98c1c56d700ac1"/>
    <w:p>
      <w:pPr>
        <w:pStyle w:val="Heading3"/>
      </w:pPr>
      <w:r>
        <w:t xml:space="preserve">3.5.2 Prix median du paddy et comparaison avec l’IPC</w:t>
      </w:r>
    </w:p>
    <w:p>
      <w:pPr>
        <w:pStyle w:val="FirstParagraph"/>
      </w:pPr>
      <w:r>
        <w:t xml:space="preserve">Le prix de vente median du paddy, calcule a partir des ventes declarees par les menages (</w:t>
      </w:r>
      <w:r>
        <w:rPr>
          <w:rStyle w:val="VerbatimChar"/>
        </w:rPr>
        <w:t xml:space="preserve">dc24</w:t>
      </w:r>
      <w:r>
        <w:t xml:space="preserve"> </w:t>
      </w:r>
      <w:r>
        <w:t xml:space="preserve">dans</w:t>
      </w:r>
      <w:r>
        <w:t xml:space="preserve"> </w:t>
      </w:r>
      <w:r>
        <w:rPr>
          <w:rStyle w:val="VerbatimChar"/>
        </w:rPr>
        <w:t xml:space="preserve">res_dc21</w:t>
      </w:r>
      <w:r>
        <w:t xml:space="preserve">), fournit un indicateur complementaire de l’inflation locale.</w:t>
      </w:r>
    </w:p>
    <w:p>
      <w:pPr>
        <w:pStyle w:val="CaptionedFigure"/>
      </w:pPr>
      <w:r>
        <w:drawing>
          <wp:inline>
            <wp:extent cx="5334000" cy="2963333"/>
            <wp:effectExtent b="0" l="0" r="0" t="0"/>
            <wp:docPr descr="Evolution du prix median du paddy (Ar/kg)" title="" id="240" name="Picture"/>
            <a:graphic>
              <a:graphicData uri="http://schemas.openxmlformats.org/drawingml/2006/picture">
                <pic:pic>
                  <pic:nvPicPr>
                    <pic:cNvPr descr="03_habitat_niveau_de_vie_files/figure-docx/fig_trends_paddy-1.png" id="241" name="Picture"/>
                    <pic:cNvPicPr>
                      <a:picLocks noChangeArrowheads="1" noChangeAspect="1"/>
                    </pic:cNvPicPr>
                  </pic:nvPicPr>
                  <pic:blipFill>
                    <a:blip r:embed="rId23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aptionedFigure"/>
      </w:pPr>
      <w:r>
        <w:drawing>
          <wp:inline>
            <wp:extent cx="5334000" cy="2963333"/>
            <wp:effectExtent b="0" l="0" r="0" t="0"/>
            <wp:docPr descr="Comparaison de l’IPC national et de l’indice du prix du paddy (base 100 en 2010)" title="" id="243" name="Picture"/>
            <a:graphic>
              <a:graphicData uri="http://schemas.openxmlformats.org/drawingml/2006/picture">
                <pic:pic>
                  <pic:nvPicPr>
                    <pic:cNvPr descr="03_habitat_niveau_de_vie_files/figure-docx/fig_ipc_vs_paddy-1.png" id="244" name="Picture"/>
                    <pic:cNvPicPr>
                      <a:picLocks noChangeArrowheads="1" noChangeAspect="1"/>
                    </pic:cNvPicPr>
                  </pic:nvPicPr>
                  <pic:blipFill>
                    <a:blip r:embed="rId24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245"/>
    <w:bookmarkStart w:id="252" w:name="revenus-reels-deflates-par-lipc-national"/>
    <w:p>
      <w:pPr>
        <w:pStyle w:val="Heading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aptionedFigure"/>
      </w:pPr>
      <w:r>
        <w:drawing>
          <wp:inline>
            <wp:extent cx="5334000" cy="2963333"/>
            <wp:effectExtent b="0" l="0" r="0" t="0"/>
            <wp:docPr descr="Evolution du revenu total reel moyen par menage (Ar constants 2010, IPC)" title="" id="247" name="Picture"/>
            <a:graphic>
              <a:graphicData uri="http://schemas.openxmlformats.org/drawingml/2006/picture">
                <pic:pic>
                  <pic:nvPicPr>
                    <pic:cNvPr descr="03_habitat_niveau_de_vie_files/figure-docx/fig_trends_revtot_real-1.png" id="248" name="Picture"/>
                    <pic:cNvPicPr>
                      <a:picLocks noChangeArrowheads="1" noChangeAspect="1"/>
                    </pic:cNvPicPr>
                  </pic:nvPicPr>
                  <pic:blipFill>
                    <a:blip r:embed="rId24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334000" cy="2963333"/>
            <wp:effectExtent b="0" l="0" r="0" t="0"/>
            <wp:docPr descr="Evolution du revenu courant reel moyen par menage (Ar constants 2010, IPC)" title="" id="250" name="Picture"/>
            <a:graphic>
              <a:graphicData uri="http://schemas.openxmlformats.org/drawingml/2006/picture">
                <pic:pic>
                  <pic:nvPicPr>
                    <pic:cNvPr descr="03_habitat_niveau_de_vie_files/figure-docx/fig_trends_revcou_real-1.png" id="251" name="Picture"/>
                    <pic:cNvPicPr>
                      <a:picLocks noChangeArrowheads="1" noChangeAspect="1"/>
                    </pic:cNvPicPr>
                  </pic:nvPicPr>
                  <pic:blipFill>
                    <a:blip r:embed="rId24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bookmarkEnd w:id="252"/>
    <w:bookmarkStart w:id="259" w:name="X2a7b5b9a92102baba55ec14e1401f1a7133825d"/>
    <w:p>
      <w:pPr>
        <w:pStyle w:val="Heading3"/>
      </w:pPr>
      <w:r>
        <w:t xml:space="preserve">3.5.4 Revenus reels (deflates par le prix du paddy)</w:t>
      </w:r>
    </w:p>
    <w:p>
      <w:pPr>
        <w:pStyle w:val="FirstParagraph"/>
      </w:pPr>
      <w:r>
        <w:t xml:space="preserve">Le prix du paddy, produit central de ces economies rizicoles, offre un deflateur alternatif plus proche de la realite locale que l’IPC national. Les revenus sont ici exprimes en equivalent-paddy a prix 2010, c’est-a-dire divises par l’indice du prix median du paddy de chaque observatoire (base 2010 = 1). Ce deflateur est propre a chaque observatoire.</w:t>
      </w:r>
    </w:p>
    <w:p>
      <w:pPr>
        <w:pStyle w:val="CaptionedFigure"/>
      </w:pPr>
      <w:r>
        <w:drawing>
          <wp:inline>
            <wp:extent cx="5334000" cy="2963333"/>
            <wp:effectExtent b="0" l="0" r="0" t="0"/>
            <wp:docPr descr="Evolution du revenu total reel moyen par menage (Ar constants paddy 2010)" title="" id="254" name="Picture"/>
            <a:graphic>
              <a:graphicData uri="http://schemas.openxmlformats.org/drawingml/2006/picture">
                <pic:pic>
                  <pic:nvPicPr>
                    <pic:cNvPr descr="03_habitat_niveau_de_vie_files/figure-docx/fig_trends_revtot_paddy-1.png" id="255" name="Picture"/>
                    <pic:cNvPicPr>
                      <a:picLocks noChangeArrowheads="1" noChangeAspect="1"/>
                    </pic:cNvPicPr>
                  </pic:nvPicPr>
                  <pic:blipFill>
                    <a:blip r:embed="rId25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aptionedFigure"/>
      </w:pPr>
      <w:r>
        <w:drawing>
          <wp:inline>
            <wp:extent cx="5334000" cy="2963333"/>
            <wp:effectExtent b="0" l="0" r="0" t="0"/>
            <wp:docPr descr="Evolution du revenu courant reel moyen par menage (Ar constants paddy 2010)" title="" id="257" name="Picture"/>
            <a:graphic>
              <a:graphicData uri="http://schemas.openxmlformats.org/drawingml/2006/picture">
                <pic:pic>
                  <pic:nvPicPr>
                    <pic:cNvPr descr="03_habitat_niveau_de_vie_files/figure-docx/fig_trends_revcou_paddy-1.png" id="258" name="Picture"/>
                    <pic:cNvPicPr>
                      <a:picLocks noChangeArrowheads="1" noChangeAspect="1"/>
                    </pic:cNvPicPr>
                  </pic:nvPicPr>
                  <pic:blipFill>
                    <a:blip r:embed="rId25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259"/>
    <w:bookmarkEnd w:id="260"/>
    <w:bookmarkStart w:id="267" w:name="sec-habitat-multiyear"/>
    <w:p>
      <w:pPr>
        <w:pStyle w:val="Heading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aptionedFigure"/>
      </w:pPr>
      <w:r>
        <w:drawing>
          <wp:inline>
            <wp:extent cx="5334000" cy="2963333"/>
            <wp:effectExtent b="0" l="0" r="0" t="0"/>
            <wp:docPr descr="Evolution de l’acces a l’electricite (1997-2025)" title="" id="262" name="Picture"/>
            <a:graphic>
              <a:graphicData uri="http://schemas.openxmlformats.org/drawingml/2006/picture">
                <pic:pic>
                  <pic:nvPicPr>
                    <pic:cNvPr descr="03_habitat_niveau_de_vie_files/figure-docx/fig_habitat_elec-1.png" id="263" name="Picture"/>
                    <pic:cNvPicPr>
                      <a:picLocks noChangeArrowheads="1" noChangeAspect="1"/>
                    </pic:cNvPicPr>
                  </pic:nvPicPr>
                  <pic:blipFill>
                    <a:blip r:embed="rId26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aptionedFigure"/>
      </w:pPr>
      <w:r>
        <w:drawing>
          <wp:inline>
            <wp:extent cx="5334000" cy="2963333"/>
            <wp:effectExtent b="0" l="0" r="0" t="0"/>
            <wp:docPr descr="Evolution de l’acces a une source d’eau amelioree (1997-2025)" title="" id="265" name="Picture"/>
            <a:graphic>
              <a:graphicData uri="http://schemas.openxmlformats.org/drawingml/2006/picture">
                <pic:pic>
                  <pic:nvPicPr>
                    <pic:cNvPr descr="03_habitat_niveau_de_vie_files/figure-docx/fig_habitat_water-1.png" id="266" name="Picture"/>
                    <pic:cNvPicPr>
                      <a:picLocks noChangeArrowheads="1" noChangeAspect="1"/>
                    </pic:cNvPicPr>
                  </pic:nvPicPr>
                  <pic:blipFill>
                    <a:blip r:embed="rId26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267"/>
    <w:bookmarkEnd w:id="268"/>
    <w:bookmarkStart w:id="353" w:name="foncier"/>
    <w:p>
      <w:pPr>
        <w:pStyle w:val="Heading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C:\Users\fbede\AppData\Local\Programs\Quarto\share\formats\docx\warning.png" id="27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305" w:name="sec-patrimoine"/>
    <w:p>
      <w:pPr>
        <w:pStyle w:val="Heading2"/>
      </w:pPr>
      <w:r>
        <w:t xml:space="preserve">4.1 Patrimoine foncier</w:t>
      </w:r>
    </w:p>
    <w:bookmarkStart w:id="276" w:name="nombre-de-parcelles-possédées"/>
    <w:p>
      <w:pPr>
        <w:pStyle w:val="Heading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Hyperlink"/>
          </w:rPr>
          <w:t xml:space="preserve">Figure 4.1</w:t>
        </w:r>
      </w:hyperlink>
      <w:r>
        <w:t xml:space="preserve">). Les ménages propriétaires possèdent en moyenne 2.3 parcelles.</w:t>
      </w:r>
    </w:p>
    <w:p>
      <w:pPr>
        <w:pStyle w:val="BodyText"/>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Hyperlink"/>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274" w:name="fig-nb-parcelles"/>
          <w:p>
            <w:pPr>
              <w:pStyle w:val="Compact"/>
              <w:jc w:val="center"/>
            </w:pPr>
            <w:r>
              <w:drawing>
                <wp:inline>
                  <wp:extent cx="5334000" cy="3333750"/>
                  <wp:effectExtent b="0" l="0" r="0" t="0"/>
                  <wp:docPr descr="" title="" id="272" name="Picture"/>
                  <a:graphic>
                    <a:graphicData uri="http://schemas.openxmlformats.org/drawingml/2006/picture">
                      <pic:pic>
                        <pic:nvPicPr>
                          <pic:cNvPr descr="04_foncier_files/figure-docx/fig-nb-parcelles-1.png" id="273" name="Picture"/>
                          <pic:cNvPicPr>
                            <a:picLocks noChangeArrowheads="1" noChangeAspect="1"/>
                          </pic:cNvPicPr>
                        </pic:nvPicPr>
                        <pic:blipFill>
                          <a:blip r:embed="rId27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Distribution du nombre de parcelles possédées par ménage</w:t>
            </w:r>
          </w:p>
          <w:bookmarkEnd w:id="274"/>
        </w:tc>
      </w:tr>
    </w:tbl>
    <w:tbl>
      <w:tblPr>
        <w:tblStyle w:val="Table"/>
        <w:tblW w:type="pct" w:w="5000"/>
        <w:tblLayout w:type="fixed"/>
        <w:tblLook w:firstRow="0" w:lastRow="0" w:firstColumn="0" w:lastColumn="0" w:noHBand="0" w:noVBand="0" w:val="0000"/>
      </w:tblPr>
      <w:tblGrid>
        <w:gridCol w:w="7920"/>
      </w:tblGrid>
      <w:tr>
        <w:tc>
          <w:tcPr/>
          <w:bookmarkStart w:id="275"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275"/>
          <w:p/>
        </w:tc>
      </w:tr>
    </w:tbl>
    <w:p>
      <w:pPr>
        <w:pStyle w:val="BodyText"/>
      </w:pPr>
      <w:r>
        <w:t xml:space="preserve">Le</w:t>
      </w:r>
      <w:r>
        <w:t xml:space="preserve"> </w:t>
      </w:r>
      <w:hyperlink w:anchor="tbl-parcelles-stats">
        <w:r>
          <w:rPr>
            <w:rStyle w:val="Hyperlink"/>
          </w:rPr>
          <w:t xml:space="preserve">Table 4.1</w:t>
        </w:r>
      </w:hyperlink>
      <w:r>
        <w:t xml:space="preserve"> </w:t>
      </w:r>
      <w:r>
        <w:t xml:space="preserve">résume les principales caractéristiques du patrimoine foncier possédé.</w:t>
      </w:r>
    </w:p>
    <w:p>
      <w:pPr>
        <w:pStyle w:val="BodyText"/>
      </w:pPr>
      <w:r>
        <w:rPr>
          <w:b/>
          <w:bCs/>
        </w:rPr>
        <w:t xml:space="preserve">Alaotra.</w:t>
      </w:r>
      <w:r>
        <w:t xml:space="preserve"> </w:t>
      </w:r>
      <w:r>
        <w:t xml:space="preserve">La superficie moyenne par parcelle est de 51.6 ares, et la surface totale possédée par ménage atteint en moyenne 117.4 ares.</w:t>
      </w:r>
    </w:p>
    <w:p>
      <w:pPr>
        <w:pStyle w:val="BodyText"/>
      </w:pPr>
      <w:r>
        <w:rPr>
          <w:b/>
          <w:bCs/>
        </w:rPr>
        <w:t xml:space="preserve">Marovoay.</w:t>
      </w:r>
      <w:r>
        <w:t xml:space="preserve"> </w:t>
      </w:r>
      <w:r>
        <w:t xml:space="preserve">La superficie moyenne par parcelle est de 78.9 ares, et la surface totale possédée par ménage atteint en moyenne 163.2 ares.</w:t>
      </w:r>
    </w:p>
    <w:bookmarkEnd w:id="276"/>
    <w:bookmarkStart w:id="285" w:name="Xb3a5d9a9af71174c0c59d5650fdd434d6154eab"/>
    <w:p>
      <w:pPr>
        <w:pStyle w:val="Heading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Hyperlink"/>
          </w:rPr>
          <w:t xml:space="preserve">Figure 4.2</w:t>
        </w:r>
      </w:hyperlink>
      <w:r>
        <w:t xml:space="preserve">).</w:t>
      </w:r>
    </w:p>
    <w:p>
      <w:pPr>
        <w:pStyle w:val="BodyText"/>
      </w:pPr>
      <w:r>
        <w:rPr>
          <w:b/>
          <w:bCs/>
        </w:rPr>
        <w:t xml:space="preserve">Alaotra.</w:t>
      </w:r>
      <w:r>
        <w:t xml:space="preserve"> </w:t>
      </w:r>
      <w:r>
        <w:t xml:space="preserve">Les rizières représentent 52.3 % des parcelles possédées et les champs 40.4 %.</w:t>
      </w:r>
    </w:p>
    <w:p>
      <w:pPr>
        <w:pStyle w:val="BodyText"/>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280" w:name="fig-type-parcelle"/>
          <w:p>
            <w:pPr>
              <w:pStyle w:val="Compact"/>
              <w:jc w:val="center"/>
            </w:pPr>
            <w:r>
              <w:drawing>
                <wp:inline>
                  <wp:extent cx="5334000" cy="2963333"/>
                  <wp:effectExtent b="0" l="0" r="0" t="0"/>
                  <wp:docPr descr="" title="" id="278" name="Picture"/>
                  <a:graphic>
                    <a:graphicData uri="http://schemas.openxmlformats.org/drawingml/2006/picture">
                      <pic:pic>
                        <pic:nvPicPr>
                          <pic:cNvPr descr="04_foncier_files/figure-docx/fig-type-parcelle-1.png" id="279" name="Picture"/>
                          <pic:cNvPicPr>
                            <a:picLocks noChangeArrowheads="1" noChangeAspect="1"/>
                          </pic:cNvPicPr>
                        </pic:nvPicPr>
                        <pic:blipFill>
                          <a:blip r:embed="rId27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Type des parcelles possédées</w:t>
            </w:r>
          </w:p>
          <w:bookmarkEnd w:id="280"/>
        </w:tc>
      </w:tr>
    </w:tbl>
    <w:p>
      <w:pPr>
        <w:pStyle w:val="BodyText"/>
      </w:pPr>
      <w:r>
        <w:t xml:space="preserve">La localisation des parcelles reflète les spécificités agro-écologiques de chaque site (</w:t>
      </w:r>
      <w:hyperlink w:anchor="fig-localisation-parcelle">
        <w:r>
          <w:rPr>
            <w:rStyle w:val="Hyperlink"/>
          </w:rPr>
          <w:t xml:space="preserve">Figure 4.3</w:t>
        </w:r>
      </w:hyperlink>
      <w:r>
        <w:t xml:space="preserve">).</w:t>
      </w:r>
    </w:p>
    <w:p>
      <w:pPr>
        <w:pStyle w:val="BodyText"/>
      </w:pPr>
      <w:r>
        <w:rPr>
          <w:b/>
          <w:bCs/>
        </w:rPr>
        <w:t xml:space="preserve">Alaotra.</w:t>
      </w:r>
      <w:r>
        <w:t xml:space="preserve"> </w:t>
      </w:r>
      <w:r>
        <w:t xml:space="preserve">Les parcelles se concentrent principalement en plaine (45.3 %).</w:t>
      </w:r>
    </w:p>
    <w:p>
      <w:pPr>
        <w:pStyle w:val="BodyText"/>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284" w:name="fig-localisation-parcelle"/>
          <w:p>
            <w:pPr>
              <w:pStyle w:val="Compact"/>
              <w:jc w:val="center"/>
            </w:pPr>
            <w:r>
              <w:drawing>
                <wp:inline>
                  <wp:extent cx="5334000" cy="2963333"/>
                  <wp:effectExtent b="0" l="0" r="0" t="0"/>
                  <wp:docPr descr="" title="" id="282" name="Picture"/>
                  <a:graphic>
                    <a:graphicData uri="http://schemas.openxmlformats.org/drawingml/2006/picture">
                      <pic:pic>
                        <pic:nvPicPr>
                          <pic:cNvPr descr="04_foncier_files/figure-docx/fig-localisation-parcelle-1.png" id="283" name="Picture"/>
                          <pic:cNvPicPr>
                            <a:picLocks noChangeArrowheads="1" noChangeAspect="1"/>
                          </pic:cNvPicPr>
                        </pic:nvPicPr>
                        <pic:blipFill>
                          <a:blip r:embed="rId28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Localisation des parcelles possédées</w:t>
            </w:r>
          </w:p>
          <w:bookmarkEnd w:id="284"/>
        </w:tc>
      </w:tr>
    </w:tbl>
    <w:bookmarkEnd w:id="285"/>
    <w:bookmarkStart w:id="290" w:name="irrigation-des-parcelles-possédées"/>
    <w:p>
      <w:pPr>
        <w:pStyle w:val="Heading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Hyperlink"/>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89" w:name="fig-irrigation-possedee"/>
          <w:p>
            <w:pPr>
              <w:pStyle w:val="Compact"/>
              <w:jc w:val="center"/>
            </w:pPr>
            <w:r>
              <w:drawing>
                <wp:inline>
                  <wp:extent cx="5334000" cy="2667000"/>
                  <wp:effectExtent b="0" l="0" r="0" t="0"/>
                  <wp:docPr descr="" title="" id="287" name="Picture"/>
                  <a:graphic>
                    <a:graphicData uri="http://schemas.openxmlformats.org/drawingml/2006/picture">
                      <pic:pic>
                        <pic:nvPicPr>
                          <pic:cNvPr descr="04_foncier_files/figure-docx/fig-irrigation-possedee-1.png" id="288" name="Picture"/>
                          <pic:cNvPicPr>
                            <a:picLocks noChangeArrowheads="1" noChangeAspect="1"/>
                          </pic:cNvPicPr>
                        </pic:nvPicPr>
                        <pic:blipFill>
                          <a:blip r:embed="rId2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Mode d’irrigation des parcelles possédées</w:t>
            </w:r>
          </w:p>
          <w:bookmarkEnd w:id="289"/>
        </w:tc>
      </w:tr>
    </w:tbl>
    <w:bookmarkEnd w:id="290"/>
    <w:bookmarkStart w:id="299" w:name="mode-dacquisition-et-ancienneté"/>
    <w:p>
      <w:pPr>
        <w:pStyle w:val="Heading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Hyperlink"/>
          </w:rPr>
          <w:t xml:space="preserve">Figure 4.5</w:t>
        </w:r>
      </w:hyperlink>
      <w:r>
        <w:t xml:space="preserve">). L’héritage domine largement dans les deux observatoires.</w:t>
      </w:r>
    </w:p>
    <w:p>
      <w:pPr>
        <w:pStyle w:val="BodyText"/>
      </w:pPr>
      <w:r>
        <w:rPr>
          <w:b/>
          <w:bCs/>
        </w:rPr>
        <w:t xml:space="preserve">Alaotra.</w:t>
      </w:r>
      <w:r>
        <w:t xml:space="preserve"> </w:t>
      </w:r>
      <w:r>
        <w:t xml:space="preserve">L’héritage concerne 46.5 % des parcelles, l’achat 49.1 % et la mise en valeur 1.1 %.</w:t>
      </w:r>
    </w:p>
    <w:p>
      <w:pPr>
        <w:pStyle w:val="BodyText"/>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94" w:name="fig-acquisition"/>
          <w:p>
            <w:pPr>
              <w:pStyle w:val="Compact"/>
              <w:jc w:val="center"/>
            </w:pPr>
            <w:r>
              <w:drawing>
                <wp:inline>
                  <wp:extent cx="5334000" cy="2667000"/>
                  <wp:effectExtent b="0" l="0" r="0" t="0"/>
                  <wp:docPr descr="" title="" id="292" name="Picture"/>
                  <a:graphic>
                    <a:graphicData uri="http://schemas.openxmlformats.org/drawingml/2006/picture">
                      <pic:pic>
                        <pic:nvPicPr>
                          <pic:cNvPr descr="04_foncier_files/figure-docx/fig-acquisition-1.png" id="293" name="Picture"/>
                          <pic:cNvPicPr>
                            <a:picLocks noChangeArrowheads="1" noChangeAspect="1"/>
                          </pic:cNvPicPr>
                        </pic:nvPicPr>
                        <pic:blipFill>
                          <a:blip r:embed="rId29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4.5: Mode d’acquisition des parcelles possédées</w:t>
            </w:r>
          </w:p>
          <w:bookmarkEnd w:id="294"/>
        </w:tc>
      </w:tr>
    </w:tbl>
    <w:p>
      <w:pPr>
        <w:pStyle w:val="BodyText"/>
      </w:pPr>
      <w:r>
        <w:t xml:space="preserve">L’ancienneté de possession témoigne de l’enracinement des ménages sur leurs terres (</w:t>
      </w:r>
      <w:hyperlink w:anchor="fig-anciennete">
        <w:r>
          <w:rPr>
            <w:rStyle w:val="Hyperlink"/>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98" w:name="fig-anciennete"/>
          <w:p>
            <w:pPr>
              <w:pStyle w:val="Compact"/>
              <w:jc w:val="center"/>
            </w:pPr>
            <w:r>
              <w:drawing>
                <wp:inline>
                  <wp:extent cx="5334000" cy="2963333"/>
                  <wp:effectExtent b="0" l="0" r="0" t="0"/>
                  <wp:docPr descr="" title="" id="296" name="Picture"/>
                  <a:graphic>
                    <a:graphicData uri="http://schemas.openxmlformats.org/drawingml/2006/picture">
                      <pic:pic>
                        <pic:nvPicPr>
                          <pic:cNvPr descr="04_foncier_files/figure-docx/fig-anciennete-1.png" id="297" name="Picture"/>
                          <pic:cNvPicPr>
                            <a:picLocks noChangeArrowheads="1" noChangeAspect="1"/>
                          </pic:cNvPicPr>
                        </pic:nvPicPr>
                        <pic:blipFill>
                          <a:blip r:embed="rId29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4.6: Ancienneté de possession des parcelles</w:t>
            </w:r>
          </w:p>
          <w:bookmarkEnd w:id="298"/>
        </w:tc>
      </w:tr>
    </w:tbl>
    <w:bookmarkEnd w:id="299"/>
    <w:bookmarkStart w:id="304" w:name="propriétaire-dans-le-ménage"/>
    <w:p>
      <w:pPr>
        <w:pStyle w:val="Heading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Hyperlink"/>
          </w:rPr>
          <w:t xml:space="preserve">Figure 4.7</w:t>
        </w:r>
      </w:hyperlink>
      <w:r>
        <w:t xml:space="preserve">). Dans les deux observatoires, c’est le chef de ménage qui est déclaré propriétaire de la majorité des parcelles, ce qui illustre les inégalités d’accès au foncier.</w:t>
      </w:r>
    </w:p>
    <w:p>
      <w:pPr>
        <w:pStyle w:val="BodyText"/>
      </w:pPr>
      <w:r>
        <w:rPr>
          <w:b/>
          <w:bCs/>
        </w:rPr>
        <w:t xml:space="preserve">Alaotra.</w:t>
      </w:r>
      <w:r>
        <w:t xml:space="preserve"> </w:t>
      </w:r>
      <w:r>
        <w:t xml:space="preserve">Le chef de ménage est propriétaire de 63.5 % des parcelles ; le ou la conjoint(e) n’apparaît que dans 15.6 % des cas.</w:t>
      </w:r>
    </w:p>
    <w:p>
      <w:pPr>
        <w:pStyle w:val="BodyText"/>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303" w:name="fig-proprietaire"/>
          <w:p>
            <w:pPr>
              <w:pStyle w:val="Compact"/>
              <w:jc w:val="center"/>
            </w:pPr>
            <w:r>
              <w:drawing>
                <wp:inline>
                  <wp:extent cx="5334000" cy="2667000"/>
                  <wp:effectExtent b="0" l="0" r="0" t="0"/>
                  <wp:docPr descr="" title="" id="301" name="Picture"/>
                  <a:graphic>
                    <a:graphicData uri="http://schemas.openxmlformats.org/drawingml/2006/picture">
                      <pic:pic>
                        <pic:nvPicPr>
                          <pic:cNvPr descr="04_foncier_files/figure-docx/fig-proprietaire-1.png" id="302" name="Picture"/>
                          <pic:cNvPicPr>
                            <a:picLocks noChangeArrowheads="1" noChangeAspect="1"/>
                          </pic:cNvPicPr>
                        </pic:nvPicPr>
                        <pic:blipFill>
                          <a:blip r:embed="rId30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4.7: Qui dans le ménage est propriétaire de la parcelle</w:t>
            </w:r>
          </w:p>
          <w:bookmarkEnd w:id="303"/>
        </w:tc>
      </w:tr>
    </w:tbl>
    <w:bookmarkEnd w:id="304"/>
    <w:bookmarkEnd w:id="305"/>
    <w:bookmarkStart w:id="311" w:name="sec-securisation"/>
    <w:p>
      <w:pPr>
        <w:pStyle w:val="Heading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Hyperlink"/>
          </w:rPr>
          <w:t xml:space="preserve">Table 4.2</w:t>
        </w:r>
      </w:hyperlink>
      <w:r>
        <w:t xml:space="preserve">).</w:t>
      </w:r>
    </w:p>
    <w:p>
      <w:pPr>
        <w:pStyle w:val="BodyText"/>
      </w:pPr>
      <w:r>
        <w:rPr>
          <w:b/>
          <w:bCs/>
        </w:rPr>
        <w:t xml:space="preserve">Alaotra.</w:t>
      </w:r>
      <w:r>
        <w:t xml:space="preserve"> </w:t>
      </w:r>
      <w:r>
        <w:t xml:space="preserve">Seules 16.2 % des parcelles disposent d’un titre foncier. Les certificats fonciers ne couvrent que 27.5 % des parcelles.</w:t>
      </w:r>
    </w:p>
    <w:p>
      <w:pPr>
        <w:pStyle w:val="BodyText"/>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306"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306"/>
          <w:p/>
        </w:tc>
      </w:tr>
    </w:tbl>
    <w:p>
      <w:pPr>
        <w:pStyle w:val="BodyText"/>
      </w:pPr>
      <w:r>
        <w:t xml:space="preserve">En l’absence de titre ou de certificat, les ménages s’appuient sur des documents informels de nature très variable (</w:t>
      </w:r>
      <w:hyperlink w:anchor="fig-papiers">
        <w:r>
          <w:rPr>
            <w:rStyle w:val="Hyperlink"/>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310" w:name="fig-papiers"/>
          <w:p>
            <w:pPr>
              <w:pStyle w:val="Compact"/>
              <w:jc w:val="center"/>
            </w:pPr>
            <w:r>
              <w:drawing>
                <wp:inline>
                  <wp:extent cx="5334000" cy="2667000"/>
                  <wp:effectExtent b="0" l="0" r="0" t="0"/>
                  <wp:docPr descr="" title="" id="308" name="Picture"/>
                  <a:graphic>
                    <a:graphicData uri="http://schemas.openxmlformats.org/drawingml/2006/picture">
                      <pic:pic>
                        <pic:nvPicPr>
                          <pic:cNvPr descr="04_foncier_files/figure-docx/fig-papiers-1.png" id="309" name="Picture"/>
                          <pic:cNvPicPr>
                            <a:picLocks noChangeArrowheads="1" noChangeAspect="1"/>
                          </pic:cNvPicPr>
                        </pic:nvPicPr>
                        <pic:blipFill>
                          <a:blip r:embed="rId30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4.8: Autres documents prouvant la possession</w:t>
            </w:r>
          </w:p>
          <w:bookmarkEnd w:id="310"/>
        </w:tc>
      </w:tr>
    </w:tbl>
    <w:bookmarkEnd w:id="311"/>
    <w:bookmarkStart w:id="325" w:name="sec-cessions"/>
    <w:p>
      <w:pPr>
        <w:pStyle w:val="Heading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Hyperlink"/>
          </w:rPr>
          <w:t xml:space="preserve">Table 4.3</w:t>
        </w:r>
      </w:hyperlink>
      <w:r>
        <w:t xml:space="preserve">), pour un total de 132 parcelles cédées.</w:t>
      </w:r>
    </w:p>
    <w:p>
      <w:pPr>
        <w:pStyle w:val="BodyText"/>
      </w:pPr>
      <w:r>
        <w:rPr>
          <w:b/>
          <w:bCs/>
        </w:rPr>
        <w:t xml:space="preserve">Alaotra.</w:t>
      </w:r>
      <w:r>
        <w:t xml:space="preserve"> </w:t>
      </w:r>
      <w:r>
        <w:t xml:space="preserve">Cette pratique concerne 9.3 % des ménages.</w:t>
      </w:r>
    </w:p>
    <w:p>
      <w:pPr>
        <w:pStyle w:val="BodyText"/>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312"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312"/>
          <w:p/>
        </w:tc>
      </w:tr>
    </w:tbl>
    <w:p>
      <w:pPr>
        <w:pStyle w:val="BodyText"/>
      </w:pPr>
      <w:r>
        <w:t xml:space="preserve">Parmi les parcelles cédées, les modes de faire-valoir varient sensiblement d’un observatoire à l’autre (</w:t>
      </w:r>
      <w:hyperlink w:anchor="fig-mode-cession">
        <w:r>
          <w:rPr>
            <w:rStyle w:val="Hyperlink"/>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316" w:name="fig-mode-cession"/>
          <w:p>
            <w:pPr>
              <w:pStyle w:val="Compact"/>
              <w:jc w:val="center"/>
            </w:pPr>
            <w:r>
              <w:drawing>
                <wp:inline>
                  <wp:extent cx="5334000" cy="2963333"/>
                  <wp:effectExtent b="0" l="0" r="0" t="0"/>
                  <wp:docPr descr="" title="" id="314" name="Picture"/>
                  <a:graphic>
                    <a:graphicData uri="http://schemas.openxmlformats.org/drawingml/2006/picture">
                      <pic:pic>
                        <pic:nvPicPr>
                          <pic:cNvPr descr="04_foncier_files/figure-docx/fig-mode-cession-1.png" id="315" name="Picture"/>
                          <pic:cNvPicPr>
                            <a:picLocks noChangeArrowheads="1" noChangeAspect="1"/>
                          </pic:cNvPicPr>
                        </pic:nvPicPr>
                        <pic:blipFill>
                          <a:blip r:embed="rId31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4.9: Mode de faire-valoir des parcelles cédées</w:t>
            </w:r>
          </w:p>
          <w:bookmarkEnd w:id="316"/>
        </w:tc>
      </w:tr>
    </w:tbl>
    <w:p>
      <w:pPr>
        <w:pStyle w:val="BodyText"/>
      </w:pPr>
      <w:r>
        <w:t xml:space="preserve">Les motivations de la cession reflètent des stratégies économiques diversifiées (</w:t>
      </w:r>
      <w:hyperlink w:anchor="fig-motif-cession">
        <w:r>
          <w:rPr>
            <w:rStyle w:val="Hyperlink"/>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320" w:name="fig-motif-cession"/>
          <w:p>
            <w:pPr>
              <w:pStyle w:val="Compact"/>
              <w:jc w:val="center"/>
            </w:pPr>
            <w:r>
              <w:drawing>
                <wp:inline>
                  <wp:extent cx="5334000" cy="3200400"/>
                  <wp:effectExtent b="0" l="0" r="0" t="0"/>
                  <wp:docPr descr="" title="" id="318" name="Picture"/>
                  <a:graphic>
                    <a:graphicData uri="http://schemas.openxmlformats.org/drawingml/2006/picture">
                      <pic:pic>
                        <pic:nvPicPr>
                          <pic:cNvPr descr="04_foncier_files/figure-docx/fig-motif-cession-1.png" id="319" name="Picture"/>
                          <pic:cNvPicPr>
                            <a:picLocks noChangeArrowheads="1" noChangeAspect="1"/>
                          </pic:cNvPicPr>
                        </pic:nvPicPr>
                        <pic:blipFill>
                          <a:blip r:embed="rId31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4.10: Motif de la cession de parcelles</w:t>
            </w:r>
          </w:p>
          <w:bookmarkEnd w:id="320"/>
        </w:tc>
      </w:tr>
    </w:tbl>
    <w:p>
      <w:pPr>
        <w:pStyle w:val="BodyText"/>
      </w:pPr>
      <w:r>
        <w:t xml:space="preserve">Les bénéficiaires des cessions sont principalement des membres de la famille ou des voisins (</w:t>
      </w:r>
      <w:hyperlink w:anchor="fig-cedee-a-qui">
        <w:r>
          <w:rPr>
            <w:rStyle w:val="Hyperlink"/>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324" w:name="fig-cedee-a-qui"/>
          <w:p>
            <w:pPr>
              <w:pStyle w:val="Compact"/>
              <w:jc w:val="center"/>
            </w:pPr>
            <w:r>
              <w:drawing>
                <wp:inline>
                  <wp:extent cx="5334000" cy="2667000"/>
                  <wp:effectExtent b="0" l="0" r="0" t="0"/>
                  <wp:docPr descr="" title="" id="322" name="Picture"/>
                  <a:graphic>
                    <a:graphicData uri="http://schemas.openxmlformats.org/drawingml/2006/picture">
                      <pic:pic>
                        <pic:nvPicPr>
                          <pic:cNvPr descr="04_foncier_files/figure-docx/fig-cedee-a-qui-1.png" id="323" name="Picture"/>
                          <pic:cNvPicPr>
                            <a:picLocks noChangeArrowheads="1" noChangeAspect="1"/>
                          </pic:cNvPicPr>
                        </pic:nvPicPr>
                        <pic:blipFill>
                          <a:blip r:embed="rId32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4.11: À qui la parcelle est-elle cédée</w:t>
            </w:r>
          </w:p>
          <w:bookmarkEnd w:id="324"/>
        </w:tc>
      </w:tr>
    </w:tbl>
    <w:bookmarkEnd w:id="325"/>
    <w:bookmarkStart w:id="344" w:name="sec-exploitees"/>
    <w:p>
      <w:pPr>
        <w:pStyle w:val="Heading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Hyperlink"/>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BodyText"/>
      </w:pPr>
      <w:r>
        <w:rPr>
          <w:b/>
          <w:bCs/>
        </w:rPr>
        <w:t xml:space="preserve">Alaotra.</w:t>
      </w:r>
      <w:r>
        <w:t xml:space="preserve"> </w:t>
      </w:r>
      <w:r>
        <w:t xml:space="preserve">Cette pratique concerne 45.6 % des ménages.</w:t>
      </w:r>
    </w:p>
    <w:p>
      <w:pPr>
        <w:pStyle w:val="BodyText"/>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326"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326"/>
          <w:p/>
        </w:tc>
      </w:tr>
    </w:tbl>
    <w:p>
      <w:pPr>
        <w:pStyle w:val="BodyText"/>
      </w:pPr>
      <w:r>
        <w:t xml:space="preserve">Les parcelles exploitées sans en être propriétaire sont, comme les parcelles possédées, majoritairement des rizières (</w:t>
      </w:r>
      <w:hyperlink w:anchor="fig-type-exploitee">
        <w:r>
          <w:rPr>
            <w:rStyle w:val="Hyperlink"/>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330" w:name="fig-type-exploitee"/>
          <w:p>
            <w:pPr>
              <w:pStyle w:val="Compact"/>
              <w:jc w:val="center"/>
            </w:pPr>
            <w:r>
              <w:drawing>
                <wp:inline>
                  <wp:extent cx="5334000" cy="2963333"/>
                  <wp:effectExtent b="0" l="0" r="0" t="0"/>
                  <wp:docPr descr="" title="" id="328" name="Picture"/>
                  <a:graphic>
                    <a:graphicData uri="http://schemas.openxmlformats.org/drawingml/2006/picture">
                      <pic:pic>
                        <pic:nvPicPr>
                          <pic:cNvPr descr="04_foncier_files/figure-docx/fig-type-exploitee-1.png" id="329" name="Picture"/>
                          <pic:cNvPicPr>
                            <a:picLocks noChangeArrowheads="1" noChangeAspect="1"/>
                          </pic:cNvPicPr>
                        </pic:nvPicPr>
                        <pic:blipFill>
                          <a:blip r:embed="rId32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4.12: Type des parcelles exploitées (non possédées)</w:t>
            </w:r>
          </w:p>
          <w:bookmarkEnd w:id="330"/>
        </w:tc>
      </w:tr>
    </w:tbl>
    <w:p>
      <w:pPr>
        <w:pStyle w:val="BodyText"/>
      </w:pPr>
      <w:r>
        <w:t xml:space="preserve">Le mode de faire-valoir des parcelles exploitées révèle l’équilibre local entre prêt, location et métayage (</w:t>
      </w:r>
      <w:hyperlink w:anchor="fig-fv-exploitee">
        <w:r>
          <w:rPr>
            <w:rStyle w:val="Hyperlink"/>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334" w:name="fig-fv-exploitee"/>
          <w:p>
            <w:pPr>
              <w:pStyle w:val="Compact"/>
              <w:jc w:val="center"/>
            </w:pPr>
            <w:r>
              <w:drawing>
                <wp:inline>
                  <wp:extent cx="5334000" cy="2963333"/>
                  <wp:effectExtent b="0" l="0" r="0" t="0"/>
                  <wp:docPr descr="" title="" id="332" name="Picture"/>
                  <a:graphic>
                    <a:graphicData uri="http://schemas.openxmlformats.org/drawingml/2006/picture">
                      <pic:pic>
                        <pic:nvPicPr>
                          <pic:cNvPr descr="04_foncier_files/figure-docx/fig-fv-exploitee-1.png" id="333" name="Picture"/>
                          <pic:cNvPicPr>
                            <a:picLocks noChangeArrowheads="1" noChangeAspect="1"/>
                          </pic:cNvPicPr>
                        </pic:nvPicPr>
                        <pic:blipFill>
                          <a:blip r:embed="rId33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4.13: Mode de faire-valoir des parcelles exploitées</w:t>
            </w:r>
          </w:p>
          <w:bookmarkEnd w:id="334"/>
        </w:tc>
      </w:tr>
    </w:tbl>
    <w:p>
      <w:pPr>
        <w:pStyle w:val="BodyText"/>
      </w:pPr>
      <w:r>
        <w:t xml:space="preserve">Les parcelles exploitées appartiennent le plus souvent à des membres de la famille ou à des voisins (</w:t>
      </w:r>
      <w:hyperlink w:anchor="fig-proprietaire-exploitee">
        <w:r>
          <w:rPr>
            <w:rStyle w:val="Hyperlink"/>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338" w:name="fig-proprietaire-exploitee"/>
          <w:p>
            <w:pPr>
              <w:pStyle w:val="Compact"/>
              <w:jc w:val="center"/>
            </w:pPr>
            <w:r>
              <w:drawing>
                <wp:inline>
                  <wp:extent cx="5334000" cy="3200400"/>
                  <wp:effectExtent b="0" l="0" r="0" t="0"/>
                  <wp:docPr descr="" title="" id="336" name="Picture"/>
                  <a:graphic>
                    <a:graphicData uri="http://schemas.openxmlformats.org/drawingml/2006/picture">
                      <pic:pic>
                        <pic:nvPicPr>
                          <pic:cNvPr descr="04_foncier_files/figure-docx/fig-proprietaire-exploitee-1.png" id="337" name="Picture"/>
                          <pic:cNvPicPr>
                            <a:picLocks noChangeArrowheads="1" noChangeAspect="1"/>
                          </pic:cNvPicPr>
                        </pic:nvPicPr>
                        <pic:blipFill>
                          <a:blip r:embed="rId3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4.14: Propriétaire des parcelles exploitées</w:t>
            </w:r>
          </w:p>
          <w:bookmarkEnd w:id="338"/>
        </w:tc>
      </w:tr>
    </w:tbl>
    <w:p>
      <w:pPr>
        <w:pStyle w:val="BodyText"/>
      </w:pPr>
      <w:r>
        <w:t xml:space="preserve">Le mode d’irrigation des parcelles exploitées diffère-t-il de celui des parcelles possédées ? La</w:t>
      </w:r>
      <w:r>
        <w:t xml:space="preserve"> </w:t>
      </w:r>
      <w:hyperlink w:anchor="fig-irrigation-exploitee">
        <w:r>
          <w:rPr>
            <w:rStyle w:val="Hyperlink"/>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342" w:name="fig-irrigation-exploitee"/>
          <w:p>
            <w:pPr>
              <w:pStyle w:val="Compact"/>
              <w:jc w:val="center"/>
            </w:pPr>
            <w:r>
              <w:drawing>
                <wp:inline>
                  <wp:extent cx="5334000" cy="2667000"/>
                  <wp:effectExtent b="0" l="0" r="0" t="0"/>
                  <wp:docPr descr="" title="" id="340" name="Picture"/>
                  <a:graphic>
                    <a:graphicData uri="http://schemas.openxmlformats.org/drawingml/2006/picture">
                      <pic:pic>
                        <pic:nvPicPr>
                          <pic:cNvPr descr="04_foncier_files/figure-docx/fig-irrigation-exploitee-1.png" id="341" name="Picture"/>
                          <pic:cNvPicPr>
                            <a:picLocks noChangeArrowheads="1" noChangeAspect="1"/>
                          </pic:cNvPicPr>
                        </pic:nvPicPr>
                        <pic:blipFill>
                          <a:blip r:embed="rId33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4.15: Mode d’irrigation des parcelles exploitées</w:t>
            </w:r>
          </w:p>
          <w:bookmarkEnd w:id="342"/>
        </w:tc>
      </w:tr>
    </w:tbl>
    <w:p>
      <w:pPr>
        <w:pStyle w:val="BodyText"/>
      </w:pPr>
      <w:r>
        <w:t xml:space="preserve">Le coût de l’exploitation de terres d’autrui varie selon le mode de faire-valoir (</w:t>
      </w:r>
      <w:hyperlink w:anchor="tbl-rente-exploitee">
        <w:r>
          <w:rPr>
            <w:rStyle w:val="Hyperlink"/>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343"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343"/>
          <w:p/>
        </w:tc>
      </w:tr>
    </w:tbl>
    <w:bookmarkEnd w:id="344"/>
    <w:bookmarkStart w:id="346" w:name="sec-abandon"/>
    <w:p>
      <w:pPr>
        <w:pStyle w:val="Heading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Hyperlink"/>
          </w:rPr>
          <w:t xml:space="preserve">Table 4.6</w:t>
        </w:r>
      </w:hyperlink>
      <w:r>
        <w:t xml:space="preserve">).</w:t>
      </w:r>
    </w:p>
    <w:p>
      <w:pPr>
        <w:pStyle w:val="BodyText"/>
      </w:pPr>
      <w:r>
        <w:rPr>
          <w:b/>
          <w:bCs/>
        </w:rPr>
        <w:t xml:space="preserve">Alaotra.</w:t>
      </w:r>
      <w:r>
        <w:t xml:space="preserve"> </w:t>
      </w:r>
      <w:r>
        <w:t xml:space="preserve">Cette pratique touche 18.9 % des ménages.</w:t>
      </w:r>
    </w:p>
    <w:p>
      <w:pPr>
        <w:pStyle w:val="BodyText"/>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345"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345"/>
          <w:p/>
        </w:tc>
      </w:tr>
    </w:tbl>
    <w:bookmarkEnd w:id="346"/>
    <w:bookmarkStart w:id="351" w:name="sec-satisfaction"/>
    <w:p>
      <w:pPr>
        <w:pStyle w:val="Heading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Hyperlink"/>
          </w:rPr>
          <w:t xml:space="preserve">Figure 4.16</w:t>
        </w:r>
      </w:hyperlink>
      <w:r>
        <w:t xml:space="preserve">). Ce sentiment d’insuffisance foncière constitue un enjeu majeur pour les politiques de développement rural.</w:t>
      </w:r>
    </w:p>
    <w:p>
      <w:pPr>
        <w:pStyle w:val="BodyText"/>
      </w:pPr>
      <w:r>
        <w:rPr>
          <w:b/>
          <w:bCs/>
        </w:rPr>
        <w:t xml:space="preserve">Alaotra.</w:t>
      </w:r>
      <w:r>
        <w:t xml:space="preserve"> </w:t>
      </w:r>
      <w:r>
        <w:t xml:space="preserve">29.2 % des ménages jugent leur surface insuffisante ou très insuffisante. Seuls 70.8 % estiment leur dotation suffisante.</w:t>
      </w:r>
    </w:p>
    <w:p>
      <w:pPr>
        <w:pStyle w:val="BodyText"/>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350" w:name="fig-satisfaction"/>
          <w:p>
            <w:pPr>
              <w:pStyle w:val="Compact"/>
              <w:jc w:val="center"/>
            </w:pPr>
            <w:r>
              <w:drawing>
                <wp:inline>
                  <wp:extent cx="5334000" cy="2963333"/>
                  <wp:effectExtent b="0" l="0" r="0" t="0"/>
                  <wp:docPr descr="" title="" id="348" name="Picture"/>
                  <a:graphic>
                    <a:graphicData uri="http://schemas.openxmlformats.org/drawingml/2006/picture">
                      <pic:pic>
                        <pic:nvPicPr>
                          <pic:cNvPr descr="04_foncier_files/figure-docx/fig-satisfaction-1.png" id="349" name="Picture"/>
                          <pic:cNvPicPr>
                            <a:picLocks noChangeArrowheads="1" noChangeAspect="1"/>
                          </pic:cNvPicPr>
                        </pic:nvPicPr>
                        <pic:blipFill>
                          <a:blip r:embed="rId3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4.16: Satisfaction des ménages par rapport à leur surface foncière</w:t>
            </w:r>
          </w:p>
          <w:bookmarkEnd w:id="350"/>
        </w:tc>
      </w:tr>
    </w:tbl>
    <w:bookmarkEnd w:id="351"/>
    <w:bookmarkStart w:id="352" w:name="sec-pistes-foncier"/>
    <w:p>
      <w:pPr>
        <w:pStyle w:val="Heading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4"/>
        </w:numPr>
      </w:pPr>
      <w:r>
        <w:rPr>
          <w:b/>
          <w:bCs/>
        </w:rPr>
        <w:t xml:space="preserve">Raisons de l’abandon de parcelles</w:t>
      </w:r>
      <w:r>
        <w:t xml:space="preserve"> </w:t>
      </w:r>
      <w:r>
        <w:t xml:space="preserve">(</w:t>
      </w:r>
      <w:r>
        <w:rPr>
          <w:rStyle w:val="VerbatimChar"/>
        </w:rPr>
        <w:t xml:space="preserve">fr30q_a</w:t>
      </w:r>
      <w:r>
        <w:t xml:space="preserve"> </w:t>
      </w:r>
      <w:r>
        <w:t xml:space="preserve">à</w:t>
      </w:r>
      <w:r>
        <w:t xml:space="preserve"> </w:t>
      </w:r>
      <w:r>
        <w:rPr>
          <w:rStyle w:val="VerbatimChar"/>
        </w:rPr>
        <w:t xml:space="preserve">fr30q_e</w:t>
      </w:r>
      <w:r>
        <w:t xml:space="preserve">) : cinq variables binaires dont les libellés exacts restent à confirmer dans le questionnaire.</w:t>
      </w:r>
    </w:p>
    <w:p>
      <w:pPr>
        <w:pStyle w:val="Compact"/>
        <w:numPr>
          <w:ilvl w:val="0"/>
          <w:numId w:val="1004"/>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4"/>
        </w:numPr>
      </w:pPr>
      <w:r>
        <w:rPr>
          <w:b/>
          <w:bCs/>
        </w:rPr>
        <w:t xml:space="preserve">Superficie possédée vs. superficie exploitée</w:t>
      </w:r>
      <w:r>
        <w:t xml:space="preserve"> </w:t>
      </w:r>
      <w:r>
        <w:t xml:space="preserve">: reconstituer la surface effectivement cultivée par le ménage en combinant</w:t>
      </w:r>
      <w:r>
        <w:t xml:space="preserve"> </w:t>
      </w:r>
      <w:r>
        <w:rPr>
          <w:rStyle w:val="VerbatimChar"/>
        </w:rPr>
        <w:t xml:space="preserve">res_fr30</w:t>
      </w:r>
      <w:r>
        <w:t xml:space="preserve"> </w:t>
      </w:r>
      <w:r>
        <w:t xml:space="preserve">et</w:t>
      </w:r>
      <w:r>
        <w:t xml:space="preserve"> </w:t>
      </w:r>
      <w:r>
        <w:rPr>
          <w:rStyle w:val="VerbatimChar"/>
        </w:rPr>
        <w:t xml:space="preserve">res_fr34</w:t>
      </w:r>
      <w:r>
        <w:t xml:space="preserve">.</w:t>
      </w:r>
    </w:p>
    <w:p>
      <w:pPr>
        <w:pStyle w:val="Compact"/>
        <w:numPr>
          <w:ilvl w:val="0"/>
          <w:numId w:val="1004"/>
        </w:numPr>
      </w:pPr>
      <w:r>
        <w:rPr>
          <w:b/>
          <w:bCs/>
        </w:rPr>
        <w:t xml:space="preserve">Rentes perçues sur les parcelles cédées</w:t>
      </w:r>
      <w:r>
        <w:t xml:space="preserve"> </w:t>
      </w:r>
      <w:r>
        <w:t xml:space="preserve">(</w:t>
      </w:r>
      <w:r>
        <w:rPr>
          <w:rStyle w:val="VerbatimChar"/>
        </w:rPr>
        <w:t xml:space="preserve">fr33m1</w:t>
      </w:r>
      <w:r>
        <w:t xml:space="preserve">,</w:t>
      </w:r>
      <w:r>
        <w:t xml:space="preserve"> </w:t>
      </w:r>
      <w:r>
        <w:rPr>
          <w:rStyle w:val="VerbatimChar"/>
        </w:rPr>
        <w:t xml:space="preserve">fr33m2</w:t>
      </w:r>
      <w:r>
        <w:t xml:space="preserve">,</w:t>
      </w:r>
      <w:r>
        <w:t xml:space="preserve"> </w:t>
      </w:r>
      <w:r>
        <w:rPr>
          <w:rStyle w:val="VerbatimChar"/>
        </w:rPr>
        <w:t xml:space="preserve">fr33n</w:t>
      </w:r>
      <w:r>
        <w:t xml:space="preserve">) : montants moyens des loyers et parts de métayage perçus.</w:t>
      </w:r>
    </w:p>
    <w:p>
      <w:pPr>
        <w:pStyle w:val="Compact"/>
        <w:numPr>
          <w:ilvl w:val="0"/>
          <w:numId w:val="1004"/>
        </w:numPr>
      </w:pPr>
      <w:r>
        <w:rPr>
          <w:b/>
          <w:bCs/>
        </w:rPr>
        <w:t xml:space="preserve">Nom sur le titre/certificat</w:t>
      </w:r>
      <w:r>
        <w:t xml:space="preserve"> </w:t>
      </w:r>
      <w:r>
        <w:t xml:space="preserve">(</w:t>
      </w:r>
      <w:r>
        <w:rPr>
          <w:rStyle w:val="VerbatimChar"/>
        </w:rPr>
        <w:t xml:space="preserve">fr30k</w:t>
      </w:r>
      <w:r>
        <w:t xml:space="preserve">,</w:t>
      </w:r>
      <w:r>
        <w:t xml:space="preserve"> </w:t>
      </w:r>
      <w:r>
        <w:rPr>
          <w:rStyle w:val="VerbatimChar"/>
        </w:rPr>
        <w:t xml:space="preserve">fr30m</w:t>
      </w:r>
      <w:r>
        <w:t xml:space="preserve">) : la correspondance entre le titulaire du document et le propriétaire déclaré mériterait une analyse genrée.</w:t>
      </w:r>
    </w:p>
    <w:bookmarkEnd w:id="352"/>
    <w:bookmarkEnd w:id="353"/>
    <w:bookmarkStart w:id="507" w:name="agriculture-élevage-et-pêche"/>
    <w:p>
      <w:pPr>
        <w:pStyle w:val="Heading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C:\Users\fbede\AppData\Local\Programs\Quarto\share\formats\docx\warning.png" id="35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442" w:name="sec-agriculture"/>
    <w:p>
      <w:pPr>
        <w:pStyle w:val="Heading2"/>
      </w:pPr>
      <w:r>
        <w:t xml:space="preserve">5.1 Agriculture</w:t>
      </w:r>
    </w:p>
    <w:bookmarkStart w:id="411" w:name="sec-riziculture"/>
    <w:p>
      <w:pPr>
        <w:pStyle w:val="Heading3"/>
      </w:pPr>
      <w:r>
        <w:t xml:space="preserve">5.1.1 Riziculture</w:t>
      </w:r>
    </w:p>
    <w:p>
      <w:pPr>
        <w:pStyle w:val="FirstParagraph"/>
      </w:pPr>
      <w:r>
        <w:t xml:space="preserve">La riziculture est l’activité agricole dominante dans les deux observatoires.</w:t>
      </w:r>
    </w:p>
    <w:p>
      <w:pPr>
        <w:pStyle w:val="BodyText"/>
      </w:pPr>
      <w:r>
        <w:t xml:space="preserve">Dans l’Alaotra, 58.3 % des ménages pratiquent la riziculture. Les riziculteurs exploitent en moyenne 1.4 parcelles (superficie moyenne de 57 ares).</w:t>
      </w:r>
    </w:p>
    <w:p>
      <w:pPr>
        <w:pStyle w:val="BodyText"/>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356"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356"/>
          <w:p/>
        </w:tc>
      </w:tr>
    </w:tbl>
    <w:bookmarkStart w:id="365" w:name="mode-de-faire-valoir-et-accès-à-leau"/>
    <w:p>
      <w:pPr>
        <w:pStyle w:val="Heading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BodyText"/>
      </w:pPr>
      <w:r>
        <w:t xml:space="preserve">Dans l’Alaotra, le mode de faire valoir dominant est le faire valoir direct (59.7 % des parcelles).</w:t>
      </w:r>
    </w:p>
    <w:p>
      <w:pPr>
        <w:pStyle w:val="BodyText"/>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360" w:name="fig-tenure-riz"/>
          <w:p>
            <w:pPr>
              <w:pStyle w:val="Compact"/>
              <w:jc w:val="center"/>
            </w:pPr>
            <w:r>
              <w:drawing>
                <wp:inline>
                  <wp:extent cx="5334000" cy="2963333"/>
                  <wp:effectExtent b="0" l="0" r="0" t="0"/>
                  <wp:docPr descr="" title="" id="358" name="Picture"/>
                  <a:graphic>
                    <a:graphicData uri="http://schemas.openxmlformats.org/drawingml/2006/picture">
                      <pic:pic>
                        <pic:nvPicPr>
                          <pic:cNvPr descr="05_agriculture_files/figure-docx/fig-tenure-riz-1.png" id="359" name="Picture"/>
                          <pic:cNvPicPr>
                            <a:picLocks noChangeArrowheads="1" noChangeAspect="1"/>
                          </pic:cNvPicPr>
                        </pic:nvPicPr>
                        <pic:blipFill>
                          <a:blip r:embed="rId35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Mode de faire valoir des parcelles rizicoles par observatoire</w:t>
            </w:r>
          </w:p>
          <w:bookmarkEnd w:id="360"/>
        </w:tc>
      </w:tr>
    </w:tbl>
    <w:p>
      <w:pPr>
        <w:pStyle w:val="BodyText"/>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364" w:name="fig-eau-riz"/>
          <w:p>
            <w:pPr>
              <w:pStyle w:val="Compact"/>
              <w:jc w:val="center"/>
            </w:pPr>
            <w:r>
              <w:drawing>
                <wp:inline>
                  <wp:extent cx="5334000" cy="2963333"/>
                  <wp:effectExtent b="0" l="0" r="0" t="0"/>
                  <wp:docPr descr="" title="" id="362" name="Picture"/>
                  <a:graphic>
                    <a:graphicData uri="http://schemas.openxmlformats.org/drawingml/2006/picture">
                      <pic:pic>
                        <pic:nvPicPr>
                          <pic:cNvPr descr="05_agriculture_files/figure-docx/fig-eau-riz-1.png" id="363" name="Picture"/>
                          <pic:cNvPicPr>
                            <a:picLocks noChangeArrowheads="1" noChangeAspect="1"/>
                          </pic:cNvPicPr>
                        </pic:nvPicPr>
                        <pic:blipFill>
                          <a:blip r:embed="rId36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Problèmes de maîtrise de l’eau sur les parcelles rizicoles</w:t>
            </w:r>
          </w:p>
          <w:bookmarkEnd w:id="364"/>
        </w:tc>
      </w:tr>
    </w:tbl>
    <w:bookmarkEnd w:id="365"/>
    <w:bookmarkStart w:id="375" w:name="techniques-culturales-et-intrants"/>
    <w:p>
      <w:pPr>
        <w:pStyle w:val="Heading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BodyText"/>
      </w:pPr>
      <w:r>
        <w:t xml:space="preserve">Dans l’Alaotra, la technique culturale prédominante est le repiquage traditionnel (56 % des parcelles).</w:t>
      </w:r>
    </w:p>
    <w:p>
      <w:pPr>
        <w:pStyle w:val="BodyText"/>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369" w:name="fig-technique-riz"/>
          <w:p>
            <w:pPr>
              <w:pStyle w:val="Compact"/>
              <w:jc w:val="center"/>
            </w:pPr>
            <w:r>
              <w:drawing>
                <wp:inline>
                  <wp:extent cx="5334000" cy="2963333"/>
                  <wp:effectExtent b="0" l="0" r="0" t="0"/>
                  <wp:docPr descr="" title="" id="367" name="Picture"/>
                  <a:graphic>
                    <a:graphicData uri="http://schemas.openxmlformats.org/drawingml/2006/picture">
                      <pic:pic>
                        <pic:nvPicPr>
                          <pic:cNvPr descr="05_agriculture_files/figure-docx/fig-technique-riz-1.png" id="368" name="Picture"/>
                          <pic:cNvPicPr>
                            <a:picLocks noChangeArrowheads="1" noChangeAspect="1"/>
                          </pic:cNvPicPr>
                        </pic:nvPicPr>
                        <pic:blipFill>
                          <a:blip r:embed="rId366"/>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5.3: Technique de culture rizicole par observatoire</w:t>
            </w:r>
          </w:p>
          <w:bookmarkEnd w:id="369"/>
        </w:tc>
      </w:tr>
    </w:tbl>
    <w:tbl>
      <w:tblPr>
        <w:tblStyle w:val="Table"/>
        <w:tblW w:type="pct" w:w="5000"/>
        <w:tblLayout w:type="fixed"/>
        <w:tblLook w:firstRow="0" w:lastRow="0" w:firstColumn="0" w:lastColumn="0" w:noHBand="0" w:noVBand="0" w:val="0000"/>
      </w:tblPr>
      <w:tblGrid>
        <w:gridCol w:w="7920"/>
      </w:tblGrid>
      <w:tr>
        <w:tc>
          <w:tcPr/>
          <w:bookmarkStart w:id="373" w:name="fig-engrais-riz"/>
          <w:p>
            <w:pPr>
              <w:pStyle w:val="Compact"/>
              <w:jc w:val="center"/>
            </w:pPr>
            <w:r>
              <w:drawing>
                <wp:inline>
                  <wp:extent cx="5334000" cy="2667000"/>
                  <wp:effectExtent b="0" l="0" r="0" t="0"/>
                  <wp:docPr descr="" title="" id="371" name="Picture"/>
                  <a:graphic>
                    <a:graphicData uri="http://schemas.openxmlformats.org/drawingml/2006/picture">
                      <pic:pic>
                        <pic:nvPicPr>
                          <pic:cNvPr descr="05_agriculture_files/figure-docx/fig-engrais-riz-1.png" id="372" name="Picture"/>
                          <pic:cNvPicPr>
                            <a:picLocks noChangeArrowheads="1" noChangeAspect="1"/>
                          </pic:cNvPicPr>
                        </pic:nvPicPr>
                        <pic:blipFill>
                          <a:blip r:embed="rId37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5.4: Utilisation d’engrais sur les parcelles rizicoles</w:t>
            </w:r>
          </w:p>
          <w:bookmarkEnd w:id="373"/>
        </w:tc>
      </w:tr>
    </w:tbl>
    <w:tbl>
      <w:tblPr>
        <w:tblStyle w:val="Table"/>
        <w:tblW w:type="pct" w:w="5000"/>
        <w:tblLayout w:type="fixed"/>
        <w:tblLook w:firstRow="0" w:lastRow="0" w:firstColumn="0" w:lastColumn="0" w:noHBand="0" w:noVBand="0" w:val="0000"/>
      </w:tblPr>
      <w:tblGrid>
        <w:gridCol w:w="7920"/>
      </w:tblGrid>
      <w:tr>
        <w:tc>
          <w:tcPr/>
          <w:bookmarkStart w:id="374"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374"/>
          <w:p/>
        </w:tc>
      </w:tr>
    </w:tbl>
    <w:bookmarkEnd w:id="375"/>
    <w:bookmarkStart w:id="385" w:name="rendements-et-production"/>
    <w:p>
      <w:pPr>
        <w:pStyle w:val="Heading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BodyText"/>
      </w:pPr>
      <w:r>
        <w:t xml:space="preserve">Dans l’Alaotra, le rendement rizicole médian s’établit à 2.5 t/ha (hors 5 % des valeurs extrêmes).</w:t>
      </w:r>
    </w:p>
    <w:p>
      <w:pPr>
        <w:pStyle w:val="BodyText"/>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376"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376"/>
          <w:p/>
        </w:tc>
      </w:tr>
    </w:tbl>
    <w:tbl>
      <w:tblPr>
        <w:tblStyle w:val="Table"/>
        <w:tblW w:type="pct" w:w="5000"/>
        <w:tblLayout w:type="fixed"/>
        <w:tblLook w:firstRow="0" w:lastRow="0" w:firstColumn="0" w:lastColumn="0" w:noHBand="0" w:noVBand="0" w:val="0000"/>
      </w:tblPr>
      <w:tblGrid>
        <w:gridCol w:w="7920"/>
      </w:tblGrid>
      <w:tr>
        <w:tc>
          <w:tcPr/>
          <w:bookmarkStart w:id="380" w:name="fig-rendement-riz-tha"/>
          <w:p>
            <w:pPr>
              <w:pStyle w:val="Compact"/>
              <w:jc w:val="center"/>
            </w:pPr>
            <w:r>
              <w:drawing>
                <wp:inline>
                  <wp:extent cx="5334000" cy="2963333"/>
                  <wp:effectExtent b="0" l="0" r="0" t="0"/>
                  <wp:docPr descr="" title="" id="378" name="Picture"/>
                  <a:graphic>
                    <a:graphicData uri="http://schemas.openxmlformats.org/drawingml/2006/picture">
                      <pic:pic>
                        <pic:nvPicPr>
                          <pic:cNvPr descr="05_agriculture_files/figure-docx/fig-rendement-riz-tha-1.png" id="379" name="Picture"/>
                          <pic:cNvPicPr>
                            <a:picLocks noChangeArrowheads="1" noChangeAspect="1"/>
                          </pic:cNvPicPr>
                        </pic:nvPicPr>
                        <pic:blipFill>
                          <a:blip r:embed="rId37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5.5: Distribution des rendements rizicoles (t/ha) par observatoire</w:t>
            </w:r>
          </w:p>
          <w:bookmarkEnd w:id="380"/>
        </w:tc>
      </w:tr>
    </w:tbl>
    <w:tbl>
      <w:tblPr>
        <w:tblStyle w:val="Table"/>
        <w:tblW w:type="pct" w:w="5000"/>
        <w:tblLayout w:type="fixed"/>
        <w:tblLook w:firstRow="0" w:lastRow="0" w:firstColumn="0" w:lastColumn="0" w:noHBand="0" w:noVBand="0" w:val="0000"/>
      </w:tblPr>
      <w:tblGrid>
        <w:gridCol w:w="7920"/>
      </w:tblGrid>
      <w:tr>
        <w:tc>
          <w:tcPr/>
          <w:bookmarkStart w:id="384" w:name="fig-production-riz"/>
          <w:p>
            <w:pPr>
              <w:pStyle w:val="Compact"/>
              <w:jc w:val="center"/>
            </w:pPr>
            <w:r>
              <w:drawing>
                <wp:inline>
                  <wp:extent cx="5334000" cy="3333750"/>
                  <wp:effectExtent b="0" l="0" r="0" t="0"/>
                  <wp:docPr descr="" title="" id="382" name="Picture"/>
                  <a:graphic>
                    <a:graphicData uri="http://schemas.openxmlformats.org/drawingml/2006/picture">
                      <pic:pic>
                        <pic:nvPicPr>
                          <pic:cNvPr descr="05_agriculture_files/figure-docx/fig-production-riz-1.png" id="383" name="Picture"/>
                          <pic:cNvPicPr>
                            <a:picLocks noChangeArrowheads="1" noChangeAspect="1"/>
                          </pic:cNvPicPr>
                        </pic:nvPicPr>
                        <pic:blipFill>
                          <a:blip r:embed="rId38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5.6: Distribution de la production de paddy par parcelle (kg)</w:t>
            </w:r>
          </w:p>
          <w:bookmarkEnd w:id="384"/>
        </w:tc>
      </w:tr>
    </w:tbl>
    <w:bookmarkEnd w:id="385"/>
    <w:bookmarkStart w:id="398" w:name="topographie-et-saison-de-culture"/>
    <w:p>
      <w:pPr>
        <w:pStyle w:val="Heading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89" w:name="fig-topographie-riz"/>
          <w:p>
            <w:pPr>
              <w:pStyle w:val="Compact"/>
              <w:jc w:val="center"/>
            </w:pPr>
            <w:r>
              <w:drawing>
                <wp:inline>
                  <wp:extent cx="5334000" cy="2667000"/>
                  <wp:effectExtent b="0" l="0" r="0" t="0"/>
                  <wp:docPr descr="" title="" id="387" name="Picture"/>
                  <a:graphic>
                    <a:graphicData uri="http://schemas.openxmlformats.org/drawingml/2006/picture">
                      <pic:pic>
                        <pic:nvPicPr>
                          <pic:cNvPr descr="05_agriculture_files/figure-docx/fig-topographie-riz-1.png" id="388" name="Picture"/>
                          <pic:cNvPicPr>
                            <a:picLocks noChangeArrowheads="1" noChangeAspect="1"/>
                          </pic:cNvPicPr>
                        </pic:nvPicPr>
                        <pic:blipFill>
                          <a:blip r:embed="rId3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5.7: Topographie des parcelles rizicoles</w:t>
            </w:r>
          </w:p>
          <w:bookmarkEnd w:id="389"/>
        </w:tc>
      </w:tr>
    </w:tbl>
    <w:tbl>
      <w:tblPr>
        <w:tblStyle w:val="Table"/>
        <w:tblW w:type="pct" w:w="5000"/>
        <w:tblLayout w:type="fixed"/>
        <w:tblLook w:firstRow="0" w:lastRow="0" w:firstColumn="0" w:lastColumn="0" w:noHBand="0" w:noVBand="0" w:val="0000"/>
      </w:tblPr>
      <w:tblGrid>
        <w:gridCol w:w="7920"/>
      </w:tblGrid>
      <w:tr>
        <w:tc>
          <w:tcPr/>
          <w:bookmarkStart w:id="393" w:name="fig-saison-riz"/>
          <w:p>
            <w:pPr>
              <w:pStyle w:val="Compact"/>
              <w:jc w:val="center"/>
            </w:pPr>
            <w:r>
              <w:drawing>
                <wp:inline>
                  <wp:extent cx="5334000" cy="2667000"/>
                  <wp:effectExtent b="0" l="0" r="0" t="0"/>
                  <wp:docPr descr="" title="" id="391" name="Picture"/>
                  <a:graphic>
                    <a:graphicData uri="http://schemas.openxmlformats.org/drawingml/2006/picture">
                      <pic:pic>
                        <pic:nvPicPr>
                          <pic:cNvPr descr="05_agriculture_files/figure-docx/fig-saison-riz-1.png" id="392" name="Picture"/>
                          <pic:cNvPicPr>
                            <a:picLocks noChangeArrowheads="1" noChangeAspect="1"/>
                          </pic:cNvPicPr>
                        </pic:nvPicPr>
                        <pic:blipFill>
                          <a:blip r:embed="rId3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5.8: Saison de culture rizicole</w:t>
            </w:r>
          </w:p>
          <w:bookmarkEnd w:id="393"/>
        </w:tc>
      </w:tr>
    </w:tbl>
    <w:tbl>
      <w:tblPr>
        <w:tblStyle w:val="Table"/>
        <w:tblW w:type="pct" w:w="5000"/>
        <w:tblLayout w:type="fixed"/>
        <w:tblLook w:firstRow="0" w:lastRow="0" w:firstColumn="0" w:lastColumn="0" w:noHBand="0" w:noVBand="0" w:val="0000"/>
      </w:tblPr>
      <w:tblGrid>
        <w:gridCol w:w="7920"/>
      </w:tblGrid>
      <w:tr>
        <w:tc>
          <w:tcPr/>
          <w:bookmarkStart w:id="397" w:name="fig-origine-semence"/>
          <w:p>
            <w:pPr>
              <w:pStyle w:val="Compact"/>
              <w:jc w:val="center"/>
            </w:pPr>
            <w:r>
              <w:drawing>
                <wp:inline>
                  <wp:extent cx="5334000" cy="2667000"/>
                  <wp:effectExtent b="0" l="0" r="0" t="0"/>
                  <wp:docPr descr="" title="" id="395" name="Picture"/>
                  <a:graphic>
                    <a:graphicData uri="http://schemas.openxmlformats.org/drawingml/2006/picture">
                      <pic:pic>
                        <pic:nvPicPr>
                          <pic:cNvPr descr="05_agriculture_files/figure-docx/fig-origine-semence-1.png" id="396" name="Picture"/>
                          <pic:cNvPicPr>
                            <a:picLocks noChangeArrowheads="1" noChangeAspect="1"/>
                          </pic:cNvPicPr>
                        </pic:nvPicPr>
                        <pic:blipFill>
                          <a:blip r:embed="rId39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5.9: Origine des semences de riz</w:t>
            </w:r>
          </w:p>
          <w:bookmarkEnd w:id="397"/>
        </w:tc>
      </w:tr>
    </w:tbl>
    <w:bookmarkEnd w:id="398"/>
    <w:bookmarkStart w:id="408" w:name="ventes-de-riz"/>
    <w:p>
      <w:pPr>
        <w:pStyle w:val="Heading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BodyText"/>
      </w:pPr>
      <w:r>
        <w:t xml:space="preserve">Dans l’Alaotra, 41.7 % des ménages déclarent avoir vendu du riz au cours de la campagne.</w:t>
      </w:r>
    </w:p>
    <w:p>
      <w:pPr>
        <w:pStyle w:val="BodyText"/>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99"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99"/>
          <w:p/>
        </w:tc>
      </w:tr>
    </w:tbl>
    <w:tbl>
      <w:tblPr>
        <w:tblStyle w:val="Table"/>
        <w:tblW w:type="pct" w:w="5000"/>
        <w:tblLayout w:type="fixed"/>
        <w:tblLook w:firstRow="0" w:lastRow="0" w:firstColumn="0" w:lastColumn="0" w:noHBand="0" w:noVBand="0" w:val="0000"/>
      </w:tblPr>
      <w:tblGrid>
        <w:gridCol w:w="7920"/>
      </w:tblGrid>
      <w:tr>
        <w:tc>
          <w:tcPr/>
          <w:bookmarkStart w:id="403" w:name="fig-ventes-riz-mois"/>
          <w:p>
            <w:pPr>
              <w:pStyle w:val="Compact"/>
              <w:jc w:val="center"/>
            </w:pPr>
            <w:r>
              <w:drawing>
                <wp:inline>
                  <wp:extent cx="5334000" cy="2963333"/>
                  <wp:effectExtent b="0" l="0" r="0" t="0"/>
                  <wp:docPr descr="" title="" id="401" name="Picture"/>
                  <a:graphic>
                    <a:graphicData uri="http://schemas.openxmlformats.org/drawingml/2006/picture">
                      <pic:pic>
                        <pic:nvPicPr>
                          <pic:cNvPr descr="05_agriculture_files/figure-docx/fig-ventes-riz-mois-1.png" id="402" name="Picture"/>
                          <pic:cNvPicPr>
                            <a:picLocks noChangeArrowheads="1" noChangeAspect="1"/>
                          </pic:cNvPicPr>
                        </pic:nvPicPr>
                        <pic:blipFill>
                          <a:blip r:embed="rId40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5.10: Répartition mensuelle des ventes de riz</w:t>
            </w:r>
          </w:p>
          <w:bookmarkEnd w:id="403"/>
        </w:tc>
      </w:tr>
    </w:tbl>
    <w:tbl>
      <w:tblPr>
        <w:tblStyle w:val="Table"/>
        <w:tblW w:type="pct" w:w="5000"/>
        <w:tblLayout w:type="fixed"/>
        <w:tblLook w:firstRow="0" w:lastRow="0" w:firstColumn="0" w:lastColumn="0" w:noHBand="0" w:noVBand="0" w:val="0000"/>
      </w:tblPr>
      <w:tblGrid>
        <w:gridCol w:w="7920"/>
      </w:tblGrid>
      <w:tr>
        <w:tc>
          <w:tcPr/>
          <w:bookmarkStart w:id="407" w:name="fig-prix-paddy"/>
          <w:p>
            <w:pPr>
              <w:pStyle w:val="Compact"/>
              <w:jc w:val="center"/>
            </w:pPr>
            <w:r>
              <w:drawing>
                <wp:inline>
                  <wp:extent cx="5334000" cy="3333750"/>
                  <wp:effectExtent b="0" l="0" r="0" t="0"/>
                  <wp:docPr descr="" title="" id="405" name="Picture"/>
                  <a:graphic>
                    <a:graphicData uri="http://schemas.openxmlformats.org/drawingml/2006/picture">
                      <pic:pic>
                        <pic:nvPicPr>
                          <pic:cNvPr descr="05_agriculture_files/figure-docx/fig-prix-paddy-1.png" id="406" name="Picture"/>
                          <pic:cNvPicPr>
                            <a:picLocks noChangeArrowheads="1" noChangeAspect="1"/>
                          </pic:cNvPicPr>
                        </pic:nvPicPr>
                        <pic:blipFill>
                          <a:blip r:embed="rId4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5.11: Distribution du prix de vente du paddy (Ar/kg)</w:t>
            </w:r>
          </w:p>
          <w:bookmarkEnd w:id="407"/>
        </w:tc>
      </w:tr>
    </w:tbl>
    <w:bookmarkEnd w:id="408"/>
    <w:bookmarkStart w:id="410" w:name="bilan-rizicole-du-ménage"/>
    <w:p>
      <w:pPr>
        <w:pStyle w:val="Heading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409"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409"/>
          <w:p/>
        </w:tc>
      </w:tr>
    </w:tbl>
    <w:bookmarkEnd w:id="410"/>
    <w:bookmarkEnd w:id="411"/>
    <w:bookmarkStart w:id="430" w:name="sec-autres-cultures"/>
    <w:p>
      <w:pPr>
        <w:pStyle w:val="Heading3"/>
      </w:pPr>
      <w:r>
        <w:t xml:space="preserve">5.1.2 Autres cultures</w:t>
      </w:r>
    </w:p>
    <w:p>
      <w:pPr>
        <w:pStyle w:val="FirstParagraph"/>
      </w:pPr>
      <w:r>
        <w:t xml:space="preserve">La diversification culturale est un enjeu central pour la résilience alimentaire et économique des ménages.</w:t>
      </w:r>
    </w:p>
    <w:p>
      <w:pPr>
        <w:pStyle w:val="BodyText"/>
      </w:pPr>
      <w:r>
        <w:t xml:space="preserve">Dans l’Alaotra, au-delà du riz, 52 % des ménages pratiquent au moins une culture non rizicole.</w:t>
      </w:r>
    </w:p>
    <w:p>
      <w:pPr>
        <w:pStyle w:val="BodyText"/>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412"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412"/>
          <w:p/>
        </w:tc>
      </w:tr>
    </w:tbl>
    <w:bookmarkStart w:id="421" w:name="diversification-et-principales-cultures"/>
    <w:p>
      <w:pPr>
        <w:pStyle w:val="Heading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BodyText"/>
      </w:pPr>
      <w:r>
        <w:t xml:space="preserve">Dans l’Alaotra, les ménages cultivent un nombre médian de 1 cultures non rizicoles.</w:t>
      </w:r>
    </w:p>
    <w:p>
      <w:pPr>
        <w:pStyle w:val="BodyText"/>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416" w:name="fig-diversification"/>
          <w:p>
            <w:pPr>
              <w:pStyle w:val="Compact"/>
              <w:jc w:val="center"/>
            </w:pPr>
            <w:r>
              <w:drawing>
                <wp:inline>
                  <wp:extent cx="5334000" cy="3333750"/>
                  <wp:effectExtent b="0" l="0" r="0" t="0"/>
                  <wp:docPr descr="" title="" id="414" name="Picture"/>
                  <a:graphic>
                    <a:graphicData uri="http://schemas.openxmlformats.org/drawingml/2006/picture">
                      <pic:pic>
                        <pic:nvPicPr>
                          <pic:cNvPr descr="05_agriculture_files/figure-docx/fig-diversification-1.png" id="415" name="Picture"/>
                          <pic:cNvPicPr>
                            <a:picLocks noChangeArrowheads="1" noChangeAspect="1"/>
                          </pic:cNvPicPr>
                        </pic:nvPicPr>
                        <pic:blipFill>
                          <a:blip r:embed="rId41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5.12: Nombre de cultures non rizicoles par ménage</w:t>
            </w:r>
          </w:p>
          <w:bookmarkEnd w:id="416"/>
        </w:tc>
      </w:tr>
    </w:tbl>
    <w:tbl>
      <w:tblPr>
        <w:tblStyle w:val="Table"/>
        <w:tblW w:type="pct" w:w="5000"/>
        <w:tblLayout w:type="fixed"/>
        <w:tblLook w:firstRow="0" w:lastRow="0" w:firstColumn="0" w:lastColumn="0" w:noHBand="0" w:noVBand="0" w:val="0000"/>
      </w:tblPr>
      <w:tblGrid>
        <w:gridCol w:w="7920"/>
      </w:tblGrid>
      <w:tr>
        <w:tc>
          <w:tcPr/>
          <w:bookmarkStart w:id="420" w:name="fig-top-cultures"/>
          <w:p>
            <w:pPr>
              <w:pStyle w:val="Compact"/>
              <w:jc w:val="center"/>
            </w:pPr>
            <w:r>
              <w:drawing>
                <wp:inline>
                  <wp:extent cx="5334000" cy="3200400"/>
                  <wp:effectExtent b="0" l="0" r="0" t="0"/>
                  <wp:docPr descr="" title="" id="418" name="Picture"/>
                  <a:graphic>
                    <a:graphicData uri="http://schemas.openxmlformats.org/drawingml/2006/picture">
                      <pic:pic>
                        <pic:nvPicPr>
                          <pic:cNvPr descr="05_agriculture_files/figure-docx/fig-top-cultures-1.png" id="419" name="Picture"/>
                          <pic:cNvPicPr>
                            <a:picLocks noChangeArrowheads="1" noChangeAspect="1"/>
                          </pic:cNvPicPr>
                        </pic:nvPicPr>
                        <pic:blipFill>
                          <a:blip r:embed="rId41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5.13: Cultures non rizicoles les plus fréquentes (nb de ménages pratiquant)</w:t>
            </w:r>
          </w:p>
          <w:bookmarkEnd w:id="420"/>
        </w:tc>
      </w:tr>
    </w:tbl>
    <w:bookmarkEnd w:id="421"/>
    <w:bookmarkStart w:id="427" w:name="X39d1cfa685ef13e52c1c642965d3432706de56b"/>
    <w:p>
      <w:pPr>
        <w:pStyle w:val="Heading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425" w:name="fig-engrais-autres"/>
          <w:p>
            <w:pPr>
              <w:pStyle w:val="Compact"/>
              <w:jc w:val="center"/>
            </w:pPr>
            <w:r>
              <w:drawing>
                <wp:inline>
                  <wp:extent cx="5334000" cy="2667000"/>
                  <wp:effectExtent b="0" l="0" r="0" t="0"/>
                  <wp:docPr descr="" title="" id="423" name="Picture"/>
                  <a:graphic>
                    <a:graphicData uri="http://schemas.openxmlformats.org/drawingml/2006/picture">
                      <pic:pic>
                        <pic:nvPicPr>
                          <pic:cNvPr descr="05_agriculture_files/figure-docx/fig-engrais-autres-1.png" id="424" name="Picture"/>
                          <pic:cNvPicPr>
                            <a:picLocks noChangeArrowheads="1" noChangeAspect="1"/>
                          </pic:cNvPicPr>
                        </pic:nvPicPr>
                        <pic:blipFill>
                          <a:blip r:embed="rId42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5.14: Utilisation d’engrais sur les parcelles de cultures non rizicoles</w:t>
            </w:r>
          </w:p>
          <w:bookmarkEnd w:id="425"/>
        </w:tc>
      </w:tr>
    </w:tbl>
    <w:tbl>
      <w:tblPr>
        <w:tblStyle w:val="Table"/>
        <w:tblW w:type="pct" w:w="5000"/>
        <w:tblLayout w:type="fixed"/>
        <w:tblLook w:firstRow="0" w:lastRow="0" w:firstColumn="0" w:lastColumn="0" w:noHBand="0" w:noVBand="0" w:val="0000"/>
      </w:tblPr>
      <w:tblGrid>
        <w:gridCol w:w="7920"/>
      </w:tblGrid>
      <w:tr>
        <w:tc>
          <w:tcPr/>
          <w:bookmarkStart w:id="426"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426"/>
          <w:p/>
        </w:tc>
      </w:tr>
    </w:tbl>
    <w:bookmarkEnd w:id="427"/>
    <w:bookmarkStart w:id="429" w:name="perception-des-rendements"/>
    <w:p>
      <w:pPr>
        <w:pStyle w:val="Heading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428"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428"/>
          <w:p/>
        </w:tc>
      </w:tr>
    </w:tbl>
    <w:bookmarkEnd w:id="429"/>
    <w:bookmarkEnd w:id="430"/>
    <w:bookmarkStart w:id="436" w:name="sec-jardins"/>
    <w:p>
      <w:pPr>
        <w:pStyle w:val="Heading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431"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431"/>
          <w:p/>
        </w:tc>
      </w:tr>
    </w:tbl>
    <w:tbl>
      <w:tblPr>
        <w:tblStyle w:val="Table"/>
        <w:tblW w:type="pct" w:w="5000"/>
        <w:tblLayout w:type="fixed"/>
        <w:tblLook w:firstRow="0" w:lastRow="0" w:firstColumn="0" w:lastColumn="0" w:noHBand="0" w:noVBand="0" w:val="0000"/>
      </w:tblPr>
      <w:tblGrid>
        <w:gridCol w:w="7920"/>
      </w:tblGrid>
      <w:tr>
        <w:tc>
          <w:tcPr/>
          <w:bookmarkStart w:id="435" w:name="fig-top-jardin"/>
          <w:p>
            <w:pPr>
              <w:pStyle w:val="Compact"/>
              <w:jc w:val="center"/>
            </w:pPr>
            <w:r>
              <w:drawing>
                <wp:inline>
                  <wp:extent cx="5334000" cy="3200400"/>
                  <wp:effectExtent b="0" l="0" r="0" t="0"/>
                  <wp:docPr descr="" title="" id="433" name="Picture"/>
                  <a:graphic>
                    <a:graphicData uri="http://schemas.openxmlformats.org/drawingml/2006/picture">
                      <pic:pic>
                        <pic:nvPicPr>
                          <pic:cNvPr descr="05_agriculture_files/figure-docx/fig-top-jardin-1.png" id="434" name="Picture"/>
                          <pic:cNvPicPr>
                            <a:picLocks noChangeArrowheads="1" noChangeAspect="1"/>
                          </pic:cNvPicPr>
                        </pic:nvPicPr>
                        <pic:blipFill>
                          <a:blip r:embed="rId4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5.15: Produits de jardin / cueillette les plus fréquents</w:t>
            </w:r>
          </w:p>
          <w:bookmarkEnd w:id="435"/>
        </w:tc>
      </w:tr>
    </w:tbl>
    <w:bookmarkEnd w:id="436"/>
    <w:bookmarkStart w:id="441" w:name="sec-foret"/>
    <w:p>
      <w:pPr>
        <w:pStyle w:val="Heading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440" w:name="fig-produits-foret"/>
          <w:p>
            <w:pPr>
              <w:pStyle w:val="Compact"/>
              <w:jc w:val="center"/>
            </w:pPr>
            <w:r>
              <w:drawing>
                <wp:inline>
                  <wp:extent cx="5334000" cy="2963333"/>
                  <wp:effectExtent b="0" l="0" r="0" t="0"/>
                  <wp:docPr descr="" title="" id="438" name="Picture"/>
                  <a:graphic>
                    <a:graphicData uri="http://schemas.openxmlformats.org/drawingml/2006/picture">
                      <pic:pic>
                        <pic:nvPicPr>
                          <pic:cNvPr descr="05_agriculture_files/figure-docx/fig-produits-foret-1.png" id="439" name="Picture"/>
                          <pic:cNvPicPr>
                            <a:picLocks noChangeArrowheads="1" noChangeAspect="1"/>
                          </pic:cNvPicPr>
                        </pic:nvPicPr>
                        <pic:blipFill>
                          <a:blip r:embed="rId43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5.16: Principaux produits de l’exploitation forestière</w:t>
            </w:r>
          </w:p>
          <w:bookmarkEnd w:id="440"/>
        </w:tc>
      </w:tr>
    </w:tbl>
    <w:bookmarkEnd w:id="441"/>
    <w:bookmarkEnd w:id="442"/>
    <w:bookmarkStart w:id="463" w:name="sec-elevage"/>
    <w:p>
      <w:pPr>
        <w:pStyle w:val="Heading2"/>
      </w:pPr>
      <w:r>
        <w:t xml:space="preserve">5.2 Élevage</w:t>
      </w:r>
    </w:p>
    <w:bookmarkStart w:id="444" w:name="pratique-de-lélevage"/>
    <w:p>
      <w:pPr>
        <w:pStyle w:val="Heading3"/>
      </w:pPr>
      <w:r>
        <w:t xml:space="preserve">5.2.1 Pratique de l’élevage</w:t>
      </w:r>
    </w:p>
    <w:p>
      <w:pPr>
        <w:pStyle w:val="FirstParagraph"/>
      </w:pPr>
      <w:r>
        <w:t xml:space="preserve">L’élevage remplit des fonctions multiples : épargne sur pied, force de travail, autoconsommation et source de revenu.</w:t>
      </w:r>
    </w:p>
    <w:p>
      <w:pPr>
        <w:pStyle w:val="BodyText"/>
      </w:pPr>
      <w:r>
        <w:t xml:space="preserve">Dans l’Alaotra, L’élevage est pratiqué par 65.4 % des ménages.</w:t>
      </w:r>
    </w:p>
    <w:p>
      <w:pPr>
        <w:pStyle w:val="BodyText"/>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443"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443"/>
          <w:p/>
        </w:tc>
      </w:tr>
    </w:tbl>
    <w:bookmarkEnd w:id="444"/>
    <w:bookmarkStart w:id="449" w:name="espèces-élevées"/>
    <w:p>
      <w:pPr>
        <w:pStyle w:val="Heading3"/>
      </w:pPr>
      <w:r>
        <w:t xml:space="preserve">5.2.2 Espèces élevées</w:t>
      </w:r>
    </w:p>
    <w:p>
      <w:pPr>
        <w:pStyle w:val="FirstParagraph"/>
      </w:pPr>
      <w:r>
        <w:t xml:space="preserve">Le choix des espèces reflète les conditions agro-écologiques, les traditions locales et les opportunités de marché.</w:t>
      </w:r>
    </w:p>
    <w:p>
      <w:pPr>
        <w:pStyle w:val="BodyText"/>
      </w:pPr>
      <w:r>
        <w:t xml:space="preserve">Dans l’Alaotra, L’espèce la plus élevée est le Kisoa.</w:t>
      </w:r>
    </w:p>
    <w:p>
      <w:pPr>
        <w:pStyle w:val="BodyText"/>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448" w:name="fig-especes-elevage"/>
          <w:p>
            <w:pPr>
              <w:pStyle w:val="Compact"/>
              <w:jc w:val="center"/>
            </w:pPr>
            <w:r>
              <w:drawing>
                <wp:inline>
                  <wp:extent cx="5334000" cy="3200400"/>
                  <wp:effectExtent b="0" l="0" r="0" t="0"/>
                  <wp:docPr descr="" title="" id="446" name="Picture"/>
                  <a:graphic>
                    <a:graphicData uri="http://schemas.openxmlformats.org/drawingml/2006/picture">
                      <pic:pic>
                        <pic:nvPicPr>
                          <pic:cNvPr descr="05_agriculture_files/figure-docx/fig-especes-elevage-1.png" id="447" name="Picture"/>
                          <pic:cNvPicPr>
                            <a:picLocks noChangeArrowheads="1" noChangeAspect="1"/>
                          </pic:cNvPicPr>
                        </pic:nvPicPr>
                        <pic:blipFill>
                          <a:blip r:embed="rId44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5.17: Espèces élevées (nombre de ménages pratiquant)</w:t>
            </w:r>
          </w:p>
          <w:bookmarkEnd w:id="448"/>
        </w:tc>
      </w:tr>
    </w:tbl>
    <w:bookmarkEnd w:id="449"/>
    <w:bookmarkStart w:id="454" w:name="objectifs-de-lélevage"/>
    <w:p>
      <w:pPr>
        <w:pStyle w:val="Heading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453" w:name="fig-objectifs-elevage"/>
          <w:p>
            <w:pPr>
              <w:pStyle w:val="Compact"/>
              <w:jc w:val="center"/>
            </w:pPr>
            <w:r>
              <w:drawing>
                <wp:inline>
                  <wp:extent cx="5334000" cy="3200400"/>
                  <wp:effectExtent b="0" l="0" r="0" t="0"/>
                  <wp:docPr descr="" title="" id="451" name="Picture"/>
                  <a:graphic>
                    <a:graphicData uri="http://schemas.openxmlformats.org/drawingml/2006/picture">
                      <pic:pic>
                        <pic:nvPicPr>
                          <pic:cNvPr descr="05_agriculture_files/figure-docx/fig-objectifs-elevage-1.png" id="452" name="Picture"/>
                          <pic:cNvPicPr>
                            <a:picLocks noChangeArrowheads="1" noChangeAspect="1"/>
                          </pic:cNvPicPr>
                        </pic:nvPicPr>
                        <pic:blipFill>
                          <a:blip r:embed="rId45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5.18: Objectifs de l’élevage par espèce (% des ménages éleveurs)</w:t>
            </w:r>
          </w:p>
          <w:bookmarkEnd w:id="453"/>
        </w:tc>
      </w:tr>
    </w:tbl>
    <w:bookmarkEnd w:id="454"/>
    <w:bookmarkStart w:id="460" w:name="ventes-et-pertes-danimaux"/>
    <w:p>
      <w:pPr>
        <w:pStyle w:val="Heading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455"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455"/>
          <w:p/>
        </w:tc>
      </w:tr>
    </w:tbl>
    <w:tbl>
      <w:tblPr>
        <w:tblStyle w:val="Table"/>
        <w:tblW w:type="pct" w:w="5000"/>
        <w:tblLayout w:type="fixed"/>
        <w:tblLook w:firstRow="0" w:lastRow="0" w:firstColumn="0" w:lastColumn="0" w:noHBand="0" w:noVBand="0" w:val="0000"/>
      </w:tblPr>
      <w:tblGrid>
        <w:gridCol w:w="7920"/>
      </w:tblGrid>
      <w:tr>
        <w:tc>
          <w:tcPr/>
          <w:bookmarkStart w:id="459" w:name="fig-pertes-elevage"/>
          <w:p>
            <w:pPr>
              <w:pStyle w:val="Compact"/>
              <w:jc w:val="center"/>
            </w:pPr>
            <w:r>
              <w:drawing>
                <wp:inline>
                  <wp:extent cx="5334000" cy="2963333"/>
                  <wp:effectExtent b="0" l="0" r="0" t="0"/>
                  <wp:docPr descr="" title="" id="457" name="Picture"/>
                  <a:graphic>
                    <a:graphicData uri="http://schemas.openxmlformats.org/drawingml/2006/picture">
                      <pic:pic>
                        <pic:nvPicPr>
                          <pic:cNvPr descr="05_agriculture_files/figure-docx/fig-pertes-elevage-1.png" id="458" name="Picture"/>
                          <pic:cNvPicPr>
                            <a:picLocks noChangeArrowheads="1" noChangeAspect="1"/>
                          </pic:cNvPicPr>
                        </pic:nvPicPr>
                        <pic:blipFill>
                          <a:blip r:embed="rId456"/>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5.19: Ménages ayant subi des pertes de bétail</w:t>
            </w:r>
          </w:p>
          <w:bookmarkEnd w:id="459"/>
        </w:tc>
      </w:tr>
    </w:tbl>
    <w:bookmarkEnd w:id="460"/>
    <w:bookmarkStart w:id="462" w:name="produits-de-lélevage"/>
    <w:p>
      <w:pPr>
        <w:pStyle w:val="Heading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461" w:name="tbl-produits-elevage"/>
          <w:p>
            <w:pPr>
              <w:jc w:val="center"/>
            </w:pPr>
            <w:pPr>
              <w:jc w:val="left"/>
              <w:spacing w:before="200"/>
              <w:pStyle w:val="ImageCaption"/>
            </w:pPr>
            <w:r>
              <w:t xml:space="preserve">Table 5.12: Produits de l’élevage : nombre de ménages producteurs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Produits de l'élevage déclarés par les ménages</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Ronono</w:t>
                  </w:r>
                </w:p>
              </w:tc>
              <w:tc>
                <w:tcPr/>
                <w:p>
                  <w:pPr>
                    <w:pStyle w:val="Compact"/>
                    <w:jc w:val="right"/>
                    <w:jc w:val="center"/>
                  </w:pPr>
                  <w:r>
                    <w:t xml:space="preserve">103</w:t>
                  </w:r>
                </w:p>
              </w:tc>
              <w:tc>
                <w:tcPr/>
                <w:p>
                  <w:pPr>
                    <w:pStyle w:val="Compact"/>
                    <w:jc w:val="right"/>
                    <w:jc w:val="center"/>
                  </w:pPr>
                  <w:r>
                    <w:t xml:space="preserve">98</w:t>
                  </w:r>
                </w:p>
              </w:tc>
              <w:tc>
                <w:tcPr/>
                <w:p>
                  <w:pPr>
                    <w:pStyle w:val="Compact"/>
                    <w:jc w:val="right"/>
                    <w:jc w:val="center"/>
                  </w:pPr>
                  <w:r>
                    <w:t xml:space="preserve">201</w:t>
                  </w:r>
                </w:p>
              </w:tc>
            </w:tr>
            <w:tr>
              <w:tc>
                <w:tcPr/>
                <w:p>
                  <w:pPr>
                    <w:pStyle w:val="Compact"/>
                    <w:jc w:val="left"/>
                    <w:jc w:val="center"/>
                  </w:pPr>
                  <w:r>
                    <w:t xml:space="preserve">Atody</w:t>
                  </w:r>
                </w:p>
              </w:tc>
              <w:tc>
                <w:tcPr/>
                <w:p>
                  <w:pPr>
                    <w:pStyle w:val="Compact"/>
                    <w:jc w:val="right"/>
                    <w:jc w:val="center"/>
                  </w:pPr>
                  <w:r>
                    <w:t xml:space="preserve">95</w:t>
                  </w:r>
                </w:p>
              </w:tc>
              <w:tc>
                <w:tcPr/>
                <w:p>
                  <w:pPr>
                    <w:pStyle w:val="Compact"/>
                    <w:jc w:val="right"/>
                    <w:jc w:val="center"/>
                  </w:pPr>
                  <w:r>
                    <w:t xml:space="preserve">98</w:t>
                  </w:r>
                </w:p>
              </w:tc>
              <w:tc>
                <w:tcPr/>
                <w:p>
                  <w:pPr>
                    <w:pStyle w:val="Compact"/>
                    <w:jc w:val="right"/>
                    <w:jc w:val="center"/>
                  </w:pPr>
                  <w:r>
                    <w:t xml:space="preserve">193</w:t>
                  </w:r>
                </w:p>
              </w:tc>
            </w:tr>
            <w:tr>
              <w:tc>
                <w:tcPr/>
                <w:p>
                  <w:pPr>
                    <w:pStyle w:val="Compact"/>
                    <w:jc w:val="left"/>
                    <w:jc w:val="center"/>
                  </w:pPr>
                  <w:r>
                    <w:t xml:space="preserve">Yaourt/Habobo</w:t>
                  </w:r>
                </w:p>
              </w:tc>
              <w:tc>
                <w:tcPr/>
                <w:p>
                  <w:pPr>
                    <w:pStyle w:val="Compact"/>
                    <w:jc w:val="right"/>
                    <w:jc w:val="center"/>
                  </w:pPr>
                  <w:r>
                    <w:t xml:space="preserve">89</w:t>
                  </w:r>
                </w:p>
              </w:tc>
              <w:tc>
                <w:tcPr/>
                <w:p>
                  <w:pPr>
                    <w:pStyle w:val="Compact"/>
                    <w:jc w:val="right"/>
                    <w:jc w:val="center"/>
                  </w:pPr>
                  <w:r>
                    <w:t xml:space="preserve">93</w:t>
                  </w:r>
                </w:p>
              </w:tc>
              <w:tc>
                <w:tcPr/>
                <w:p>
                  <w:pPr>
                    <w:pStyle w:val="Compact"/>
                    <w:jc w:val="right"/>
                    <w:jc w:val="center"/>
                  </w:pPr>
                  <w:r>
                    <w:t xml:space="preserve">182</w:t>
                  </w:r>
                </w:p>
              </w:tc>
            </w:tr>
            <w:tr>
              <w:tc>
                <w:tcPr/>
                <w:p>
                  <w:pPr>
                    <w:pStyle w:val="Compact"/>
                    <w:jc w:val="left"/>
                    <w:jc w:val="center"/>
                  </w:pPr>
                  <w:r>
                    <w:t xml:space="preserve">Hena</w:t>
                  </w:r>
                </w:p>
              </w:tc>
              <w:tc>
                <w:tcPr/>
                <w:p>
                  <w:pPr>
                    <w:pStyle w:val="Compact"/>
                    <w:jc w:val="right"/>
                    <w:jc w:val="center"/>
                  </w:pPr>
                  <w:r>
                    <w:t xml:space="preserve">87</w:t>
                  </w:r>
                </w:p>
              </w:tc>
              <w:tc>
                <w:tcPr/>
                <w:p>
                  <w:pPr>
                    <w:pStyle w:val="Compact"/>
                    <w:jc w:val="right"/>
                    <w:jc w:val="center"/>
                  </w:pPr>
                  <w:r>
                    <w:t xml:space="preserve">88</w:t>
                  </w:r>
                </w:p>
              </w:tc>
              <w:tc>
                <w:tcPr/>
                <w:p>
                  <w:pPr>
                    <w:pStyle w:val="Compact"/>
                    <w:jc w:val="right"/>
                    <w:jc w:val="center"/>
                  </w:pPr>
                  <w:r>
                    <w:t xml:space="preserve">175</w:t>
                  </w:r>
                </w:p>
              </w:tc>
            </w:tr>
            <w:tr>
              <w:tc>
                <w:tcPr/>
                <w:p>
                  <w:pPr>
                    <w:pStyle w:val="Compact"/>
                    <w:jc w:val="left"/>
                    <w:jc w:val="center"/>
                  </w:pPr>
                  <w:r>
                    <w:t xml:space="preserve">Henan'ondry</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9</w:t>
                  </w:r>
                </w:p>
              </w:tc>
            </w:tr>
            <w:tr>
              <w:tc>
                <w:tcPr/>
                <w:p>
                  <w:pPr>
                    <w:pStyle w:val="Compact"/>
                    <w:jc w:val="left"/>
                    <w:jc w:val="center"/>
                  </w:pPr>
                  <w:r>
                    <w:t xml:space="preserve">Vorona</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Henan-Kisoa</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Trondro Nompian</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bl>
          <w:bookmarkEnd w:id="461"/>
          <w:p/>
        </w:tc>
      </w:tr>
    </w:tbl>
    <w:bookmarkEnd w:id="462"/>
    <w:bookmarkEnd w:id="463"/>
    <w:bookmarkStart w:id="482" w:name="sec-chasse-peche"/>
    <w:p>
      <w:pPr>
        <w:pStyle w:val="Heading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BodyText"/>
      </w:pPr>
      <w:r>
        <w:t xml:space="preserve">Dans l’Alaotra, Ces activités sont pratiquées par 18.3 % des ménages.</w:t>
      </w:r>
    </w:p>
    <w:p>
      <w:pPr>
        <w:pStyle w:val="BodyText"/>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464"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464"/>
          <w:p/>
        </w:tc>
      </w:tr>
    </w:tbl>
    <w:tbl>
      <w:tblPr>
        <w:tblStyle w:val="Table"/>
        <w:tblW w:type="pct" w:w="5000"/>
        <w:tblLayout w:type="fixed"/>
        <w:tblLook w:firstRow="0" w:lastRow="0" w:firstColumn="0" w:lastColumn="0" w:noHBand="0" w:noVBand="0" w:val="0000"/>
      </w:tblPr>
      <w:tblGrid>
        <w:gridCol w:w="7920"/>
      </w:tblGrid>
      <w:tr>
        <w:tc>
          <w:tcPr/>
          <w:bookmarkStart w:id="468" w:name="fig-chasse-especes"/>
          <w:p>
            <w:pPr>
              <w:pStyle w:val="Compact"/>
              <w:jc w:val="center"/>
            </w:pPr>
            <w:r>
              <w:drawing>
                <wp:inline>
                  <wp:extent cx="5334000" cy="3200400"/>
                  <wp:effectExtent b="0" l="0" r="0" t="0"/>
                  <wp:docPr descr="" title="" id="466" name="Picture"/>
                  <a:graphic>
                    <a:graphicData uri="http://schemas.openxmlformats.org/drawingml/2006/picture">
                      <pic:pic>
                        <pic:nvPicPr>
                          <pic:cNvPr descr="05_agriculture_files/figure-docx/fig-chasse-especes-1.png" id="467" name="Picture"/>
                          <pic:cNvPicPr>
                            <a:picLocks noChangeArrowheads="1" noChangeAspect="1"/>
                          </pic:cNvPicPr>
                        </pic:nvPicPr>
                        <pic:blipFill>
                          <a:blip r:embed="rId46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5.20: Principales espèces chassées/pêchées</w:t>
            </w:r>
          </w:p>
          <w:bookmarkEnd w:id="468"/>
        </w:tc>
      </w:tr>
    </w:tbl>
    <w:tbl>
      <w:tblPr>
        <w:tblStyle w:val="Table"/>
        <w:tblW w:type="pct" w:w="5000"/>
        <w:tblLayout w:type="fixed"/>
        <w:tblLook w:firstRow="0" w:lastRow="0" w:firstColumn="0" w:lastColumn="0" w:noHBand="0" w:noVBand="0" w:val="0000"/>
      </w:tblPr>
      <w:tblGrid>
        <w:gridCol w:w="7920"/>
      </w:tblGrid>
      <w:tr>
        <w:tc>
          <w:tcPr/>
          <w:bookmarkStart w:id="472" w:name="fig-chasse-raison"/>
          <w:p>
            <w:pPr>
              <w:pStyle w:val="Compact"/>
              <w:jc w:val="center"/>
            </w:pPr>
            <w:r>
              <w:drawing>
                <wp:inline>
                  <wp:extent cx="5334000" cy="3333750"/>
                  <wp:effectExtent b="0" l="0" r="0" t="0"/>
                  <wp:docPr descr="" title="" id="470" name="Picture"/>
                  <a:graphic>
                    <a:graphicData uri="http://schemas.openxmlformats.org/drawingml/2006/picture">
                      <pic:pic>
                        <pic:nvPicPr>
                          <pic:cNvPr descr="05_agriculture_files/figure-docx/fig-chasse-raison-1.png" id="471" name="Picture"/>
                          <pic:cNvPicPr>
                            <a:picLocks noChangeArrowheads="1" noChangeAspect="1"/>
                          </pic:cNvPicPr>
                        </pic:nvPicPr>
                        <pic:blipFill>
                          <a:blip r:embed="rId46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5.21: Raisons de la chasse/pêche par observatoire</w:t>
            </w:r>
          </w:p>
          <w:bookmarkEnd w:id="472"/>
        </w:tc>
      </w:tr>
    </w:tbl>
    <w:bookmarkStart w:id="481" w:name="fréquence-et-saisonnalité"/>
    <w:p>
      <w:pPr>
        <w:pStyle w:val="Heading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476" w:name="fig-frequence-peche"/>
          <w:p>
            <w:pPr>
              <w:pStyle w:val="Compact"/>
              <w:jc w:val="center"/>
            </w:pPr>
            <w:r>
              <w:drawing>
                <wp:inline>
                  <wp:extent cx="5334000" cy="2963333"/>
                  <wp:effectExtent b="0" l="0" r="0" t="0"/>
                  <wp:docPr descr="" title="" id="474" name="Picture"/>
                  <a:graphic>
                    <a:graphicData uri="http://schemas.openxmlformats.org/drawingml/2006/picture">
                      <pic:pic>
                        <pic:nvPicPr>
                          <pic:cNvPr descr="05_agriculture_files/figure-docx/fig-frequence-peche-1.png" id="475" name="Picture"/>
                          <pic:cNvPicPr>
                            <a:picLocks noChangeArrowheads="1" noChangeAspect="1"/>
                          </pic:cNvPicPr>
                        </pic:nvPicPr>
                        <pic:blipFill>
                          <a:blip r:embed="rId47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5.22: Fréquence de la chasse/pêche</w:t>
            </w:r>
          </w:p>
          <w:bookmarkEnd w:id="476"/>
        </w:tc>
      </w:tr>
    </w:tbl>
    <w:tbl>
      <w:tblPr>
        <w:tblStyle w:val="Table"/>
        <w:tblW w:type="pct" w:w="5000"/>
        <w:tblLayout w:type="fixed"/>
        <w:tblLook w:firstRow="0" w:lastRow="0" w:firstColumn="0" w:lastColumn="0" w:noHBand="0" w:noVBand="0" w:val="0000"/>
      </w:tblPr>
      <w:tblGrid>
        <w:gridCol w:w="7920"/>
      </w:tblGrid>
      <w:tr>
        <w:tc>
          <w:tcPr/>
          <w:bookmarkStart w:id="480" w:name="fig-saisonnalite-peche"/>
          <w:p>
            <w:pPr>
              <w:pStyle w:val="Compact"/>
              <w:jc w:val="center"/>
            </w:pPr>
            <w:r>
              <w:drawing>
                <wp:inline>
                  <wp:extent cx="5334000" cy="2667000"/>
                  <wp:effectExtent b="0" l="0" r="0" t="0"/>
                  <wp:docPr descr="" title="" id="478" name="Picture"/>
                  <a:graphic>
                    <a:graphicData uri="http://schemas.openxmlformats.org/drawingml/2006/picture">
                      <pic:pic>
                        <pic:nvPicPr>
                          <pic:cNvPr descr="05_agriculture_files/figure-docx/fig-saisonnalite-peche-1.png" id="479" name="Picture"/>
                          <pic:cNvPicPr>
                            <a:picLocks noChangeArrowheads="1" noChangeAspect="1"/>
                          </pic:cNvPicPr>
                        </pic:nvPicPr>
                        <pic:blipFill>
                          <a:blip r:embed="rId47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5.23: Saisonnalité de la chasse/pêche (% de mentions par mois)</w:t>
            </w:r>
          </w:p>
          <w:bookmarkEnd w:id="480"/>
        </w:tc>
      </w:tr>
    </w:tbl>
    <w:bookmarkEnd w:id="481"/>
    <w:bookmarkEnd w:id="482"/>
    <w:bookmarkStart w:id="495" w:name="sec-main-oeuvre"/>
    <w:p>
      <w:pPr>
        <w:pStyle w:val="Heading2"/>
      </w:pPr>
      <w:r>
        <w:t xml:space="preserve">5.4 Main d’oeuvre agricole</w:t>
      </w:r>
    </w:p>
    <w:bookmarkStart w:id="484" w:name="emploi-de-main-doeuvre"/>
    <w:p>
      <w:pPr>
        <w:pStyle w:val="Heading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BodyText"/>
      </w:pPr>
      <w:r>
        <w:t xml:space="preserve">Dans l’Alaotra, Le recours à la main d’œuvre extérieure (salariée ou par entraide) concerne 46.8 % des ménages.</w:t>
      </w:r>
    </w:p>
    <w:p>
      <w:pPr>
        <w:pStyle w:val="BodyText"/>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483"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483"/>
          <w:p/>
        </w:tc>
      </w:tr>
    </w:tbl>
    <w:bookmarkEnd w:id="484"/>
    <w:bookmarkStart w:id="486" w:name="Xebc72c385258cc8096a393c9cba435b9f045e2a"/>
    <w:p>
      <w:pPr>
        <w:pStyle w:val="Heading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485"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485"/>
          <w:p/>
        </w:tc>
      </w:tr>
    </w:tbl>
    <w:bookmarkEnd w:id="486"/>
    <w:bookmarkStart w:id="488" w:name="main-doeuvre-permanente"/>
    <w:p>
      <w:pPr>
        <w:pStyle w:val="Heading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487"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487"/>
          <w:p/>
        </w:tc>
      </w:tr>
    </w:tbl>
    <w:bookmarkEnd w:id="488"/>
    <w:bookmarkStart w:id="494" w:name="Xb70e75093827b2d42e129c8e92fb16121bf4c51"/>
    <w:p>
      <w:pPr>
        <w:pStyle w:val="Heading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492" w:name="fig-cultures-quintile"/>
          <w:p>
            <w:pPr>
              <w:pStyle w:val="Compact"/>
              <w:jc w:val="center"/>
            </w:pPr>
            <w:r>
              <w:drawing>
                <wp:inline>
                  <wp:extent cx="5334000" cy="3200400"/>
                  <wp:effectExtent b="0" l="0" r="0" t="0"/>
                  <wp:docPr descr="" title="" id="490" name="Picture"/>
                  <a:graphic>
                    <a:graphicData uri="http://schemas.openxmlformats.org/drawingml/2006/picture">
                      <pic:pic>
                        <pic:nvPicPr>
                          <pic:cNvPr descr="05_agriculture_files/figure-docx/fig-cultures-quintile-1.png" id="491" name="Picture"/>
                          <pic:cNvPicPr>
                            <a:picLocks noChangeArrowheads="1" noChangeAspect="1"/>
                          </pic:cNvPicPr>
                        </pic:nvPicPr>
                        <pic:blipFill>
                          <a:blip r:embed="rId48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5.24: Familles de cultures non rizicoles pratiquées selon le quintile de revenu</w:t>
            </w:r>
          </w:p>
          <w:bookmarkEnd w:id="492"/>
        </w:tc>
      </w:tr>
    </w:tbl>
    <w:tbl>
      <w:tblPr>
        <w:tblStyle w:val="Table"/>
        <w:tblW w:type="pct" w:w="5000"/>
        <w:tblLayout w:type="fixed"/>
        <w:tblLook w:firstRow="0" w:lastRow="0" w:firstColumn="0" w:lastColumn="0" w:noHBand="0" w:noVBand="0" w:val="0000"/>
      </w:tblPr>
      <w:tblGrid>
        <w:gridCol w:w="7920"/>
      </w:tblGrid>
      <w:tr>
        <w:tc>
          <w:tcPr/>
          <w:bookmarkStart w:id="493"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493"/>
          <w:p/>
        </w:tc>
      </w:tr>
    </w:tbl>
    <w:bookmarkEnd w:id="494"/>
    <w:bookmarkEnd w:id="495"/>
    <w:bookmarkStart w:id="505" w:name="sec-agro-multiyear"/>
    <w:p>
      <w:pPr>
        <w:pStyle w:val="Heading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aptionedFigure"/>
      </w:pPr>
      <w:r>
        <w:drawing>
          <wp:inline>
            <wp:extent cx="5334000" cy="2963333"/>
            <wp:effectExtent b="0" l="0" r="0" t="0"/>
            <wp:docPr descr="Évolution de la production rizicole moyenne par ménage (kg/ménage/an)" title="" id="497" name="Picture"/>
            <a:graphic>
              <a:graphicData uri="http://schemas.openxmlformats.org/drawingml/2006/picture">
                <pic:pic>
                  <pic:nvPicPr>
                    <pic:cNvPr descr="05_agriculture_files/figure-docx/fig_agro_prod_riz-1.png" id="498" name="Picture"/>
                    <pic:cNvPicPr>
                      <a:picLocks noChangeArrowheads="1" noChangeAspect="1"/>
                    </pic:cNvPicPr>
                  </pic:nvPicPr>
                  <pic:blipFill>
                    <a:blip r:embed="rId49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aptionedFigure"/>
      </w:pPr>
      <w:r>
        <w:drawing>
          <wp:inline>
            <wp:extent cx="5334000" cy="2963333"/>
            <wp:effectExtent b="0" l="0" r="0" t="0"/>
            <wp:docPr descr="Évolution du rendement rizicole moyen (kg/are) — années avec données de surface" title="" id="500" name="Picture"/>
            <a:graphic>
              <a:graphicData uri="http://schemas.openxmlformats.org/drawingml/2006/picture">
                <pic:pic>
                  <pic:nvPicPr>
                    <pic:cNvPr descr="05_agriculture_files/figure-docx/fig_agro_rdt_riz-1.png" id="501" name="Picture"/>
                    <pic:cNvPicPr>
                      <a:picLocks noChangeArrowheads="1" noChangeAspect="1"/>
                    </pic:cNvPicPr>
                  </pic:nvPicPr>
                  <pic:blipFill>
                    <a:blip r:embed="rId49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aptionedFigure"/>
      </w:pPr>
      <w:r>
        <w:drawing>
          <wp:inline>
            <wp:extent cx="5334000" cy="2963333"/>
            <wp:effectExtent b="0" l="0" r="0" t="0"/>
            <wp:docPr descr="Évolution du taux de pratique de l’élevage (1998–2025)" title="" id="503" name="Picture"/>
            <a:graphic>
              <a:graphicData uri="http://schemas.openxmlformats.org/drawingml/2006/picture">
                <pic:pic>
                  <pic:nvPicPr>
                    <pic:cNvPr descr="05_agriculture_files/figure-docx/fig_agro_elevage-1.png" id="504" name="Picture"/>
                    <pic:cNvPicPr>
                      <a:picLocks noChangeArrowheads="1" noChangeAspect="1"/>
                    </pic:cNvPicPr>
                  </pic:nvPicPr>
                  <pic:blipFill>
                    <a:blip r:embed="rId50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BodyText"/>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505"/>
    <w:bookmarkStart w:id="506" w:name="sec-pistes-agro"/>
    <w:p>
      <w:pPr>
        <w:pStyle w:val="Heading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5"/>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5"/>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5"/>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5"/>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5"/>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506"/>
    <w:bookmarkEnd w:id="507"/>
    <w:bookmarkStart w:id="557" w:name="sécurité-alimentaire"/>
    <w:p>
      <w:pPr>
        <w:pStyle w:val="Heading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C:\Users\fbede\AppData\Local\Programs\Quarto\share\formats\docx\warning.png" id="50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536" w:name="disponibilité-alimentaire"/>
    <w:p>
      <w:pPr>
        <w:pStyle w:val="Heading2"/>
      </w:pPr>
      <w:r>
        <w:t xml:space="preserve">6.1 Disponibilité alimentaire</w:t>
      </w:r>
    </w:p>
    <w:p>
      <w:pPr>
        <w:pStyle w:val="FirstParagraph"/>
      </w:pPr>
      <w:r>
        <w:t xml:space="preserve">La sécurité alimentaire des ménages ruraux est étroitement liée au calendrier agricole et à la gestion des stocks.</w:t>
      </w:r>
    </w:p>
    <w:p>
      <w:pPr>
        <w:pStyle w:val="BodyText"/>
      </w:pPr>
      <w:r>
        <w:t xml:space="preserve">Dans l’Alaotra, 100 % des ménages déclarent au moins un mois de soudure.</w:t>
      </w:r>
    </w:p>
    <w:p>
      <w:pPr>
        <w:pStyle w:val="BodyText"/>
      </w:pPr>
      <w:r>
        <w:t xml:space="preserve">A Marovoay, 97.3 % des ménages déclarent au moins un mois de soudure.</w:t>
      </w:r>
    </w:p>
    <w:bookmarkStart w:id="520" w:name="période-de-soudure"/>
    <w:p>
      <w:pPr>
        <w:pStyle w:val="Heading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BodyText"/>
      </w:pPr>
      <w:r>
        <w:t xml:space="preserve">Dans l’Alaotra, La soudure dure en moyenne 3.8 mois (médiane : 3).</w:t>
      </w:r>
    </w:p>
    <w:p>
      <w:pPr>
        <w:pStyle w:val="BodyText"/>
      </w:pPr>
      <w:r>
        <w:t xml:space="preserve">A Marovoay, La soudure dure en moyenne 2.2 mois (médiane : 2).</w:t>
      </w:r>
    </w:p>
    <w:bookmarkStart w:id="510" w:name="durée-de-la-soudure-par-observatoire"/>
    <w:p>
      <w:pPr>
        <w:pStyle w:val="Heading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510"/>
    <w:bookmarkStart w:id="511" w:name="X7672ed32ab511b42dc575aff782f6587708610f"/>
    <w:p>
      <w:pPr>
        <w:pStyle w:val="Heading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1.9</w:t>
            </w:r>
          </w:p>
        </w:tc>
      </w:tr>
      <w:tr>
        <w:tc>
          <w:tcPr/>
          <w:p>
            <w:pPr>
              <w:pStyle w:val="Compact"/>
              <w:jc w:val="left"/>
            </w:pPr>
            <w:r>
              <w:t xml:space="preserve">Bepako</w:t>
            </w:r>
          </w:p>
        </w:tc>
        <w:tc>
          <w:tcPr/>
          <w:p>
            <w:pPr>
              <w:pStyle w:val="Compact"/>
              <w:jc w:val="right"/>
            </w:pPr>
            <w:r>
              <w:t xml:space="preserve">1.9</w:t>
            </w:r>
          </w:p>
        </w:tc>
      </w:tr>
      <w:tr>
        <w:tc>
          <w:tcPr/>
          <w:p>
            <w:pPr>
              <w:pStyle w:val="Compact"/>
              <w:jc w:val="left"/>
            </w:pPr>
            <w:r>
              <w:t xml:space="preserve">Madiromiongana</w:t>
            </w:r>
          </w:p>
        </w:tc>
        <w:tc>
          <w:tcPr/>
          <w:p>
            <w:pPr>
              <w:pStyle w:val="Compact"/>
              <w:jc w:val="right"/>
            </w:pPr>
            <w:r>
              <w:t xml:space="preserve">2.8</w:t>
            </w:r>
          </w:p>
        </w:tc>
      </w:tr>
      <w:tr>
        <w:tc>
          <w:tcPr/>
          <w:p>
            <w:pPr>
              <w:pStyle w:val="Compact"/>
              <w:jc w:val="left"/>
            </w:pPr>
            <w:r>
              <w:t xml:space="preserve">Maroala</w:t>
            </w:r>
          </w:p>
        </w:tc>
        <w:tc>
          <w:tcPr/>
          <w:p>
            <w:pPr>
              <w:pStyle w:val="Compact"/>
              <w:jc w:val="right"/>
            </w:pPr>
            <w:r>
              <w:t xml:space="preserve">2.2</w:t>
            </w:r>
          </w:p>
        </w:tc>
      </w:tr>
      <w:tr>
        <w:tc>
          <w:tcPr/>
          <w:p>
            <w:pPr>
              <w:pStyle w:val="Compact"/>
              <w:jc w:val="left"/>
            </w:pPr>
            <w:r>
              <w:t xml:space="preserve">Ensemble</w:t>
            </w:r>
          </w:p>
        </w:tc>
        <w:tc>
          <w:tcPr/>
          <w:p>
            <w:pPr>
              <w:pStyle w:val="Compact"/>
              <w:jc w:val="right"/>
            </w:pPr>
            <w:r>
              <w:t xml:space="preserve">2.2</w:t>
            </w:r>
          </w:p>
        </w:tc>
      </w:tr>
    </w:tbl>
    <w:bookmarkEnd w:id="511"/>
    <w:bookmarkStart w:id="515" w:name="X95464c5386b49ecd39248ef20943633679142d7"/>
    <w:p>
      <w:pPr>
        <w:pStyle w:val="Heading4"/>
      </w:pPr>
      <w:r>
        <w:t xml:space="preserve">6.1.1.3 Distribution du nombre de mois de soudure</w:t>
      </w:r>
    </w:p>
    <w:p>
      <w:pPr>
        <w:pStyle w:val="FirstParagraph"/>
      </w:pPr>
      <w:r>
        <w:drawing>
          <wp:inline>
            <wp:extent cx="4620126" cy="3696101"/>
            <wp:effectExtent b="0" l="0" r="0" t="0"/>
            <wp:docPr descr="" title="" id="513" name="Picture"/>
            <a:graphic>
              <a:graphicData uri="http://schemas.openxmlformats.org/drawingml/2006/picture">
                <pic:pic>
                  <pic:nvPicPr>
                    <pic:cNvPr descr="06_securite_alimentaire_files/figure-docx/g1_soudure_distrib-1.png" id="514" name="Picture"/>
                    <pic:cNvPicPr>
                      <a:picLocks noChangeArrowheads="1" noChangeAspect="1"/>
                    </pic:cNvPicPr>
                  </pic:nvPicPr>
                  <pic:blipFill>
                    <a:blip r:embed="rId512"/>
                    <a:stretch>
                      <a:fillRect/>
                    </a:stretch>
                  </pic:blipFill>
                  <pic:spPr bwMode="auto">
                    <a:xfrm>
                      <a:off x="0" y="0"/>
                      <a:ext cx="4620126" cy="3696101"/>
                    </a:xfrm>
                    <a:prstGeom prst="rect">
                      <a:avLst/>
                    </a:prstGeom>
                    <a:noFill/>
                    <a:ln w="9525">
                      <a:noFill/>
                      <a:headEnd/>
                      <a:tailEnd/>
                    </a:ln>
                  </pic:spPr>
                </pic:pic>
              </a:graphicData>
            </a:graphic>
          </wp:inline>
        </w:drawing>
      </w:r>
    </w:p>
    <w:bookmarkEnd w:id="515"/>
    <w:bookmarkStart w:id="519" w:name="calendrier-de-la-soudure"/>
    <w:p>
      <w:pPr>
        <w:pStyle w:val="Heading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BodyText"/>
      </w:pPr>
      <w:r>
        <w:drawing>
          <wp:inline>
            <wp:extent cx="4620126" cy="3696101"/>
            <wp:effectExtent b="0" l="0" r="0" t="0"/>
            <wp:docPr descr="" title="" id="517" name="Picture"/>
            <a:graphic>
              <a:graphicData uri="http://schemas.openxmlformats.org/drawingml/2006/picture">
                <pic:pic>
                  <pic:nvPicPr>
                    <pic:cNvPr descr="06_securite_alimentaire_files/figure-docx/g2_calendrier_soudure-1.png" id="518" name="Picture"/>
                    <pic:cNvPicPr>
                      <a:picLocks noChangeArrowheads="1" noChangeAspect="1"/>
                    </pic:cNvPicPr>
                  </pic:nvPicPr>
                  <pic:blipFill>
                    <a:blip r:embed="rId516"/>
                    <a:stretch>
                      <a:fillRect/>
                    </a:stretch>
                  </pic:blipFill>
                  <pic:spPr bwMode="auto">
                    <a:xfrm>
                      <a:off x="0" y="0"/>
                      <a:ext cx="4620126" cy="3696101"/>
                    </a:xfrm>
                    <a:prstGeom prst="rect">
                      <a:avLst/>
                    </a:prstGeom>
                    <a:noFill/>
                    <a:ln w="9525">
                      <a:noFill/>
                      <a:headEnd/>
                      <a:tailEnd/>
                    </a:ln>
                  </pic:spPr>
                </pic:pic>
              </a:graphicData>
            </a:graphic>
          </wp:inline>
        </w:drawing>
      </w:r>
    </w:p>
    <w:bookmarkEnd w:id="519"/>
    <w:bookmarkEnd w:id="520"/>
    <w:bookmarkStart w:id="527" w:name="stress-alimentaire"/>
    <w:p>
      <w:pPr>
        <w:pStyle w:val="Heading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BodyText"/>
      </w:pPr>
      <w:r>
        <w:t xml:space="preserve">Dans l’Alaotra, La durée moyenne du stress alimentaire atteint 2.5 mois.</w:t>
      </w:r>
    </w:p>
    <w:p>
      <w:pPr>
        <w:pStyle w:val="BodyText"/>
      </w:pPr>
      <w:r>
        <w:t xml:space="preserve">A Marovoay, La durée moyenne du stress alimentaire atteint 3.3 mois.</w:t>
      </w:r>
    </w:p>
    <w:bookmarkStart w:id="521" w:name="X9a463c72b8245f9704bb79ecb2abc3d188eed1f"/>
    <w:p>
      <w:pPr>
        <w:pStyle w:val="Heading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521"/>
    <w:bookmarkStart w:id="522" w:name="calendrier-du-stress-alimentaire"/>
    <w:p>
      <w:pPr>
        <w:pStyle w:val="Heading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522"/>
    <w:bookmarkStart w:id="526" w:name="Xccf58b071d79cc51e6dccc31b240904335e5845"/>
    <w:p>
      <w:pPr>
        <w:pStyle w:val="Heading4"/>
      </w:pPr>
      <w:r>
        <w:t xml:space="preserve">6.1.2.3 Comparaison soudure et stress alimentaire</w:t>
      </w:r>
    </w:p>
    <w:p>
      <w:pPr>
        <w:pStyle w:val="FirstParagraph"/>
      </w:pPr>
      <w:r>
        <w:drawing>
          <wp:inline>
            <wp:extent cx="4620126" cy="3696101"/>
            <wp:effectExtent b="0" l="0" r="0" t="0"/>
            <wp:docPr descr="" title="" id="524" name="Picture"/>
            <a:graphic>
              <a:graphicData uri="http://schemas.openxmlformats.org/drawingml/2006/picture">
                <pic:pic>
                  <pic:nvPicPr>
                    <pic:cNvPr descr="06_securite_alimentaire_files/figure-docx/g3_soudure_vs_stress-1.png" id="525" name="Picture"/>
                    <pic:cNvPicPr>
                      <a:picLocks noChangeArrowheads="1" noChangeAspect="1"/>
                    </pic:cNvPicPr>
                  </pic:nvPicPr>
                  <pic:blipFill>
                    <a:blip r:embed="rId523"/>
                    <a:stretch>
                      <a:fillRect/>
                    </a:stretch>
                  </pic:blipFill>
                  <pic:spPr bwMode="auto">
                    <a:xfrm>
                      <a:off x="0" y="0"/>
                      <a:ext cx="4620126" cy="3696101"/>
                    </a:xfrm>
                    <a:prstGeom prst="rect">
                      <a:avLst/>
                    </a:prstGeom>
                    <a:noFill/>
                    <a:ln w="9525">
                      <a:noFill/>
                      <a:headEnd/>
                      <a:tailEnd/>
                    </a:ln>
                  </pic:spPr>
                </pic:pic>
              </a:graphicData>
            </a:graphic>
          </wp:inline>
        </w:drawing>
      </w:r>
    </w:p>
    <w:bookmarkEnd w:id="526"/>
    <w:bookmarkEnd w:id="527"/>
    <w:bookmarkStart w:id="535" w:name="alimentation-de-base"/>
    <w:p>
      <w:pPr>
        <w:pStyle w:val="Heading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528" w:name="alimentation-hors-soudure"/>
    <w:p>
      <w:pPr>
        <w:pStyle w:val="Heading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528"/>
    <w:bookmarkStart w:id="529" w:name="alimentation-pendant-la-soudure"/>
    <w:p>
      <w:pPr>
        <w:pStyle w:val="Heading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529"/>
    <w:bookmarkStart w:id="533" w:name="X72a9965c0dbad0a4072f515989797b1356a2468"/>
    <w:p>
      <w:pPr>
        <w:pStyle w:val="Heading4"/>
      </w:pPr>
      <w:r>
        <w:t xml:space="preserve">6.1.3.3 Comparaison de l’alimentation au déjeuner : hors vs pendant soudure</w:t>
      </w:r>
    </w:p>
    <w:p>
      <w:pPr>
        <w:pStyle w:val="FirstParagraph"/>
      </w:pPr>
      <w:r>
        <w:drawing>
          <wp:inline>
            <wp:extent cx="4620126" cy="3696101"/>
            <wp:effectExtent b="0" l="0" r="0" t="0"/>
            <wp:docPr descr="" title="" id="531" name="Picture"/>
            <a:graphic>
              <a:graphicData uri="http://schemas.openxmlformats.org/drawingml/2006/picture">
                <pic:pic>
                  <pic:nvPicPr>
                    <pic:cNvPr descr="06_securite_alimentaire_files/figure-docx/g4_comparaison_dejeuner-1.png" id="532" name="Picture"/>
                    <pic:cNvPicPr>
                      <a:picLocks noChangeArrowheads="1" noChangeAspect="1"/>
                    </pic:cNvPicPr>
                  </pic:nvPicPr>
                  <pic:blipFill>
                    <a:blip r:embed="rId530"/>
                    <a:stretch>
                      <a:fillRect/>
                    </a:stretch>
                  </pic:blipFill>
                  <pic:spPr bwMode="auto">
                    <a:xfrm>
                      <a:off x="0" y="0"/>
                      <a:ext cx="4620126" cy="3696101"/>
                    </a:xfrm>
                    <a:prstGeom prst="rect">
                      <a:avLst/>
                    </a:prstGeom>
                    <a:noFill/>
                    <a:ln w="9525">
                      <a:noFill/>
                      <a:headEnd/>
                      <a:tailEnd/>
                    </a:ln>
                  </pic:spPr>
                </pic:pic>
              </a:graphicData>
            </a:graphic>
          </wp:inline>
        </w:drawing>
      </w:r>
    </w:p>
    <w:bookmarkEnd w:id="533"/>
    <w:bookmarkStart w:id="534" w:name="Xac9b27d1fa2958ed638b7f1d3389e7618eba676"/>
    <w:p>
      <w:pPr>
        <w:pStyle w:val="Heading4"/>
      </w:pPr>
      <w:r>
        <w:t xml:space="preserve">6.1.3.4 Changement d’aliment de base au déjeuner entre hors et pendant soudure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Changement d'aliment de base au déjeuner</w:t>
            </w:r>
          </w:p>
        </w:tc>
      </w:tr>
      <w:tr>
        <w:trPr>
          <w:tblHeader w:val="on"/>
        </w:trPr>
        <w:tc>
          <w:tcPr>
            <w:gridSpan w:val="4"/>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Effectif</w:t>
            </w:r>
          </w:p>
        </w:tc>
        <w:tc>
          <w:tcPr/>
          <w:p>
            <w:pPr>
              <w:pStyle w:val="Compact"/>
              <w:jc w:val="right"/>
            </w:pPr>
            <w:r>
              <w:t xml:space="preserve">%</w:t>
            </w:r>
          </w:p>
        </w:tc>
      </w:tr>
      <w:tr>
        <w:tc>
          <w:tcPr>
            <w:gridSpan w:val="4"/>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259</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116</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76</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18</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6</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5</w:t>
            </w:r>
          </w:p>
        </w:tc>
        <w:tc>
          <w:tcPr/>
          <w:p>
            <w:pPr>
              <w:pStyle w:val="Compact"/>
              <w:jc w:val="right"/>
            </w:pPr>
            <w:r>
              <w:t xml:space="preserve">1.0</w:t>
            </w:r>
          </w:p>
        </w:tc>
      </w:tr>
      <w:tr>
        <w:tc>
          <w:tcPr>
            <w:gridSpan w:val="4"/>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305</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91</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49</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11</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8</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5</w:t>
            </w:r>
          </w:p>
        </w:tc>
        <w:tc>
          <w:tcPr/>
          <w:p>
            <w:pPr>
              <w:pStyle w:val="Compact"/>
              <w:jc w:val="right"/>
            </w:pPr>
            <w:r>
              <w:t xml:space="preserve">1.0</w:t>
            </w:r>
          </w:p>
        </w:tc>
      </w:tr>
    </w:tbl>
    <w:bookmarkEnd w:id="534"/>
    <w:bookmarkEnd w:id="535"/>
    <w:bookmarkEnd w:id="536"/>
    <w:bookmarkStart w:id="545" w:name="stratégies-de-sécurité-alimentaire"/>
    <w:p>
      <w:pPr>
        <w:pStyle w:val="Heading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540" w:name="fréquence-des-stratégies-dadaptation"/>
    <w:p>
      <w:pPr>
        <w:pStyle w:val="Heading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bl>
    <w:p>
      <w:pPr>
        <w:pStyle w:val="BodyText"/>
      </w:pPr>
      <w:r>
        <w:drawing>
          <wp:inline>
            <wp:extent cx="4620126" cy="3696101"/>
            <wp:effectExtent b="0" l="0" r="0" t="0"/>
            <wp:docPr descr="" title="" id="538" name="Picture"/>
            <a:graphic>
              <a:graphicData uri="http://schemas.openxmlformats.org/drawingml/2006/picture">
                <pic:pic>
                  <pic:nvPicPr>
                    <pic:cNvPr descr="06_securite_alimentaire_files/figure-docx/g5_strategies_likert-1.png" id="539" name="Picture"/>
                    <pic:cNvPicPr>
                      <a:picLocks noChangeArrowheads="1" noChangeAspect="1"/>
                    </pic:cNvPicPr>
                  </pic:nvPicPr>
                  <pic:blipFill>
                    <a:blip r:embed="rId537"/>
                    <a:stretch>
                      <a:fillRect/>
                    </a:stretch>
                  </pic:blipFill>
                  <pic:spPr bwMode="auto">
                    <a:xfrm>
                      <a:off x="0" y="0"/>
                      <a:ext cx="4620126" cy="3696101"/>
                    </a:xfrm>
                    <a:prstGeom prst="rect">
                      <a:avLst/>
                    </a:prstGeom>
                    <a:noFill/>
                    <a:ln w="9525">
                      <a:noFill/>
                      <a:headEnd/>
                      <a:tailEnd/>
                    </a:ln>
                  </pic:spPr>
                </pic:pic>
              </a:graphicData>
            </a:graphic>
          </wp:inline>
        </w:drawing>
      </w:r>
    </w:p>
    <w:bookmarkEnd w:id="540"/>
    <w:bookmarkStart w:id="544" w:name="X9cf7e1014deb83f27c62d34c9fba8f88243955e"/>
    <w:p>
      <w:pPr>
        <w:pStyle w:val="Heading3"/>
      </w:pPr>
      <w:r>
        <w:t xml:space="preserve">6.2.2 Sources d’endettement et d’emprunt alimentaire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Sources d'endettement pour achat alimentaire</w:t>
            </w:r>
          </w:p>
        </w:tc>
      </w:tr>
      <w:tr>
        <w:trPr>
          <w:tblHeader w:val="on"/>
        </w:trPr>
        <w:tc>
          <w:tcPr>
            <w:gridSpan w:val="5"/>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20</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7</w:t>
            </w:r>
          </w:p>
        </w:tc>
        <w:tc>
          <w:tcPr/>
          <w:p>
            <w:pPr>
              <w:pStyle w:val="Compact"/>
              <w:jc w:val="right"/>
            </w:pPr>
            <w:r>
              <w:t xml:space="preserve">3.6</w:t>
            </w:r>
          </w:p>
        </w:tc>
        <w:tc>
          <w:tcPr/>
          <w:p>
            <w:pPr>
              <w:pStyle w:val="Compact"/>
              <w:jc w:val="right"/>
            </w:pPr>
            <w:r>
              <w:t xml:space="preserve">4</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127</w:t>
            </w:r>
          </w:p>
        </w:tc>
        <w:tc>
          <w:tcPr/>
          <w:p>
            <w:pPr>
              <w:pStyle w:val="Compact"/>
              <w:jc w:val="right"/>
            </w:pPr>
            <w:r>
              <w:t xml:space="preserve">64.1</w:t>
            </w:r>
          </w:p>
        </w:tc>
        <w:tc>
          <w:tcPr/>
          <w:p>
            <w:pPr>
              <w:pStyle w:val="Compact"/>
              <w:jc w:val="right"/>
            </w:pPr>
            <w:r>
              <w:t xml:space="preserve">84</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13</w:t>
            </w:r>
          </w:p>
        </w:tc>
        <w:tc>
          <w:tcPr/>
          <w:p>
            <w:pPr>
              <w:pStyle w:val="Compact"/>
              <w:jc w:val="right"/>
            </w:pPr>
            <w:r>
              <w:t xml:space="preserve">6.6</w:t>
            </w:r>
          </w:p>
        </w:tc>
        <w:tc>
          <w:tcPr/>
          <w:p>
            <w:pPr>
              <w:pStyle w:val="Compact"/>
              <w:jc w:val="right"/>
            </w:pPr>
            <w:r>
              <w:t xml:space="preserve">34</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80</w:t>
            </w:r>
          </w:p>
        </w:tc>
        <w:tc>
          <w:tcPr/>
          <w:p>
            <w:pPr>
              <w:pStyle w:val="Compact"/>
              <w:jc w:val="right"/>
            </w:pPr>
            <w:r>
              <w:t xml:space="preserve">40.6</w:t>
            </w:r>
          </w:p>
        </w:tc>
        <w:tc>
          <w:tcPr/>
          <w:p>
            <w:pPr>
              <w:pStyle w:val="Compact"/>
              <w:jc w:val="right"/>
            </w:pPr>
            <w:r>
              <w:t xml:space="preserve">63</w:t>
            </w:r>
          </w:p>
        </w:tc>
        <w:tc>
          <w:tcPr/>
          <w:p>
            <w:pPr>
              <w:pStyle w:val="Compact"/>
              <w:jc w:val="right"/>
            </w:pPr>
            <w:r>
              <w:t xml:space="preserve">33.0</w:t>
            </w:r>
          </w:p>
        </w:tc>
      </w:tr>
    </w:tbl>
    <w:p>
      <w:pPr>
        <w:pStyle w:val="BodyText"/>
      </w:pP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Sources d'emprunt d'aliments de base</w:t>
            </w:r>
          </w:p>
        </w:tc>
      </w:tr>
      <w:tr>
        <w:trPr>
          <w:tblHeader w:val="on"/>
        </w:trPr>
        <w:tc>
          <w:tcPr>
            <w:gridSpan w:val="5"/>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4</w:t>
            </w:r>
          </w:p>
        </w:tc>
        <w:tc>
          <w:tcPr/>
          <w:p>
            <w:pPr>
              <w:pStyle w:val="Compact"/>
              <w:jc w:val="right"/>
            </w:pPr>
            <w:r>
              <w:t xml:space="preserve">1.7</w:t>
            </w:r>
          </w:p>
        </w:tc>
        <w:tc>
          <w:tcPr/>
          <w:p>
            <w:pPr>
              <w:pStyle w:val="Compact"/>
              <w:jc w:val="right"/>
            </w:pPr>
            <w:r>
              <w:t xml:space="preserve">2</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66</w:t>
            </w:r>
          </w:p>
        </w:tc>
        <w:tc>
          <w:tcPr/>
          <w:p>
            <w:pPr>
              <w:pStyle w:val="Compact"/>
              <w:jc w:val="right"/>
            </w:pPr>
            <w:r>
              <w:t xml:space="preserve">28.0</w:t>
            </w:r>
          </w:p>
        </w:tc>
        <w:tc>
          <w:tcPr/>
          <w:p>
            <w:pPr>
              <w:pStyle w:val="Compact"/>
              <w:jc w:val="right"/>
            </w:pPr>
            <w:r>
              <w:t xml:space="preserve">10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107</w:t>
            </w:r>
          </w:p>
        </w:tc>
        <w:tc>
          <w:tcPr/>
          <w:p>
            <w:pPr>
              <w:pStyle w:val="Compact"/>
              <w:jc w:val="right"/>
            </w:pPr>
            <w:r>
              <w:t xml:space="preserve">45.5</w:t>
            </w:r>
          </w:p>
        </w:tc>
        <w:tc>
          <w:tcPr/>
          <w:p>
            <w:pPr>
              <w:pStyle w:val="Compact"/>
              <w:jc w:val="right"/>
            </w:pPr>
            <w:r>
              <w:t xml:space="preserve">85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4</w:t>
            </w:r>
          </w:p>
        </w:tc>
        <w:tc>
          <w:tcPr/>
          <w:p>
            <w:pPr>
              <w:pStyle w:val="Compact"/>
              <w:jc w:val="right"/>
            </w:pPr>
            <w:r>
              <w:t xml:space="preserve">1.7</w:t>
            </w:r>
          </w:p>
        </w:tc>
        <w:tc>
          <w:tcPr/>
          <w:p>
            <w:pPr>
              <w:pStyle w:val="Compact"/>
              <w:jc w:val="right"/>
            </w:pPr>
            <w:r>
              <w:t xml:space="preserve">8</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82</w:t>
            </w:r>
          </w:p>
        </w:tc>
        <w:tc>
          <w:tcPr/>
          <w:p>
            <w:pPr>
              <w:pStyle w:val="Compact"/>
              <w:jc w:val="right"/>
            </w:pPr>
            <w:r>
              <w:t xml:space="preserve">35.0</w:t>
            </w:r>
          </w:p>
        </w:tc>
        <w:tc>
          <w:tcPr/>
          <w:p>
            <w:pPr>
              <w:pStyle w:val="Compact"/>
              <w:jc w:val="right"/>
            </w:pPr>
            <w:r>
              <w:t xml:space="preserve">39</w:t>
            </w:r>
          </w:p>
        </w:tc>
        <w:tc>
          <w:tcPr/>
          <w:p>
            <w:pPr>
              <w:pStyle w:val="Compact"/>
              <w:jc w:val="right"/>
            </w:pPr>
            <w:r>
              <w:t xml:space="preserve">27.1</w:t>
            </w:r>
          </w:p>
        </w:tc>
      </w:tr>
    </w:tbl>
    <w:p>
      <w:pPr>
        <w:pStyle w:val="BodyText"/>
      </w:pPr>
      <w:r>
        <w:drawing>
          <wp:inline>
            <wp:extent cx="4620126" cy="3696101"/>
            <wp:effectExtent b="0" l="0" r="0" t="0"/>
            <wp:docPr descr="" title="" id="542" name="Picture"/>
            <a:graphic>
              <a:graphicData uri="http://schemas.openxmlformats.org/drawingml/2006/picture">
                <pic:pic>
                  <pic:nvPicPr>
                    <pic:cNvPr descr="06_securite_alimentaire_files/figure-docx/g6_top_strategies-1.png" id="543" name="Picture"/>
                    <pic:cNvPicPr>
                      <a:picLocks noChangeArrowheads="1" noChangeAspect="1"/>
                    </pic:cNvPicPr>
                  </pic:nvPicPr>
                  <pic:blipFill>
                    <a:blip r:embed="rId541"/>
                    <a:stretch>
                      <a:fillRect/>
                    </a:stretch>
                  </pic:blipFill>
                  <pic:spPr bwMode="auto">
                    <a:xfrm>
                      <a:off x="0" y="0"/>
                      <a:ext cx="4620126" cy="3696101"/>
                    </a:xfrm>
                    <a:prstGeom prst="rect">
                      <a:avLst/>
                    </a:prstGeom>
                    <a:noFill/>
                    <a:ln w="9525">
                      <a:noFill/>
                      <a:headEnd/>
                      <a:tailEnd/>
                    </a:ln>
                  </pic:spPr>
                </pic:pic>
              </a:graphicData>
            </a:graphic>
          </wp:inline>
        </w:drawing>
      </w:r>
    </w:p>
    <w:bookmarkEnd w:id="544"/>
    <w:bookmarkEnd w:id="545"/>
    <w:bookmarkStart w:id="549" w:name="X022980f631cd731cb72eb071d0b331cc128d08a"/>
    <w:p>
      <w:pPr>
        <w:pStyle w:val="Heading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BodyText"/>
      </w:pPr>
      <w:r>
        <w:drawing>
          <wp:inline>
            <wp:extent cx="4620126" cy="3696101"/>
            <wp:effectExtent b="0" l="0" r="0" t="0"/>
            <wp:docPr descr="" title="" id="547" name="Picture"/>
            <a:graphic>
              <a:graphicData uri="http://schemas.openxmlformats.org/drawingml/2006/picture">
                <pic:pic>
                  <pic:nvPicPr>
                    <pic:cNvPr descr="06_securite_alimentaire_files/figure-docx/g7_csi_boxplot-1.png" id="548" name="Picture"/>
                    <pic:cNvPicPr>
                      <a:picLocks noChangeArrowheads="1" noChangeAspect="1"/>
                    </pic:cNvPicPr>
                  </pic:nvPicPr>
                  <pic:blipFill>
                    <a:blip r:embed="rId546"/>
                    <a:stretch>
                      <a:fillRect/>
                    </a:stretch>
                  </pic:blipFill>
                  <pic:spPr bwMode="auto">
                    <a:xfrm>
                      <a:off x="0" y="0"/>
                      <a:ext cx="4620126" cy="3696101"/>
                    </a:xfrm>
                    <a:prstGeom prst="rect">
                      <a:avLst/>
                    </a:prstGeom>
                    <a:noFill/>
                    <a:ln w="9525">
                      <a:noFill/>
                      <a:headEnd/>
                      <a:tailEnd/>
                    </a:ln>
                  </pic:spPr>
                </pic:pic>
              </a:graphicData>
            </a:graphic>
          </wp:inline>
        </w:drawing>
      </w:r>
    </w:p>
    <w:bookmarkEnd w:id="549"/>
    <w:bookmarkStart w:id="556" w:name="sec-sa-multiyear"/>
    <w:p>
      <w:pPr>
        <w:pStyle w:val="Heading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aptionedFigure"/>
      </w:pPr>
      <w:r>
        <w:drawing>
          <wp:inline>
            <wp:extent cx="5334000" cy="2963333"/>
            <wp:effectExtent b="0" l="0" r="0" t="0"/>
            <wp:docPr descr="Évolution de la durée moyenne de soudure (mois/ménage)" title="" id="551" name="Picture"/>
            <a:graphic>
              <a:graphicData uri="http://schemas.openxmlformats.org/drawingml/2006/picture">
                <pic:pic>
                  <pic:nvPicPr>
                    <pic:cNvPr descr="06_securite_alimentaire_files/figure-docx/fig_sa_soudure_duration-1.png" id="552" name="Picture"/>
                    <pic:cNvPicPr>
                      <a:picLocks noChangeArrowheads="1" noChangeAspect="1"/>
                    </pic:cNvPicPr>
                  </pic:nvPicPr>
                  <pic:blipFill>
                    <a:blip r:embed="rId55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aptionedFigure"/>
      </w:pPr>
      <w:r>
        <w:drawing>
          <wp:inline>
            <wp:extent cx="5334000" cy="2963333"/>
            <wp:effectExtent b="0" l="0" r="0" t="0"/>
            <wp:docPr descr="Évolution du pourcentage de ménages en soudure" title="" id="554" name="Picture"/>
            <a:graphic>
              <a:graphicData uri="http://schemas.openxmlformats.org/drawingml/2006/picture">
                <pic:pic>
                  <pic:nvPicPr>
                    <pic:cNvPr descr="06_securite_alimentaire_files/figure-docx/fig_sa_pct_soudure-1.png" id="555" name="Picture"/>
                    <pic:cNvPicPr>
                      <a:picLocks noChangeArrowheads="1" noChangeAspect="1"/>
                    </pic:cNvPicPr>
                  </pic:nvPicPr>
                  <pic:blipFill>
                    <a:blip r:embed="rId55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556"/>
    <w:bookmarkEnd w:id="557"/>
    <w:bookmarkStart w:id="675" w:name="X855e8d906f5a6acf967b2aed36312ae7fa0ee32"/>
    <w:p>
      <w:pPr>
        <w:pStyle w:val="Heading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8" name="Picture"/>
                  <a:graphic>
                    <a:graphicData uri="http://schemas.openxmlformats.org/drawingml/2006/picture">
                      <pic:pic>
                        <pic:nvPicPr>
                          <pic:cNvPr descr="C:\Users\fbede\AppData\Local\Programs\Quarto\share\formats\docx\warning.png" id="55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582" w:name="sec-representation"/>
    <w:p>
      <w:pPr>
        <w:pStyle w:val="Heading2"/>
      </w:pPr>
      <w:r>
        <w:t xml:space="preserve">7.1 Représentation de la zone protégée par les ménages</w:t>
      </w:r>
    </w:p>
    <w:bookmarkStart w:id="564" w:name="X4665de780bd1ca3fab6f12e5bee69cd08b80e0b"/>
    <w:p>
      <w:pPr>
        <w:pStyle w:val="Heading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Hyperlink"/>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563" w:name="fig-ressources-dispo"/>
          <w:p>
            <w:pPr>
              <w:pStyle w:val="Compact"/>
              <w:jc w:val="center"/>
            </w:pPr>
            <w:r>
              <w:drawing>
                <wp:inline>
                  <wp:extent cx="5334000" cy="3200400"/>
                  <wp:effectExtent b="0" l="0" r="0" t="0"/>
                  <wp:docPr descr="" title="" id="561" name="Picture"/>
                  <a:graphic>
                    <a:graphicData uri="http://schemas.openxmlformats.org/drawingml/2006/picture">
                      <pic:pic>
                        <pic:nvPicPr>
                          <pic:cNvPr descr="07_rapport_environnement_files/figure-docx/fig-ressources-dispo-1.png" id="562" name="Picture"/>
                          <pic:cNvPicPr>
                            <a:picLocks noChangeArrowheads="1" noChangeAspect="1"/>
                          </pic:cNvPicPr>
                        </pic:nvPicPr>
                        <pic:blipFill>
                          <a:blip r:embed="rId56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Disponibilité perçue des ressources naturelles dans la zone protégée, par observatoire</w:t>
            </w:r>
          </w:p>
          <w:bookmarkEnd w:id="563"/>
        </w:tc>
      </w:tr>
    </w:tbl>
    <w:bookmarkEnd w:id="564"/>
    <w:bookmarkStart w:id="569" w:name="évolution-perçue-des-ressources"/>
    <w:p>
      <w:pPr>
        <w:pStyle w:val="Heading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Hyperlink"/>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568" w:name="fig-evolution-ressources"/>
          <w:p>
            <w:pPr>
              <w:pStyle w:val="Compact"/>
              <w:jc w:val="center"/>
            </w:pPr>
            <w:r>
              <w:drawing>
                <wp:inline>
                  <wp:extent cx="5334000" cy="3200400"/>
                  <wp:effectExtent b="0" l="0" r="0" t="0"/>
                  <wp:docPr descr="" title="" id="566" name="Picture"/>
                  <a:graphic>
                    <a:graphicData uri="http://schemas.openxmlformats.org/drawingml/2006/picture">
                      <pic:pic>
                        <pic:nvPicPr>
                          <pic:cNvPr descr="07_rapport_environnement_files/figure-docx/fig-evolution-ressources-1.png" id="567" name="Picture"/>
                          <pic:cNvPicPr>
                            <a:picLocks noChangeArrowheads="1" noChangeAspect="1"/>
                          </pic:cNvPicPr>
                        </pic:nvPicPr>
                        <pic:blipFill>
                          <a:blip r:embed="rId56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7.2: Évolution perçue des ressources naturelles au cours des 3 dernières années</w:t>
            </w:r>
          </w:p>
          <w:bookmarkEnd w:id="568"/>
        </w:tc>
      </w:tr>
    </w:tbl>
    <w:bookmarkEnd w:id="569"/>
    <w:bookmarkStart w:id="574" w:name="appartenance-perçue-de-la-zone"/>
    <w:p>
      <w:pPr>
        <w:pStyle w:val="Heading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Hyperlink"/>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573" w:name="fig-appartenance"/>
          <w:p>
            <w:pPr>
              <w:pStyle w:val="Compact"/>
              <w:jc w:val="center"/>
            </w:pPr>
            <w:r>
              <w:drawing>
                <wp:inline>
                  <wp:extent cx="5334000" cy="2963333"/>
                  <wp:effectExtent b="0" l="0" r="0" t="0"/>
                  <wp:docPr descr="" title="" id="571" name="Picture"/>
                  <a:graphic>
                    <a:graphicData uri="http://schemas.openxmlformats.org/drawingml/2006/picture">
                      <pic:pic>
                        <pic:nvPicPr>
                          <pic:cNvPr descr="07_rapport_environnement_files/figure-docx/fig-appartenance-1.png" id="572" name="Picture"/>
                          <pic:cNvPicPr>
                            <a:picLocks noChangeArrowheads="1" noChangeAspect="1"/>
                          </pic:cNvPicPr>
                        </pic:nvPicPr>
                        <pic:blipFill>
                          <a:blip r:embed="rId57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7.3: À qui appartient la zone protégée ? (% de Oui, réponses multiples)</w:t>
            </w:r>
          </w:p>
          <w:bookmarkEnd w:id="573"/>
        </w:tc>
      </w:tr>
    </w:tbl>
    <w:bookmarkEnd w:id="574"/>
    <w:bookmarkStart w:id="576" w:name="menaces-perçues-et-responsables"/>
    <w:p>
      <w:pPr>
        <w:pStyle w:val="Heading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575"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575"/>
          <w:p/>
        </w:tc>
      </w:tr>
    </w:tbl>
    <w:bookmarkEnd w:id="576"/>
    <w:bookmarkStart w:id="581" w:name="X111e78fde4bc41d7853240be4e0062dcf4cf407"/>
    <w:p>
      <w:pPr>
        <w:pStyle w:val="Heading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580" w:name="fig-representation"/>
          <w:p>
            <w:pPr>
              <w:pStyle w:val="Compact"/>
              <w:jc w:val="center"/>
            </w:pPr>
            <w:r>
              <w:drawing>
                <wp:inline>
                  <wp:extent cx="5334000" cy="3200400"/>
                  <wp:effectExtent b="0" l="0" r="0" t="0"/>
                  <wp:docPr descr="" title="" id="578" name="Picture"/>
                  <a:graphic>
                    <a:graphicData uri="http://schemas.openxmlformats.org/drawingml/2006/picture">
                      <pic:pic>
                        <pic:nvPicPr>
                          <pic:cNvPr descr="07_rapport_environnement_files/figure-docx/fig-representation-1.png" id="579" name="Picture"/>
                          <pic:cNvPicPr>
                            <a:picLocks noChangeArrowheads="1" noChangeAspect="1"/>
                          </pic:cNvPicPr>
                        </pic:nvPicPr>
                        <pic:blipFill>
                          <a:blip r:embed="rId5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7.4: Que représente la zone protégée pour les ménages ? (% de Oui)</w:t>
            </w:r>
          </w:p>
          <w:bookmarkEnd w:id="580"/>
        </w:tc>
      </w:tr>
    </w:tbl>
    <w:bookmarkEnd w:id="581"/>
    <w:bookmarkEnd w:id="582"/>
    <w:bookmarkStart w:id="620" w:name="sec-exploitation"/>
    <w:p>
      <w:pPr>
        <w:pStyle w:val="Heading2"/>
      </w:pPr>
      <w:r>
        <w:t xml:space="preserve">7.2 Exploitation forestière et usage de l’Aire protégée</w:t>
      </w:r>
    </w:p>
    <w:bookmarkStart w:id="591" w:name="collecte-de-bois-et-charbon"/>
    <w:p>
      <w:pPr>
        <w:pStyle w:val="Heading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Hyperlink"/>
          </w:rPr>
          <w:t xml:space="preserve">Figure 7.5</w:t>
        </w:r>
      </w:hyperlink>
      <w:r>
        <w:t xml:space="preserve"> </w:t>
      </w:r>
      <w:r>
        <w:t xml:space="preserve">présente le pourcentage de ménages concernés par chaque produit et la</w:t>
      </w:r>
      <w:r>
        <w:t xml:space="preserve"> </w:t>
      </w:r>
      <w:hyperlink w:anchor="fig-ef-origine">
        <w:r>
          <w:rPr>
            <w:rStyle w:val="Hyperlink"/>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586" w:name="fig-ef-produits"/>
          <w:p>
            <w:pPr>
              <w:pStyle w:val="Compact"/>
              <w:jc w:val="center"/>
            </w:pPr>
            <w:r>
              <w:drawing>
                <wp:inline>
                  <wp:extent cx="5334000" cy="2370666"/>
                  <wp:effectExtent b="0" l="0" r="0" t="0"/>
                  <wp:docPr descr="" title="" id="584" name="Picture"/>
                  <a:graphic>
                    <a:graphicData uri="http://schemas.openxmlformats.org/drawingml/2006/picture">
                      <pic:pic>
                        <pic:nvPicPr>
                          <pic:cNvPr descr="07_rapport_environnement_files/figure-docx/fig-ef-produits-1.png" id="585" name="Picture"/>
                          <pic:cNvPicPr>
                            <a:picLocks noChangeArrowheads="1" noChangeAspect="1"/>
                          </pic:cNvPicPr>
                        </pic:nvPicPr>
                        <pic:blipFill>
                          <a:blip r:embed="rId583"/>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7.5: Pourcentage de ménages pratiquant la collecte de produits forestiers, par observatoire</w:t>
            </w:r>
          </w:p>
          <w:bookmarkEnd w:id="586"/>
        </w:tc>
      </w:tr>
    </w:tbl>
    <w:tbl>
      <w:tblPr>
        <w:tblStyle w:val="Table"/>
        <w:tblW w:type="pct" w:w="5000"/>
        <w:tblLayout w:type="fixed"/>
        <w:tblLook w:firstRow="0" w:lastRow="0" w:firstColumn="0" w:lastColumn="0" w:noHBand="0" w:noVBand="0" w:val="0000"/>
      </w:tblPr>
      <w:tblGrid>
        <w:gridCol w:w="7920"/>
      </w:tblGrid>
      <w:tr>
        <w:tc>
          <w:tcPr/>
          <w:bookmarkStart w:id="590" w:name="fig-ef-origine"/>
          <w:p>
            <w:pPr>
              <w:pStyle w:val="Compact"/>
              <w:jc w:val="center"/>
            </w:pPr>
            <w:r>
              <w:drawing>
                <wp:inline>
                  <wp:extent cx="5334000" cy="2370666"/>
                  <wp:effectExtent b="0" l="0" r="0" t="0"/>
                  <wp:docPr descr="" title="" id="588" name="Picture"/>
                  <a:graphic>
                    <a:graphicData uri="http://schemas.openxmlformats.org/drawingml/2006/picture">
                      <pic:pic>
                        <pic:nvPicPr>
                          <pic:cNvPr descr="07_rapport_environnement_files/figure-docx/fig-ef-origine-1.png" id="589" name="Picture"/>
                          <pic:cNvPicPr>
                            <a:picLocks noChangeArrowheads="1" noChangeAspect="1"/>
                          </pic:cNvPicPr>
                        </pic:nvPicPr>
                        <pic:blipFill>
                          <a:blip r:embed="rId587"/>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7.6: Origine des produits forestiers collectés (dans ou hors Aire Protégée)</w:t>
            </w:r>
          </w:p>
          <w:bookmarkEnd w:id="590"/>
        </w:tc>
      </w:tr>
    </w:tbl>
    <w:bookmarkEnd w:id="591"/>
    <w:bookmarkStart w:id="596" w:name="saisonnalité-de-la-collecte-forestière"/>
    <w:p>
      <w:pPr>
        <w:pStyle w:val="Heading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595" w:name="fig-ef-saison"/>
          <w:p>
            <w:pPr>
              <w:pStyle w:val="Compact"/>
              <w:jc w:val="center"/>
            </w:pPr>
            <w:r>
              <w:drawing>
                <wp:inline>
                  <wp:extent cx="5334000" cy="2667000"/>
                  <wp:effectExtent b="0" l="0" r="0" t="0"/>
                  <wp:docPr descr="" title="" id="593" name="Picture"/>
                  <a:graphic>
                    <a:graphicData uri="http://schemas.openxmlformats.org/drawingml/2006/picture">
                      <pic:pic>
                        <pic:nvPicPr>
                          <pic:cNvPr descr="07_rapport_environnement_files/figure-docx/fig-ef-saison-1.png" id="594" name="Picture"/>
                          <pic:cNvPicPr>
                            <a:picLocks noChangeArrowheads="1" noChangeAspect="1"/>
                          </pic:cNvPicPr>
                        </pic:nvPicPr>
                        <pic:blipFill>
                          <a:blip r:embed="rId59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7.7: Saisonnalité de la collecte de produits forestiers (% de ménages actifs par mois)</w:t>
            </w:r>
          </w:p>
          <w:bookmarkEnd w:id="595"/>
        </w:tc>
      </w:tr>
    </w:tbl>
    <w:bookmarkEnd w:id="596"/>
    <w:bookmarkStart w:id="598" w:name="X8df5da6acadcfbdd6a5344ed8fbae1328a2e11b"/>
    <w:p>
      <w:pPr>
        <w:pStyle w:val="Heading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tbl>
      <w:tblPr>
        <w:tblStyle w:val="Table"/>
        <w:tblW w:type="pct" w:w="5000"/>
        <w:tblLayout w:type="fixed"/>
        <w:tblLook w:firstRow="0" w:lastRow="0" w:firstColumn="0" w:lastColumn="0" w:noHBand="0" w:noVBand="0" w:val="0000"/>
      </w:tblPr>
      <w:tblGrid>
        <w:gridCol w:w="7920"/>
      </w:tblGrid>
      <w:tr>
        <w:tc>
          <w:tcPr/>
          <w:bookmarkStart w:id="597"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597"/>
          <w:p/>
        </w:tc>
      </w:tr>
    </w:tbl>
    <w:bookmarkEnd w:id="598"/>
    <w:bookmarkStart w:id="600" w:name="fréquentation-de-laire-protégée"/>
    <w:p>
      <w:pPr>
        <w:pStyle w:val="Heading3"/>
      </w:pPr>
      <w:r>
        <w:t xml:space="preserve">7.2.4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Hyperlink"/>
          </w:rPr>
          <w:t xml:space="preserve">Table 7.3</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599"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599"/>
          <w:p/>
        </w:tc>
      </w:tr>
    </w:tbl>
    <w:bookmarkEnd w:id="600"/>
    <w:bookmarkStart w:id="605" w:name="raisons-de-non-fréquentation"/>
    <w:p>
      <w:pPr>
        <w:pStyle w:val="Heading3"/>
      </w:pPr>
      <w:r>
        <w:t xml:space="preserve">7.2.5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604" w:name="fig-non-freq"/>
          <w:p>
            <w:pPr>
              <w:pStyle w:val="Compact"/>
              <w:jc w:val="center"/>
            </w:pPr>
            <w:r>
              <w:drawing>
                <wp:inline>
                  <wp:extent cx="5334000" cy="2370666"/>
                  <wp:effectExtent b="0" l="0" r="0" t="0"/>
                  <wp:docPr descr="" title="" id="602" name="Picture"/>
                  <a:graphic>
                    <a:graphicData uri="http://schemas.openxmlformats.org/drawingml/2006/picture">
                      <pic:pic>
                        <pic:nvPicPr>
                          <pic:cNvPr descr="07_rapport_environnement_files/figure-docx/fig-non-freq-1.png" id="603" name="Picture"/>
                          <pic:cNvPicPr>
                            <a:picLocks noChangeArrowheads="1" noChangeAspect="1"/>
                          </pic:cNvPicPr>
                        </pic:nvPicPr>
                        <pic:blipFill>
                          <a:blip r:embed="rId601"/>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7.8: Raisons de ne pas se rendre dans l’Aire protégée (% de Oui parmi ceux qui n’y vont pas)</w:t>
            </w:r>
          </w:p>
          <w:bookmarkEnd w:id="604"/>
        </w:tc>
      </w:tr>
    </w:tbl>
    <w:bookmarkEnd w:id="605"/>
    <w:bookmarkStart w:id="614" w:name="usages-de-laire-protégée"/>
    <w:p>
      <w:pPr>
        <w:pStyle w:val="Heading3"/>
      </w:pPr>
      <w:r>
        <w:t xml:space="preserve">7.2.6 Usages de l’Aire protégée</w:t>
      </w:r>
    </w:p>
    <w:p>
      <w:pPr>
        <w:pStyle w:val="FirstParagraph"/>
      </w:pPr>
      <w:r>
        <w:t xml:space="preserve">Parmi les ménages qui se rendent dans l’AP, la</w:t>
      </w:r>
      <w:r>
        <w:t xml:space="preserve"> </w:t>
      </w:r>
      <w:hyperlink w:anchor="fig-usages-ap">
        <w:r>
          <w:rPr>
            <w:rStyle w:val="Hyperlink"/>
          </w:rPr>
          <w:t xml:space="preserve">Figure 7.9</w:t>
        </w:r>
      </w:hyperlink>
      <w:r>
        <w:t xml:space="preserve"> </w:t>
      </w:r>
      <w:r>
        <w:t xml:space="preserve">détaille les raisons et la</w:t>
      </w:r>
      <w:r>
        <w:t xml:space="preserve"> </w:t>
      </w:r>
      <w:hyperlink w:anchor="fig-freq-usages">
        <w:r>
          <w:rPr>
            <w:rStyle w:val="Hyperlink"/>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609" w:name="fig-usages-ap"/>
          <w:p>
            <w:pPr>
              <w:pStyle w:val="Compact"/>
              <w:jc w:val="center"/>
            </w:pPr>
            <w:r>
              <w:drawing>
                <wp:inline>
                  <wp:extent cx="5334000" cy="3200400"/>
                  <wp:effectExtent b="0" l="0" r="0" t="0"/>
                  <wp:docPr descr="" title="" id="607" name="Picture"/>
                  <a:graphic>
                    <a:graphicData uri="http://schemas.openxmlformats.org/drawingml/2006/picture">
                      <pic:pic>
                        <pic:nvPicPr>
                          <pic:cNvPr descr="07_rapport_environnement_files/figure-docx/fig-usages-ap-1.png" id="608" name="Picture"/>
                          <pic:cNvPicPr>
                            <a:picLocks noChangeArrowheads="1" noChangeAspect="1"/>
                          </pic:cNvPicPr>
                        </pic:nvPicPr>
                        <pic:blipFill>
                          <a:blip r:embed="rId60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7.9: Raisons de se rendre dans l’Aire protégée (% de Oui parmi les usagers)</w:t>
            </w:r>
          </w:p>
          <w:bookmarkEnd w:id="609"/>
        </w:tc>
      </w:tr>
    </w:tbl>
    <w:tbl>
      <w:tblPr>
        <w:tblStyle w:val="Table"/>
        <w:tblW w:type="pct" w:w="5000"/>
        <w:tblLayout w:type="fixed"/>
        <w:tblLook w:firstRow="0" w:lastRow="0" w:firstColumn="0" w:lastColumn="0" w:noHBand="0" w:noVBand="0" w:val="0000"/>
      </w:tblPr>
      <w:tblGrid>
        <w:gridCol w:w="7920"/>
      </w:tblGrid>
      <w:tr>
        <w:tc>
          <w:tcPr/>
          <w:bookmarkStart w:id="613" w:name="fig-freq-usages"/>
          <w:p>
            <w:pPr>
              <w:pStyle w:val="Compact"/>
              <w:jc w:val="center"/>
            </w:pPr>
            <w:r>
              <w:drawing>
                <wp:inline>
                  <wp:extent cx="5334000" cy="3200400"/>
                  <wp:effectExtent b="0" l="0" r="0" t="0"/>
                  <wp:docPr descr="" title="" id="611" name="Picture"/>
                  <a:graphic>
                    <a:graphicData uri="http://schemas.openxmlformats.org/drawingml/2006/picture">
                      <pic:pic>
                        <pic:nvPicPr>
                          <pic:cNvPr descr="07_rapport_environnement_files/figure-docx/fig-freq-usages-1.png" id="612" name="Picture"/>
                          <pic:cNvPicPr>
                            <a:picLocks noChangeArrowheads="1" noChangeAspect="1"/>
                          </pic:cNvPicPr>
                        </pic:nvPicPr>
                        <pic:blipFill>
                          <a:blip r:embed="rId61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7.10: Fréquence des déplacements dans l’AP selon l’usage, par observatoire</w:t>
            </w:r>
          </w:p>
          <w:bookmarkEnd w:id="613"/>
        </w:tc>
      </w:tr>
    </w:tbl>
    <w:bookmarkEnd w:id="614"/>
    <w:bookmarkStart w:id="619" w:name="saisonnalité-de-la-fréquentation-de-lap"/>
    <w:p>
      <w:pPr>
        <w:pStyle w:val="Heading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618" w:name="fig-saison-ap"/>
          <w:p>
            <w:pPr>
              <w:pStyle w:val="Compact"/>
              <w:jc w:val="center"/>
            </w:pPr>
            <w:r>
              <w:drawing>
                <wp:inline>
                  <wp:extent cx="5334000" cy="2667000"/>
                  <wp:effectExtent b="0" l="0" r="0" t="0"/>
                  <wp:docPr descr="" title="" id="616" name="Picture"/>
                  <a:graphic>
                    <a:graphicData uri="http://schemas.openxmlformats.org/drawingml/2006/picture">
                      <pic:pic>
                        <pic:nvPicPr>
                          <pic:cNvPr descr="07_rapport_environnement_files/figure-docx/fig-saison-ap-1.png" id="617" name="Picture"/>
                          <pic:cNvPicPr>
                            <a:picLocks noChangeArrowheads="1" noChangeAspect="1"/>
                          </pic:cNvPicPr>
                        </pic:nvPicPr>
                        <pic:blipFill>
                          <a:blip r:embed="rId61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7.11: Saisonnalité des usages de l’AP (% d’usagers actifs par mois, principales raisons), par observatoire</w:t>
            </w:r>
          </w:p>
          <w:bookmarkEnd w:id="618"/>
        </w:tc>
      </w:tr>
    </w:tbl>
    <w:bookmarkEnd w:id="619"/>
    <w:bookmarkEnd w:id="620"/>
    <w:bookmarkStart w:id="646" w:name="sec-feu"/>
    <w:p>
      <w:pPr>
        <w:pStyle w:val="Heading2"/>
      </w:pPr>
      <w:r>
        <w:t xml:space="preserve">7.3 Feux de brousse</w:t>
      </w:r>
    </w:p>
    <w:bookmarkStart w:id="625" w:name="opinions-sur-les-raisons-des-feux"/>
    <w:p>
      <w:pPr>
        <w:pStyle w:val="Heading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624" w:name="fig-raisons-feux"/>
          <w:p>
            <w:pPr>
              <w:pStyle w:val="Compact"/>
              <w:jc w:val="center"/>
            </w:pPr>
            <w:r>
              <w:drawing>
                <wp:inline>
                  <wp:extent cx="5334000" cy="3200400"/>
                  <wp:effectExtent b="0" l="0" r="0" t="0"/>
                  <wp:docPr descr="" title="" id="622" name="Picture"/>
                  <a:graphic>
                    <a:graphicData uri="http://schemas.openxmlformats.org/drawingml/2006/picture">
                      <pic:pic>
                        <pic:nvPicPr>
                          <pic:cNvPr descr="07_rapport_environnement_files/figure-docx/fig-raisons-feux-1.png" id="623" name="Picture"/>
                          <pic:cNvPicPr>
                            <a:picLocks noChangeArrowheads="1" noChangeAspect="1"/>
                          </pic:cNvPicPr>
                        </pic:nvPicPr>
                        <pic:blipFill>
                          <a:blip r:embed="rId62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7.12: Raisons perçues de faire des feux (% de Oui)</w:t>
            </w:r>
          </w:p>
          <w:bookmarkEnd w:id="624"/>
        </w:tc>
      </w:tr>
    </w:tbl>
    <w:bookmarkEnd w:id="625"/>
    <w:bookmarkStart w:id="627" w:name="pratique-du-feu"/>
    <w:p>
      <w:pPr>
        <w:pStyle w:val="Heading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626"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626"/>
          <w:p/>
        </w:tc>
      </w:tr>
    </w:tbl>
    <w:bookmarkEnd w:id="627"/>
    <w:bookmarkStart w:id="632" w:name="saisonnalité-des-feux"/>
    <w:p>
      <w:pPr>
        <w:pStyle w:val="Heading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631" w:name="fig-saison-feux"/>
          <w:p>
            <w:pPr>
              <w:pStyle w:val="Compact"/>
              <w:jc w:val="center"/>
            </w:pPr>
            <w:r>
              <w:drawing>
                <wp:inline>
                  <wp:extent cx="5334000" cy="2133600"/>
                  <wp:effectExtent b="0" l="0" r="0" t="0"/>
                  <wp:docPr descr="" title="" id="629" name="Picture"/>
                  <a:graphic>
                    <a:graphicData uri="http://schemas.openxmlformats.org/drawingml/2006/picture">
                      <pic:pic>
                        <pic:nvPicPr>
                          <pic:cNvPr descr="07_rapport_environnement_files/figure-docx/fig-saison-feux-1.png" id="630" name="Picture"/>
                          <pic:cNvPicPr>
                            <a:picLocks noChangeArrowheads="1" noChangeAspect="1"/>
                          </pic:cNvPicPr>
                        </pic:nvPicPr>
                        <pic:blipFill>
                          <a:blip r:embed="rId628"/>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7.13: Saisonnalité des feux de brousse pratiqués (% de ménages actifs par mois, parmi ceux qui ont fait du feu)</w:t>
            </w:r>
          </w:p>
          <w:bookmarkEnd w:id="631"/>
        </w:tc>
      </w:tr>
    </w:tbl>
    <w:bookmarkEnd w:id="632"/>
    <w:bookmarkStart w:id="645" w:name="avis-sur-les-feux"/>
    <w:p>
      <w:pPr>
        <w:pStyle w:val="Heading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636" w:name="fig-evol-feux"/>
          <w:p>
            <w:pPr>
              <w:pStyle w:val="Compact"/>
              <w:jc w:val="center"/>
            </w:pPr>
            <w:r>
              <w:drawing>
                <wp:inline>
                  <wp:extent cx="5334000" cy="2370666"/>
                  <wp:effectExtent b="0" l="0" r="0" t="0"/>
                  <wp:docPr descr="" title="" id="634" name="Picture"/>
                  <a:graphic>
                    <a:graphicData uri="http://schemas.openxmlformats.org/drawingml/2006/picture">
                      <pic:pic>
                        <pic:nvPicPr>
                          <pic:cNvPr descr="07_rapport_environnement_files/figure-docx/fig-evol-feux-1.png" id="635" name="Picture"/>
                          <pic:cNvPicPr>
                            <a:picLocks noChangeArrowheads="1" noChangeAspect="1"/>
                          </pic:cNvPicPr>
                        </pic:nvPicPr>
                        <pic:blipFill>
                          <a:blip r:embed="rId633"/>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7.14: Évolution perçue des feux depuis 3 ans, par observatoire</w:t>
            </w:r>
          </w:p>
          <w:bookmarkEnd w:id="636"/>
        </w:tc>
      </w:tr>
    </w:tbl>
    <w:tbl>
      <w:tblPr>
        <w:tblStyle w:val="Table"/>
        <w:tblW w:type="pct" w:w="5000"/>
        <w:tblLayout w:type="fixed"/>
        <w:tblLook w:firstRow="0" w:lastRow="0" w:firstColumn="0" w:lastColumn="0" w:noHBand="0" w:noVBand="0" w:val="0000"/>
      </w:tblPr>
      <w:tblGrid>
        <w:gridCol w:w="7920"/>
      </w:tblGrid>
      <w:tr>
        <w:tc>
          <w:tcPr/>
          <w:bookmarkStart w:id="640" w:name="fig-probleme-feux"/>
          <w:p>
            <w:pPr>
              <w:pStyle w:val="Compact"/>
              <w:jc w:val="center"/>
            </w:pPr>
            <w:r>
              <w:drawing>
                <wp:inline>
                  <wp:extent cx="5334000" cy="2370666"/>
                  <wp:effectExtent b="0" l="0" r="0" t="0"/>
                  <wp:docPr descr="" title="" id="638" name="Picture"/>
                  <a:graphic>
                    <a:graphicData uri="http://schemas.openxmlformats.org/drawingml/2006/picture">
                      <pic:pic>
                        <pic:nvPicPr>
                          <pic:cNvPr descr="07_rapport_environnement_files/figure-docx/fig-probleme-feux-1.png" id="639" name="Picture"/>
                          <pic:cNvPicPr>
                            <a:picLocks noChangeArrowheads="1" noChangeAspect="1"/>
                          </pic:cNvPicPr>
                        </pic:nvPicPr>
                        <pic:blipFill>
                          <a:blip r:embed="rId637"/>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7.15: Les feux sont-ils un problème dans la région ? (par observatoire)</w:t>
            </w:r>
          </w:p>
          <w:bookmarkEnd w:id="640"/>
        </w:tc>
      </w:tr>
    </w:tbl>
    <w:tbl>
      <w:tblPr>
        <w:tblStyle w:val="Table"/>
        <w:tblW w:type="pct" w:w="5000"/>
        <w:tblLayout w:type="fixed"/>
        <w:tblLook w:firstRow="0" w:lastRow="0" w:firstColumn="0" w:lastColumn="0" w:noHBand="0" w:noVBand="0" w:val="0000"/>
      </w:tblPr>
      <w:tblGrid>
        <w:gridCol w:w="7920"/>
      </w:tblGrid>
      <w:tr>
        <w:tc>
          <w:tcPr/>
          <w:bookmarkStart w:id="644" w:name="fig-reglementation-feux"/>
          <w:p>
            <w:pPr>
              <w:pStyle w:val="Compact"/>
              <w:jc w:val="center"/>
            </w:pPr>
            <w:r>
              <w:drawing>
                <wp:inline>
                  <wp:extent cx="5334000" cy="2667000"/>
                  <wp:effectExtent b="0" l="0" r="0" t="0"/>
                  <wp:docPr descr="" title="" id="642" name="Picture"/>
                  <a:graphic>
                    <a:graphicData uri="http://schemas.openxmlformats.org/drawingml/2006/picture">
                      <pic:pic>
                        <pic:nvPicPr>
                          <pic:cNvPr descr="07_rapport_environnement_files/figure-docx/fig-reglementation-feux-1.png" id="643" name="Picture"/>
                          <pic:cNvPicPr>
                            <a:picLocks noChangeArrowheads="1" noChangeAspect="1"/>
                          </pic:cNvPicPr>
                        </pic:nvPicPr>
                        <pic:blipFill>
                          <a:blip r:embed="rId64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7.16: La pratique du feu devrait être… (par observatoire)</w:t>
            </w:r>
          </w:p>
          <w:bookmarkEnd w:id="644"/>
        </w:tc>
      </w:tr>
    </w:tbl>
    <w:bookmarkEnd w:id="645"/>
    <w:bookmarkEnd w:id="646"/>
    <w:bookmarkStart w:id="674" w:name="sec-protection"/>
    <w:p>
      <w:pPr>
        <w:pStyle w:val="Heading2"/>
      </w:pPr>
      <w:r>
        <w:t xml:space="preserve">7.4 Protection de l’Aire protégée</w:t>
      </w:r>
    </w:p>
    <w:bookmarkStart w:id="648" w:name="connaissance-de-laire-protégée"/>
    <w:p>
      <w:pPr>
        <w:pStyle w:val="Heading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647"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647"/>
          <w:p/>
        </w:tc>
      </w:tr>
    </w:tbl>
    <w:bookmarkEnd w:id="648"/>
    <w:bookmarkStart w:id="653" w:name="impact-perçu-des-actions-de-lap"/>
    <w:p>
      <w:pPr>
        <w:pStyle w:val="Heading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652" w:name="fig-jugement-ap"/>
          <w:p>
            <w:pPr>
              <w:pStyle w:val="Compact"/>
              <w:jc w:val="center"/>
            </w:pPr>
            <w:r>
              <w:drawing>
                <wp:inline>
                  <wp:extent cx="5334000" cy="2667000"/>
                  <wp:effectExtent b="0" l="0" r="0" t="0"/>
                  <wp:docPr descr="" title="" id="650" name="Picture"/>
                  <a:graphic>
                    <a:graphicData uri="http://schemas.openxmlformats.org/drawingml/2006/picture">
                      <pic:pic>
                        <pic:nvPicPr>
                          <pic:cNvPr descr="07_rapport_environnement_files/figure-docx/fig-jugement-ap-1.png" id="651" name="Picture"/>
                          <pic:cNvPicPr>
                            <a:picLocks noChangeArrowheads="1" noChangeAspect="1"/>
                          </pic:cNvPicPr>
                        </pic:nvPicPr>
                        <pic:blipFill>
                          <a:blip r:embed="rId64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7.17: Jugement des actions de l’AP sur la situation économique, sociale et environnementale</w:t>
            </w:r>
          </w:p>
          <w:bookmarkEnd w:id="652"/>
        </w:tc>
      </w:tr>
    </w:tbl>
    <w:bookmarkEnd w:id="653"/>
    <w:bookmarkStart w:id="658" w:name="gestionnaire-souhaité"/>
    <w:p>
      <w:pPr>
        <w:pStyle w:val="Heading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657" w:name="fig-gestionnaire"/>
          <w:p>
            <w:pPr>
              <w:pStyle w:val="Compact"/>
              <w:jc w:val="center"/>
            </w:pPr>
            <w:r>
              <w:drawing>
                <wp:inline>
                  <wp:extent cx="5334000" cy="2370666"/>
                  <wp:effectExtent b="0" l="0" r="0" t="0"/>
                  <wp:docPr descr="" title="" id="655" name="Picture"/>
                  <a:graphic>
                    <a:graphicData uri="http://schemas.openxmlformats.org/drawingml/2006/picture">
                      <pic:pic>
                        <pic:nvPicPr>
                          <pic:cNvPr descr="07_rapport_environnement_files/figure-docx/fig-gestionnaire-1.png" id="656" name="Picture"/>
                          <pic:cNvPicPr>
                            <a:picLocks noChangeArrowheads="1" noChangeAspect="1"/>
                          </pic:cNvPicPr>
                        </pic:nvPicPr>
                        <pic:blipFill>
                          <a:blip r:embed="rId654"/>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7.18: Qui devrait gérer l’AP ? (parmi ceux favorables à la protection)</w:t>
            </w:r>
          </w:p>
          <w:bookmarkEnd w:id="657"/>
        </w:tc>
      </w:tr>
    </w:tbl>
    <w:bookmarkEnd w:id="658"/>
    <w:bookmarkStart w:id="663" w:name="mesures-de-protection-souhaitées"/>
    <w:p>
      <w:pPr>
        <w:pStyle w:val="Heading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662" w:name="fig-mesures-protection"/>
          <w:p>
            <w:pPr>
              <w:pStyle w:val="Compact"/>
              <w:jc w:val="center"/>
            </w:pPr>
            <w:r>
              <w:drawing>
                <wp:inline>
                  <wp:extent cx="5334000" cy="3733800"/>
                  <wp:effectExtent b="0" l="0" r="0" t="0"/>
                  <wp:docPr descr="" title="" id="660" name="Picture"/>
                  <a:graphic>
                    <a:graphicData uri="http://schemas.openxmlformats.org/drawingml/2006/picture">
                      <pic:pic>
                        <pic:nvPicPr>
                          <pic:cNvPr descr="07_rapport_environnement_files/figure-docx/fig-mesures-protection-1.png" id="661" name="Picture"/>
                          <pic:cNvPicPr>
                            <a:picLocks noChangeArrowheads="1" noChangeAspect="1"/>
                          </pic:cNvPicPr>
                        </pic:nvPicPr>
                        <pic:blipFill>
                          <a:blip r:embed="rId659"/>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7.19: Mesures souhaitées pour protéger l’AP (% de Oui, parmi ceux favorables)</w:t>
            </w:r>
          </w:p>
          <w:bookmarkEnd w:id="662"/>
        </w:tc>
      </w:tr>
    </w:tbl>
    <w:bookmarkEnd w:id="663"/>
    <w:bookmarkStart w:id="668" w:name="Xb8ae756bccb17fd6df4bc4692a06ffe8634129b"/>
    <w:p>
      <w:pPr>
        <w:pStyle w:val="Heading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667" w:name="fig-priorite"/>
          <w:p>
            <w:pPr>
              <w:pStyle w:val="Compact"/>
              <w:jc w:val="center"/>
            </w:pPr>
            <w:r>
              <w:drawing>
                <wp:inline>
                  <wp:extent cx="5334000" cy="2667000"/>
                  <wp:effectExtent b="0" l="0" r="0" t="0"/>
                  <wp:docPr descr="" title="" id="665" name="Picture"/>
                  <a:graphic>
                    <a:graphicData uri="http://schemas.openxmlformats.org/drawingml/2006/picture">
                      <pic:pic>
                        <pic:nvPicPr>
                          <pic:cNvPr descr="07_rapport_environnement_files/figure-docx/fig-priorite-1.png" id="666" name="Picture"/>
                          <pic:cNvPicPr>
                            <a:picLocks noChangeArrowheads="1" noChangeAspect="1"/>
                          </pic:cNvPicPr>
                        </pic:nvPicPr>
                        <pic:blipFill>
                          <a:blip r:embed="rId66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7.20: Pauvreté vs. protection de l’environnement : quelle priorité ? (par observatoire)</w:t>
            </w:r>
          </w:p>
          <w:bookmarkEnd w:id="667"/>
        </w:tc>
      </w:tr>
    </w:tbl>
    <w:bookmarkEnd w:id="668"/>
    <w:bookmarkStart w:id="673" w:name="connaissance-des-actions-de-protection"/>
    <w:p>
      <w:pPr>
        <w:pStyle w:val="Heading3"/>
      </w:pPr>
      <w:r>
        <w:t xml:space="preserve">7.4.6 Connaissance des actions de protection</w:t>
      </w:r>
    </w:p>
    <w:p>
      <w:pPr>
        <w:pStyle w:val="FirstParagraph"/>
      </w:pPr>
      <w:r>
        <w:t xml:space="preserve">La</w:t>
      </w:r>
      <w:r>
        <w:t xml:space="preserve"> </w:t>
      </w:r>
      <w:hyperlink w:anchor="fig-actions-ap">
        <w:r>
          <w:rPr>
            <w:rStyle w:val="Hyperlink"/>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672" w:name="fig-actions-ap"/>
          <w:p>
            <w:pPr>
              <w:pStyle w:val="Compact"/>
              <w:jc w:val="center"/>
            </w:pPr>
            <w:r>
              <w:drawing>
                <wp:inline>
                  <wp:extent cx="5334000" cy="3733800"/>
                  <wp:effectExtent b="0" l="0" r="0" t="0"/>
                  <wp:docPr descr="" title="" id="670" name="Picture"/>
                  <a:graphic>
                    <a:graphicData uri="http://schemas.openxmlformats.org/drawingml/2006/picture">
                      <pic:pic>
                        <pic:nvPicPr>
                          <pic:cNvPr descr="07_rapport_environnement_files/figure-docx/fig-actions-ap-1.png" id="671" name="Picture"/>
                          <pic:cNvPicPr>
                            <a:picLocks noChangeArrowheads="1" noChangeAspect="1"/>
                          </pic:cNvPicPr>
                        </pic:nvPicPr>
                        <pic:blipFill>
                          <a:blip r:embed="rId669"/>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7.21: Information, consultation et bénéfice des actions de l’AP (% de Oui), par observatoire</w:t>
            </w:r>
          </w:p>
          <w:bookmarkEnd w:id="672"/>
        </w:tc>
      </w:tr>
    </w:tbl>
    <w:bookmarkEnd w:id="673"/>
    <w:bookmarkEnd w:id="674"/>
    <w:bookmarkEnd w:id="675"/>
    <w:bookmarkStart w:id="709" w:name="cataclysmes-et-catastrophes"/>
    <w:p>
      <w:pPr>
        <w:pStyle w:val="Heading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BodyText"/>
      </w:pPr>
      <w:r>
        <w:t xml:space="preserve">Deux fichiers de données sont mobilisés :</w:t>
      </w:r>
    </w:p>
    <w:p>
      <w:pPr>
        <w:pStyle w:val="Compact"/>
        <w:numPr>
          <w:ilvl w:val="0"/>
          <w:numId w:val="1006"/>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6"/>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C:\Users\fbede\AppData\Local\Programs\Quarto\share\formats\docx\warning.png" id="6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684" w:name="prévalence-des-cataclysmes"/>
    <w:p>
      <w:pPr>
        <w:pStyle w:val="Heading2"/>
      </w:pPr>
      <w:r>
        <w:t xml:space="preserve">8.1 Prévalence des cataclysmes</w:t>
      </w:r>
    </w:p>
    <w:p>
      <w:pPr>
        <w:pStyle w:val="FirstParagraph"/>
      </w:pPr>
      <w:r>
        <w:t xml:space="preserve">L’exposition aux aléas climatiques et biologiques est très élevée dans les deux observatoires.</w:t>
      </w:r>
    </w:p>
    <w:p>
      <w:pPr>
        <w:pStyle w:val="BodyText"/>
      </w:pPr>
      <w:r>
        <w:t xml:space="preserve">Dans l’Alaotra, 73 % des ménages déclarent avoir été touchés par au moins un événement. Les ménages affectés subissent en moyenne 1.8 événements. Le cataclysme le plus fréquemment cité est « Sécheresse ».</w:t>
      </w:r>
    </w:p>
    <w:p>
      <w:pPr>
        <w:pStyle w:val="BodyText"/>
      </w:pPr>
      <w:r>
        <w:t xml:space="preserve">A Marovoay, 71.1 % des ménages déclarent avoir été touchés par au moins un événement. Les ménages affectés subissent en moyenne 1.5 événements. Le cataclysme le plus fréquemment cité est « Sécheresse ».</w:t>
      </w:r>
    </w:p>
    <w:bookmarkStart w:id="678" w:name="taux-dexposition-global"/>
    <w:p>
      <w:pPr>
        <w:pStyle w:val="Heading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BodyText"/>
      </w:pPr>
      <w:r>
        <w:t xml:space="preserve">Le taux d’exposition aux cataclysmes est très élevé dans les deux observatoires.</w:t>
      </w:r>
    </w:p>
    <w:bookmarkEnd w:id="678"/>
    <w:bookmarkStart w:id="682" w:name="prévalence-par-type-de-catastrophe"/>
    <w:p>
      <w:pPr>
        <w:pStyle w:val="Heading3"/>
      </w:pPr>
      <w:r>
        <w:t xml:space="preserve">8.1.2 Prévalence par type de catastrophe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Prévalence des types de cataclysmes par observatoire</w:t>
            </w:r>
          </w:p>
        </w:tc>
      </w:tr>
      <w:tr>
        <w:trPr>
          <w:tblHeader w:val="on"/>
        </w:trPr>
        <w:tc>
          <w:tcPr>
            <w:gridSpan w:val="5"/>
          </w:tcPr>
          <w:p>
            <w:pPr>
              <w:pStyle w:val="Compact"/>
              <w:jc w:val="center"/>
            </w:pPr>
            <w:r>
              <w:t xml:space="preserve">Nombre et % de ménages ayant déclaré l'événement</w:t>
            </w:r>
          </w:p>
        </w:tc>
      </w:tr>
      <w:tr>
        <w:trPr>
          <w:tblHeader w:val="on"/>
        </w:trPr>
        <w:tc>
          <w:tcPr>
            <w:vMerge w:val="restart"/>
          </w:tcPr>
          <w:p>
            <w:pPr>
              <w:pStyle w:val="Compact"/>
              <w:jc w:val="left"/>
            </w:pPr>
            <w:r>
              <w:t xml:space="preserve">Type de Catastrophe</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56.4</w:t>
            </w:r>
          </w:p>
        </w:tc>
        <w:tc>
          <w:tcPr/>
          <w:p>
            <w:pPr>
              <w:pStyle w:val="Compact"/>
              <w:jc w:val="right"/>
            </w:pPr>
            <w:r>
              <w:t xml:space="preserve">272</w:t>
            </w:r>
          </w:p>
        </w:tc>
        <w:tc>
          <w:tcPr/>
          <w:p>
            <w:pPr>
              <w:pStyle w:val="Compact"/>
              <w:jc w:val="right"/>
            </w:pPr>
            <w:r>
              <w:t xml:space="preserve">52.4</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13.0</w:t>
            </w:r>
          </w:p>
        </w:tc>
        <w:tc>
          <w:tcPr/>
          <w:p>
            <w:pPr>
              <w:pStyle w:val="Compact"/>
              <w:jc w:val="right"/>
            </w:pPr>
            <w:r>
              <w:t xml:space="preserve">104</w:t>
            </w:r>
          </w:p>
        </w:tc>
        <w:tc>
          <w:tcPr/>
          <w:p>
            <w:pPr>
              <w:pStyle w:val="Compact"/>
              <w:jc w:val="right"/>
            </w:pPr>
            <w:r>
              <w:t xml:space="preserve">20.0</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13.4</w:t>
            </w:r>
          </w:p>
        </w:tc>
        <w:tc>
          <w:tcPr/>
          <w:p>
            <w:pPr>
              <w:pStyle w:val="Compact"/>
              <w:jc w:val="right"/>
            </w:pPr>
            <w:r>
              <w:t xml:space="preserve">42</w:t>
            </w:r>
          </w:p>
        </w:tc>
        <w:tc>
          <w:tcPr/>
          <w:p>
            <w:pPr>
              <w:pStyle w:val="Compact"/>
              <w:jc w:val="right"/>
            </w:pPr>
            <w:r>
              <w:t xml:space="preserve">8.1</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13.0</w:t>
            </w:r>
          </w:p>
        </w:tc>
        <w:tc>
          <w:tcPr/>
          <w:p>
            <w:pPr>
              <w:pStyle w:val="Compact"/>
              <w:jc w:val="right"/>
            </w:pPr>
            <w:r>
              <w:t xml:space="preserve">42</w:t>
            </w:r>
          </w:p>
        </w:tc>
        <w:tc>
          <w:tcPr/>
          <w:p>
            <w:pPr>
              <w:pStyle w:val="Compact"/>
              <w:jc w:val="right"/>
            </w:pPr>
            <w:r>
              <w:t xml:space="preserve">8.1</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15.2</w:t>
            </w:r>
          </w:p>
        </w:tc>
        <w:tc>
          <w:tcPr/>
          <w:p>
            <w:pPr>
              <w:pStyle w:val="Compact"/>
              <w:jc w:val="right"/>
            </w:pPr>
            <w:r>
              <w:t xml:space="preserve">18</w:t>
            </w:r>
          </w:p>
        </w:tc>
        <w:tc>
          <w:tcPr/>
          <w:p>
            <w:pPr>
              <w:pStyle w:val="Compact"/>
              <w:jc w:val="right"/>
            </w:pPr>
            <w:r>
              <w:t xml:space="preserve">3.5</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9.5</w:t>
            </w:r>
          </w:p>
        </w:tc>
        <w:tc>
          <w:tcPr/>
          <w:p>
            <w:pPr>
              <w:pStyle w:val="Compact"/>
              <w:jc w:val="right"/>
            </w:pPr>
            <w:r>
              <w:t xml:space="preserve">16</w:t>
            </w:r>
          </w:p>
        </w:tc>
        <w:tc>
          <w:tcPr/>
          <w:p>
            <w:pPr>
              <w:pStyle w:val="Compact"/>
              <w:jc w:val="right"/>
            </w:pPr>
            <w:r>
              <w:t xml:space="preserve">3.1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5.5</w:t>
            </w:r>
          </w:p>
        </w:tc>
        <w:tc>
          <w:tcPr/>
          <w:p>
            <w:pPr>
              <w:pStyle w:val="Compact"/>
              <w:jc w:val="right"/>
            </w:pPr>
            <w:r>
              <w:t xml:space="preserve">16</w:t>
            </w:r>
          </w:p>
        </w:tc>
        <w:tc>
          <w:tcPr/>
          <w:p>
            <w:pPr>
              <w:pStyle w:val="Compact"/>
              <w:jc w:val="right"/>
            </w:pPr>
            <w:r>
              <w:t xml:space="preserve">3.1</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2.2</w:t>
            </w:r>
          </w:p>
        </w:tc>
        <w:tc>
          <w:tcPr/>
          <w:p>
            <w:pPr>
              <w:pStyle w:val="Compact"/>
              <w:jc w:val="right"/>
            </w:pPr>
            <w:r>
              <w:t xml:space="preserve">15</w:t>
            </w:r>
          </w:p>
        </w:tc>
        <w:tc>
          <w:tcPr/>
          <w:p>
            <w:pPr>
              <w:pStyle w:val="Compact"/>
              <w:jc w:val="right"/>
            </w:pPr>
            <w:r>
              <w:t xml:space="preserve">2.9</w:t>
            </w:r>
          </w:p>
        </w:tc>
      </w:tr>
      <w:tr>
        <w:tc>
          <w:tcPr/>
          <w:p>
            <w:pPr>
              <w:pStyle w:val="Compact"/>
              <w:jc w:val="left"/>
            </w:pPr>
            <w:r>
              <w:t xml:space="preserve">Criquets</w:t>
            </w:r>
          </w:p>
        </w:tc>
        <w:tc>
          <w:tcPr/>
          <w:p>
            <w:pPr>
              <w:pStyle w:val="Compact"/>
              <w:jc w:val="right"/>
            </w:pPr>
            <w:r>
              <w:t xml:space="preserve">2</w:t>
            </w:r>
          </w:p>
        </w:tc>
        <w:tc>
          <w:tcPr/>
          <w:p>
            <w:pPr>
              <w:pStyle w:val="Compact"/>
              <w:jc w:val="right"/>
            </w:pPr>
            <w:r>
              <w:t xml:space="preserve">0.4</w:t>
            </w:r>
          </w:p>
        </w:tc>
        <w:tc>
          <w:tcPr/>
          <w:p>
            <w:pPr>
              <w:pStyle w:val="Compact"/>
              <w:jc w:val="right"/>
            </w:pPr>
            <w:r>
              <w:t xml:space="preserve">20</w:t>
            </w:r>
          </w:p>
        </w:tc>
        <w:tc>
          <w:tcPr/>
          <w:p>
            <w:pPr>
              <w:pStyle w:val="Compact"/>
              <w:jc w:val="right"/>
            </w:pPr>
            <w:r>
              <w:t xml:space="preserve">3.9</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0.6</w:t>
            </w:r>
          </w:p>
        </w:tc>
      </w:tr>
      <w:tr>
        <w:tc>
          <w:tcPr/>
          <w:p>
            <w:pPr>
              <w:pStyle w:val="Compact"/>
              <w:jc w:val="left"/>
            </w:pPr>
            <w:r>
              <w:t xml:space="preserve">Incendie / Foudre</w:t>
            </w:r>
          </w:p>
        </w:tc>
        <w:tc>
          <w:tcPr/>
          <w:p>
            <w:pPr>
              <w:pStyle w:val="Compact"/>
              <w:jc w:val="right"/>
            </w:pPr>
            <w:r>
              <w:t xml:space="preserve">4</w:t>
            </w:r>
          </w:p>
        </w:tc>
        <w:tc>
          <w:tcPr/>
          <w:p>
            <w:pPr>
              <w:pStyle w:val="Compact"/>
              <w:jc w:val="right"/>
            </w:pPr>
            <w:r>
              <w:t xml:space="preserve">0.8</w:t>
            </w:r>
          </w:p>
        </w:tc>
        <w:tc>
          <w:tcPr/>
          <w:p>
            <w:pPr>
              <w:pStyle w:val="Compact"/>
              <w:jc w:val="right"/>
            </w:pPr>
            <w:r>
              <w:t xml:space="preserve">2</w:t>
            </w:r>
          </w:p>
        </w:tc>
        <w:tc>
          <w:tcPr/>
          <w:p>
            <w:pPr>
              <w:pStyle w:val="Compact"/>
              <w:jc w:val="right"/>
            </w:pPr>
            <w:r>
              <w:t xml:space="preserve">0.4</w:t>
            </w:r>
          </w:p>
        </w:tc>
      </w:tr>
      <w:tr>
        <w:tc>
          <w:tcPr/>
          <w:p>
            <w:pPr>
              <w:pStyle w:val="Compact"/>
              <w:jc w:val="left"/>
            </w:pPr>
            <w:r>
              <w:t xml:space="preserve">Oiseaux</w:t>
            </w:r>
          </w:p>
        </w:tc>
        <w:tc>
          <w:tcPr/>
          <w:p>
            <w:pPr>
              <w:pStyle w:val="Compact"/>
              <w:jc w:val="right"/>
            </w:pPr>
            <w:r>
              <w:t xml:space="preserve">4</w:t>
            </w:r>
          </w:p>
        </w:tc>
        <w:tc>
          <w:tcPr/>
          <w:p>
            <w:pPr>
              <w:pStyle w:val="Compact"/>
              <w:jc w:val="right"/>
            </w:pPr>
            <w:r>
              <w:t xml:space="preserve">0.8</w:t>
            </w:r>
          </w:p>
        </w:tc>
        <w:tc>
          <w:tcPr/>
          <w:p>
            <w:pPr>
              <w:pStyle w:val="Compact"/>
              <w:jc w:val="right"/>
            </w:pPr>
            <w:r>
              <w:t xml:space="preserve">0</w:t>
            </w:r>
          </w:p>
        </w:tc>
        <w:tc>
          <w:tcPr/>
          <w:p>
            <w:pPr>
              <w:pStyle w:val="Compact"/>
              <w:jc w:val="right"/>
            </w:pPr>
            <w:r>
              <w:t xml:space="preserve">0.0</w:t>
            </w:r>
          </w:p>
        </w:tc>
      </w:tr>
    </w:tbl>
    <w:p>
      <w:pPr>
        <w:pStyle w:val="BodyText"/>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BodyText"/>
      </w:pPr>
      <w:r>
        <w:drawing>
          <wp:inline>
            <wp:extent cx="4620126" cy="3696101"/>
            <wp:effectExtent b="0" l="0" r="0" t="0"/>
            <wp:docPr descr="" title="" id="680" name="Picture"/>
            <a:graphic>
              <a:graphicData uri="http://schemas.openxmlformats.org/drawingml/2006/picture">
                <pic:pic>
                  <pic:nvPicPr>
                    <pic:cNvPr descr="08_cataclysme_catastrophe_files/figure-docx/g1_prevalence_type-1.png" id="681" name="Picture"/>
                    <pic:cNvPicPr>
                      <a:picLocks noChangeArrowheads="1" noChangeAspect="1"/>
                    </pic:cNvPicPr>
                  </pic:nvPicPr>
                  <pic:blipFill>
                    <a:blip r:embed="rId679"/>
                    <a:stretch>
                      <a:fillRect/>
                    </a:stretch>
                  </pic:blipFill>
                  <pic:spPr bwMode="auto">
                    <a:xfrm>
                      <a:off x="0" y="0"/>
                      <a:ext cx="4620126" cy="3696101"/>
                    </a:xfrm>
                    <a:prstGeom prst="rect">
                      <a:avLst/>
                    </a:prstGeom>
                    <a:noFill/>
                    <a:ln w="9525">
                      <a:noFill/>
                      <a:headEnd/>
                      <a:tailEnd/>
                    </a:ln>
                  </pic:spPr>
                </pic:pic>
              </a:graphicData>
            </a:graphic>
          </wp:inline>
        </w:drawing>
      </w:r>
    </w:p>
    <w:bookmarkEnd w:id="682"/>
    <w:bookmarkStart w:id="683" w:name="nombre-moyen-de-catastrophes-par-ménage"/>
    <w:p>
      <w:pPr>
        <w:pStyle w:val="Heading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683"/>
    <w:bookmarkEnd w:id="684"/>
    <w:bookmarkStart w:id="692" w:name="sévérité-des-dégâts"/>
    <w:p>
      <w:pPr>
        <w:pStyle w:val="Heading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BodyText"/>
      </w:pPr>
      <w:r>
        <w:t xml:space="preserve">Les niveaux de dégâts sont codés ainsi :</w:t>
      </w:r>
    </w:p>
    <w:p>
      <w:pPr>
        <w:pStyle w:val="Compact"/>
        <w:numPr>
          <w:ilvl w:val="0"/>
          <w:numId w:val="1007"/>
        </w:numPr>
      </w:pPr>
      <w:r>
        <w:rPr>
          <w:b/>
          <w:bCs/>
        </w:rPr>
        <w:t xml:space="preserve">Logement et élevage</w:t>
      </w:r>
      <w:r>
        <w:t xml:space="preserve"> </w:t>
      </w:r>
      <w:r>
        <w:t xml:space="preserve">: 1 = Rien, 2 = Un peu, 3 = Beaucoup (plus de la moitié), 4 = Destruction totale</w:t>
      </w:r>
    </w:p>
    <w:p>
      <w:pPr>
        <w:pStyle w:val="Compact"/>
        <w:numPr>
          <w:ilvl w:val="0"/>
          <w:numId w:val="1007"/>
        </w:numPr>
      </w:pPr>
      <w:r>
        <w:rPr>
          <w:b/>
          <w:bCs/>
        </w:rPr>
        <w:t xml:space="preserve">Personnes</w:t>
      </w:r>
      <w:r>
        <w:t xml:space="preserve"> </w:t>
      </w:r>
      <w:r>
        <w:t xml:space="preserve">: 1 = Aucun, 2 = Blessure/Maladie, 3 = Décès/Porté disparu, 4 = Manque de vivres</w:t>
      </w:r>
    </w:p>
    <w:bookmarkStart w:id="685" w:name="dégâts-sur-le-logement"/>
    <w:p>
      <w:pPr>
        <w:pStyle w:val="Heading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Dégâts sur le logement par type de catastrophe</w:t>
            </w:r>
          </w:p>
        </w:tc>
      </w:tr>
      <w:tr>
        <w:trPr>
          <w:tblHeader w:val="on"/>
        </w:trPr>
        <w:tc>
          <w:tcPr>
            <w:gridSpan w:val="7"/>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gridSpan w:val="3"/>
          </w:tcPr>
          <w:p>
            <w:pPr>
              <w:pStyle w:val="Compact"/>
              <w:jc w:val="center"/>
            </w:pPr>
            <w:r>
              <w:t xml:space="preserve">Alaotra</w:t>
            </w:r>
          </w:p>
        </w:tc>
        <w:tc>
          <w:tcPr>
            <w:gridSpan w:val="3"/>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N</w:t>
            </w:r>
          </w:p>
        </w:tc>
        <w:tc>
          <w:tcPr/>
          <w:p>
            <w:pPr>
              <w:pStyle w:val="Compact"/>
              <w:jc w:val="right"/>
            </w:pPr>
            <w:r>
              <w:t xml:space="preserve">Dégâts</w:t>
            </w:r>
          </w:p>
        </w:tc>
        <w:tc>
          <w:tcPr/>
          <w:p>
            <w:pPr>
              <w:pStyle w:val="Compact"/>
              <w:jc w:val="right"/>
            </w:pPr>
            <w:r>
              <w:t xml:space="preserve">%</w:t>
            </w:r>
          </w:p>
        </w:tc>
        <w:tc>
          <w:tcPr/>
          <w:p>
            <w:pPr>
              <w:pStyle w:val="Compact"/>
              <w:jc w:val="right"/>
            </w:pPr>
            <w:r>
              <w:t xml:space="preserve">N</w:t>
            </w:r>
          </w:p>
        </w:tc>
        <w:tc>
          <w:tcPr/>
          <w:p>
            <w:pPr>
              <w:pStyle w:val="Compact"/>
              <w:jc w:val="right"/>
            </w:pPr>
            <w:r>
              <w:t xml:space="preserve">Dégâts</w:t>
            </w:r>
          </w:p>
        </w:tc>
        <w:tc>
          <w:tcPr/>
          <w:p>
            <w:pPr>
              <w:pStyle w:val="Compact"/>
              <w:jc w:val="right"/>
            </w:pPr>
            <w:r>
              <w:t xml:space="preserve">%</w:t>
            </w:r>
          </w:p>
        </w:tc>
      </w:tr>
      <w:tr>
        <w:tc>
          <w:tcPr/>
          <w:p>
            <w:pPr>
              <w:pStyle w:val="Compact"/>
              <w:jc w:val="left"/>
            </w:pPr>
            <w:r>
              <w:t xml:space="preserve">Cyclone</w:t>
            </w:r>
          </w:p>
        </w:tc>
        <w:tc>
          <w:tcPr/>
          <w:p>
            <w:pPr>
              <w:pStyle w:val="Compact"/>
              <w:jc w:val="right"/>
            </w:pPr>
            <w:r>
              <w:t xml:space="preserve">24</w:t>
            </w:r>
          </w:p>
        </w:tc>
        <w:tc>
          <w:tcPr/>
          <w:p>
            <w:pPr>
              <w:pStyle w:val="Compact"/>
              <w:jc w:val="right"/>
            </w:pPr>
            <w:r>
              <w:t xml:space="preserve">11</w:t>
            </w:r>
          </w:p>
        </w:tc>
        <w:tc>
          <w:tcPr/>
          <w:p>
            <w:pPr>
              <w:pStyle w:val="Compact"/>
              <w:jc w:val="right"/>
            </w:pPr>
            <w:r>
              <w:t xml:space="preserve">45.8</w:t>
            </w:r>
          </w:p>
        </w:tc>
        <w:tc>
          <w:tcPr/>
          <w:p>
            <w:pPr>
              <w:pStyle w:val="Compact"/>
              <w:jc w:val="right"/>
            </w:pPr>
            <w:r>
              <w:t xml:space="preserve">15</w:t>
            </w:r>
          </w:p>
        </w:tc>
        <w:tc>
          <w:tcPr/>
          <w:p>
            <w:pPr>
              <w:pStyle w:val="Compact"/>
              <w:jc w:val="right"/>
            </w:pPr>
            <w:r>
              <w:t xml:space="preserve">9</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64</w:t>
            </w:r>
          </w:p>
        </w:tc>
        <w:tc>
          <w:tcPr/>
          <w:p>
            <w:pPr>
              <w:pStyle w:val="Compact"/>
              <w:jc w:val="right"/>
            </w:pPr>
            <w:r>
              <w:t xml:space="preserve">23</w:t>
            </w:r>
          </w:p>
        </w:tc>
        <w:tc>
          <w:tcPr/>
          <w:p>
            <w:pPr>
              <w:pStyle w:val="Compact"/>
              <w:jc w:val="right"/>
            </w:pPr>
            <w:r>
              <w:t xml:space="preserve">35.9</w:t>
            </w:r>
          </w:p>
        </w:tc>
        <w:tc>
          <w:tcPr/>
          <w:p>
            <w:pPr>
              <w:pStyle w:val="Compact"/>
              <w:jc w:val="right"/>
            </w:pPr>
            <w:r>
              <w:t xml:space="preserve">41</w:t>
            </w:r>
          </w:p>
        </w:tc>
        <w:tc>
          <w:tcPr/>
          <w:p>
            <w:pPr>
              <w:pStyle w:val="Compact"/>
              <w:jc w:val="right"/>
            </w:pPr>
            <w:r>
              <w:t xml:space="preserve">3</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60</w:t>
            </w:r>
          </w:p>
        </w:tc>
        <w:tc>
          <w:tcPr/>
          <w:p>
            <w:pPr>
              <w:pStyle w:val="Compact"/>
              <w:jc w:val="right"/>
            </w:pPr>
            <w:r>
              <w:t xml:space="preserve">5</w:t>
            </w:r>
          </w:p>
        </w:tc>
        <w:tc>
          <w:tcPr/>
          <w:p>
            <w:pPr>
              <w:pStyle w:val="Compact"/>
              <w:jc w:val="right"/>
            </w:pPr>
            <w:r>
              <w:t xml:space="preserve">8.3</w:t>
            </w:r>
          </w:p>
        </w:tc>
        <w:tc>
          <w:tcPr/>
          <w:p>
            <w:pPr>
              <w:pStyle w:val="Compact"/>
              <w:jc w:val="right"/>
            </w:pPr>
            <w:r>
              <w:t xml:space="preserve">39</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72</w:t>
            </w:r>
          </w:p>
        </w:tc>
        <w:tc>
          <w:tcPr/>
          <w:p>
            <w:pPr>
              <w:pStyle w:val="Compact"/>
              <w:jc w:val="right"/>
            </w:pPr>
            <w:r>
              <w:t xml:space="preserve">4</w:t>
            </w:r>
          </w:p>
        </w:tc>
        <w:tc>
          <w:tcPr/>
          <w:p>
            <w:pPr>
              <w:pStyle w:val="Compact"/>
              <w:jc w:val="right"/>
            </w:pPr>
            <w:r>
              <w:t xml:space="preserve">5.6</w:t>
            </w:r>
          </w:p>
        </w:tc>
        <w:tc>
          <w:tcPr/>
          <w:p>
            <w:pPr>
              <w:pStyle w:val="Compact"/>
              <w:jc w:val="right"/>
            </w:pPr>
            <w:r>
              <w:t xml:space="preserve">17</w:t>
            </w:r>
          </w:p>
        </w:tc>
        <w:tc>
          <w:tcPr/>
          <w:p>
            <w:pPr>
              <w:pStyle w:val="Compact"/>
              <w:jc w:val="right"/>
            </w:pPr>
            <w:r>
              <w:t xml:space="preserve">1</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8</w:t>
            </w:r>
          </w:p>
        </w:tc>
        <w:tc>
          <w:tcPr/>
          <w:p>
            <w:pPr>
              <w:pStyle w:val="Compact"/>
              <w:jc w:val="right"/>
            </w:pPr>
            <w:r>
              <w:t xml:space="preserve">0</w:t>
            </w:r>
          </w:p>
        </w:tc>
        <w:tc>
          <w:tcPr/>
          <w:p>
            <w:pPr>
              <w:pStyle w:val="Compact"/>
              <w:jc w:val="right"/>
            </w:pPr>
            <w:r>
              <w:t xml:space="preserve">0.0</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6</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41</w:t>
            </w:r>
          </w:p>
        </w:tc>
        <w:tc>
          <w:tcPr/>
          <w:p>
            <w:pPr>
              <w:pStyle w:val="Compact"/>
              <w:jc w:val="right"/>
            </w:pPr>
            <w:r>
              <w:t xml:space="preserve">0</w:t>
            </w:r>
          </w:p>
        </w:tc>
        <w:tc>
          <w:tcPr/>
          <w:p>
            <w:pPr>
              <w:pStyle w:val="Compact"/>
              <w:jc w:val="right"/>
            </w:pPr>
            <w:r>
              <w:t xml:space="preserve">0.0</w:t>
            </w:r>
          </w:p>
        </w:tc>
        <w:tc>
          <w:tcPr/>
          <w:p>
            <w:pPr>
              <w:pStyle w:val="Compact"/>
              <w:jc w:val="right"/>
            </w:pPr>
            <w:r>
              <w:t xml:space="preserve">14</w:t>
            </w:r>
          </w:p>
        </w:tc>
        <w:tc>
          <w:tcPr/>
          <w:p>
            <w:pPr>
              <w:pStyle w:val="Compact"/>
              <w:jc w:val="right"/>
            </w:pPr>
            <w:r>
              <w:t xml:space="preserve">2</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5</w:t>
            </w:r>
          </w:p>
        </w:tc>
        <w:tc>
          <w:tcPr/>
          <w:p>
            <w:pPr>
              <w:pStyle w:val="Compact"/>
              <w:jc w:val="right"/>
            </w:pPr>
            <w:r>
              <w:t xml:space="preserve">1</w:t>
            </w:r>
          </w:p>
        </w:tc>
        <w:tc>
          <w:tcPr/>
          <w:p>
            <w:pPr>
              <w:pStyle w:val="Compact"/>
              <w:jc w:val="right"/>
            </w:pPr>
            <w:r>
              <w:t xml:space="preserve">20.0</w:t>
            </w:r>
          </w:p>
        </w:tc>
      </w:tr>
    </w:tbl>
    <w:bookmarkEnd w:id="685"/>
    <w:bookmarkStart w:id="686" w:name="dégâts-sur-lélevage"/>
    <w:p>
      <w:pPr>
        <w:pStyle w:val="Heading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r>
        <w:tc>
          <w:tcPr>
            <w:gridSpan w:val="5"/>
          </w:tcPr>
          <w:p>
            <w:pPr>
              <w:pStyle w:val="Compact"/>
              <w:jc w:val="left"/>
            </w:pPr>
            <w:r>
              <w:t xml:space="preserve">Marovoay</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94.4</w:t>
            </w:r>
          </w:p>
        </w:tc>
        <w:tc>
          <w:tcPr/>
          <w:p>
            <w:pPr>
              <w:pStyle w:val="Compact"/>
              <w:jc w:val="right"/>
            </w:pPr>
            <w:r>
              <w:t xml:space="preserve">0.0</w:t>
            </w:r>
          </w:p>
        </w:tc>
        <w:tc>
          <w:tcPr/>
          <w:p>
            <w:pPr>
              <w:pStyle w:val="Compact"/>
              <w:jc w:val="right"/>
            </w:pPr>
            <w:r>
              <w:t xml:space="preserve">5.6</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93.3</w:t>
            </w:r>
          </w:p>
        </w:tc>
        <w:tc>
          <w:tcPr/>
          <w:p>
            <w:pPr>
              <w:pStyle w:val="Compact"/>
              <w:jc w:val="right"/>
            </w:pPr>
            <w:r>
              <w:t xml:space="preserve">6.7</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7.5</w:t>
            </w:r>
          </w:p>
        </w:tc>
        <w:tc>
          <w:tcPr/>
          <w:p>
            <w:pPr>
              <w:pStyle w:val="Compact"/>
              <w:jc w:val="right"/>
            </w:pPr>
            <w:r>
              <w:t xml:space="preserve">90.0</w:t>
            </w:r>
          </w:p>
        </w:tc>
        <w:tc>
          <w:tcPr/>
          <w:p>
            <w:pPr>
              <w:pStyle w:val="Compact"/>
              <w:jc w:val="right"/>
            </w:pPr>
            <w:r>
              <w:t xml:space="preserve">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6.2</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13.3</w:t>
            </w:r>
          </w:p>
        </w:tc>
        <w:tc>
          <w:tcPr/>
          <w:p>
            <w:pPr>
              <w:pStyle w:val="Compact"/>
              <w:jc w:val="right"/>
            </w:pPr>
            <w:r>
              <w:t xml:space="preserve">86.7</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4.6</w:t>
            </w:r>
          </w:p>
        </w:tc>
        <w:tc>
          <w:tcPr/>
          <w:p>
            <w:pPr>
              <w:pStyle w:val="Compact"/>
              <w:jc w:val="right"/>
            </w:pPr>
            <w:r>
              <w:t xml:space="preserve">84.4</w:t>
            </w:r>
          </w:p>
        </w:tc>
        <w:tc>
          <w:tcPr/>
          <w:p>
            <w:pPr>
              <w:pStyle w:val="Compact"/>
              <w:jc w:val="right"/>
            </w:pPr>
            <w:r>
              <w:t xml:space="preserve">9.2</w:t>
            </w:r>
          </w:p>
        </w:tc>
        <w:tc>
          <w:tcPr/>
          <w:p>
            <w:pPr>
              <w:pStyle w:val="Compact"/>
              <w:jc w:val="right"/>
            </w:pPr>
            <w:r>
              <w:t xml:space="preserve">1.9</w:t>
            </w:r>
          </w:p>
        </w:tc>
      </w:tr>
      <w:tr>
        <w:tc>
          <w:tcPr/>
          <w:p>
            <w:pPr>
              <w:pStyle w:val="Compact"/>
              <w:jc w:val="left"/>
            </w:pPr>
            <w:r>
              <w:t xml:space="preserve">Facteur humain</w:t>
            </w:r>
          </w:p>
        </w:tc>
        <w:tc>
          <w:tcPr/>
          <w:p>
            <w:pPr>
              <w:pStyle w:val="Compact"/>
              <w:jc w:val="right"/>
            </w:pPr>
            <w:r>
              <w:t xml:space="preserve">59.0</w:t>
            </w:r>
          </w:p>
        </w:tc>
        <w:tc>
          <w:tcPr/>
          <w:p>
            <w:pPr>
              <w:pStyle w:val="Compact"/>
              <w:jc w:val="right"/>
            </w:pPr>
            <w:r>
              <w:t xml:space="preserve">15.4</w:t>
            </w:r>
          </w:p>
        </w:tc>
        <w:tc>
          <w:tcPr/>
          <w:p>
            <w:pPr>
              <w:pStyle w:val="Compact"/>
              <w:jc w:val="right"/>
            </w:pPr>
            <w:r>
              <w:t xml:space="preserve">25.6</w:t>
            </w:r>
          </w:p>
        </w:tc>
        <w:tc>
          <w:tcPr/>
          <w:p>
            <w:pPr>
              <w:pStyle w:val="Compact"/>
              <w:jc w:val="right"/>
            </w:pPr>
            <w:r>
              <w:t xml:space="preserve">0.0</w:t>
            </w:r>
          </w:p>
        </w:tc>
      </w:tr>
      <w:tr>
        <w:tc>
          <w:tcPr/>
          <w:p>
            <w:pPr>
              <w:pStyle w:val="Compact"/>
              <w:jc w:val="left"/>
            </w:pPr>
            <w:r>
              <w:t xml:space="preserve">Maladie des cultures/élevage</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15.4</w:t>
            </w:r>
          </w:p>
        </w:tc>
        <w:tc>
          <w:tcPr/>
          <w:p>
            <w:pPr>
              <w:pStyle w:val="Compact"/>
              <w:jc w:val="right"/>
            </w:pPr>
            <w:r>
              <w:t xml:space="preserve">9.6</w:t>
            </w:r>
          </w:p>
        </w:tc>
      </w:tr>
    </w:tbl>
    <w:p>
      <w:pPr>
        <w:pStyle w:val="BodyText"/>
      </w:pPr>
      <w:r>
        <w:t xml:space="preserve">Les dégâts sur l’élevage sont particulièrement importants pour certains aléas : les maladies et la sécheresse peuvent entraîner des pertes significatives (catégorie « Beaucoup » ou « Destruction totale »).</w:t>
      </w:r>
    </w:p>
    <w:bookmarkEnd w:id="686"/>
    <w:bookmarkStart w:id="687" w:name="conséquences-sur-les-personnes"/>
    <w:p>
      <w:pPr>
        <w:pStyle w:val="Heading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r>
        <w:tc>
          <w:tcPr>
            <w:gridSpan w:val="5"/>
          </w:tcPr>
          <w:p>
            <w:pPr>
              <w:pStyle w:val="Compact"/>
              <w:jc w:val="left"/>
            </w:pPr>
            <w:r>
              <w:t xml:space="preserve">Marovoay</w:t>
            </w:r>
          </w:p>
        </w:tc>
      </w:tr>
      <w:tr>
        <w:tc>
          <w:tcPr/>
          <w:p>
            <w:pPr>
              <w:pStyle w:val="Compact"/>
              <w:jc w:val="left"/>
            </w:pPr>
            <w:r>
              <w:t xml:space="preserve">Autre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5.3</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11.8</w:t>
            </w:r>
          </w:p>
        </w:tc>
      </w:tr>
      <w:tr>
        <w:tc>
          <w:tcPr/>
          <w:p>
            <w:pPr>
              <w:pStyle w:val="Compact"/>
              <w:jc w:val="left"/>
            </w:pPr>
            <w:r>
              <w:t xml:space="preserve">Maladie des cultures/élevage</w:t>
            </w:r>
          </w:p>
        </w:tc>
        <w:tc>
          <w:tcPr/>
          <w:p>
            <w:pPr>
              <w:pStyle w:val="Compact"/>
              <w:jc w:val="right"/>
            </w:pPr>
            <w:r>
              <w:t xml:space="preserve">80.4</w:t>
            </w:r>
          </w:p>
        </w:tc>
        <w:tc>
          <w:tcPr/>
          <w:p>
            <w:pPr>
              <w:pStyle w:val="Compact"/>
              <w:jc w:val="right"/>
            </w:pPr>
            <w:r>
              <w:t xml:space="preserve">11.8</w:t>
            </w:r>
          </w:p>
        </w:tc>
        <w:tc>
          <w:tcPr/>
          <w:p>
            <w:pPr>
              <w:pStyle w:val="Compact"/>
              <w:jc w:val="right"/>
            </w:pPr>
            <w:r>
              <w:t xml:space="preserve">2.9</w:t>
            </w:r>
          </w:p>
        </w:tc>
        <w:tc>
          <w:tcPr/>
          <w:p>
            <w:pPr>
              <w:pStyle w:val="Compact"/>
              <w:jc w:val="right"/>
            </w:pPr>
            <w:r>
              <w:t xml:space="preserve">4.9</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13.3</w:t>
            </w:r>
          </w:p>
        </w:tc>
      </w:tr>
      <w:tr>
        <w:tc>
          <w:tcPr/>
          <w:p>
            <w:pPr>
              <w:pStyle w:val="Compact"/>
              <w:jc w:val="left"/>
            </w:pPr>
            <w:r>
              <w:t xml:space="preserve">Inondation</w:t>
            </w:r>
          </w:p>
        </w:tc>
        <w:tc>
          <w:tcPr/>
          <w:p>
            <w:pPr>
              <w:pStyle w:val="Compact"/>
              <w:jc w:val="right"/>
            </w:pPr>
            <w:r>
              <w:t xml:space="preserve">62.5</w:t>
            </w:r>
          </w:p>
        </w:tc>
        <w:tc>
          <w:tcPr/>
          <w:p>
            <w:pPr>
              <w:pStyle w:val="Compact"/>
              <w:jc w:val="right"/>
            </w:pPr>
            <w:r>
              <w:t xml:space="preserve">18.8</w:t>
            </w:r>
          </w:p>
        </w:tc>
        <w:tc>
          <w:tcPr/>
          <w:p>
            <w:pPr>
              <w:pStyle w:val="Compact"/>
              <w:jc w:val="right"/>
            </w:pPr>
            <w:r>
              <w:t xml:space="preserve">0.0</w:t>
            </w:r>
          </w:p>
        </w:tc>
        <w:tc>
          <w:tcPr/>
          <w:p>
            <w:pPr>
              <w:pStyle w:val="Compact"/>
              <w:jc w:val="right"/>
            </w:pPr>
            <w:r>
              <w:t xml:space="preserve">18.8</w:t>
            </w:r>
          </w:p>
        </w:tc>
      </w:tr>
      <w:tr>
        <w:tc>
          <w:tcPr/>
          <w:p>
            <w:pPr>
              <w:pStyle w:val="Compact"/>
              <w:jc w:val="left"/>
            </w:pPr>
            <w:r>
              <w:t xml:space="preserve">Sécheresse</w:t>
            </w:r>
          </w:p>
        </w:tc>
        <w:tc>
          <w:tcPr/>
          <w:p>
            <w:pPr>
              <w:pStyle w:val="Compact"/>
              <w:jc w:val="right"/>
            </w:pPr>
            <w:r>
              <w:t xml:space="preserve">47.0</w:t>
            </w:r>
          </w:p>
        </w:tc>
        <w:tc>
          <w:tcPr/>
          <w:p>
            <w:pPr>
              <w:pStyle w:val="Compact"/>
              <w:jc w:val="right"/>
            </w:pPr>
            <w:r>
              <w:t xml:space="preserve">3.8</w:t>
            </w:r>
          </w:p>
        </w:tc>
        <w:tc>
          <w:tcPr/>
          <w:p>
            <w:pPr>
              <w:pStyle w:val="Compact"/>
              <w:jc w:val="right"/>
            </w:pPr>
            <w:r>
              <w:t xml:space="preserve">0.8</w:t>
            </w:r>
          </w:p>
        </w:tc>
        <w:tc>
          <w:tcPr/>
          <w:p>
            <w:pPr>
              <w:pStyle w:val="Compact"/>
              <w:jc w:val="right"/>
            </w:pPr>
            <w:r>
              <w:t xml:space="preserve">48.5</w:t>
            </w:r>
          </w:p>
        </w:tc>
      </w:tr>
    </w:tbl>
    <w:p>
      <w:pPr>
        <w:pStyle w:val="BodyText"/>
      </w:pPr>
      <w:r>
        <w:t xml:space="preserve">La conséquence la plus répandue est le manque de vivres, directement lié aux pertes agricoles. Les décès et disparitions, bien que rares, sont signalés pour certains cataclysmes (inondations, cyclones).</w:t>
      </w:r>
    </w:p>
    <w:bookmarkEnd w:id="687"/>
    <w:bookmarkStart w:id="691" w:name="X8a171b41bcc09a3f8d1a3f452aa03aa06659af0"/>
    <w:p>
      <w:pPr>
        <w:pStyle w:val="Heading3"/>
      </w:pPr>
      <w:r>
        <w:t xml:space="preserve">8.2.4 Profil de sévérité des principaux cataclysmes</w:t>
      </w:r>
    </w:p>
    <w:p>
      <w:pPr>
        <w:pStyle w:val="FirstParagraph"/>
      </w:pPr>
      <w:r>
        <w:drawing>
          <wp:inline>
            <wp:extent cx="4620126" cy="3696101"/>
            <wp:effectExtent b="0" l="0" r="0" t="0"/>
            <wp:docPr descr="" title="" id="689" name="Picture"/>
            <a:graphic>
              <a:graphicData uri="http://schemas.openxmlformats.org/drawingml/2006/picture">
                <pic:pic>
                  <pic:nvPicPr>
                    <pic:cNvPr descr="08_cataclysme_catastrophe_files/figure-docx/g2_severite_profil-1.png" id="690" name="Picture"/>
                    <pic:cNvPicPr>
                      <a:picLocks noChangeArrowheads="1" noChangeAspect="1"/>
                    </pic:cNvPicPr>
                  </pic:nvPicPr>
                  <pic:blipFill>
                    <a:blip r:embed="rId68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691"/>
    <w:bookmarkEnd w:id="692"/>
    <w:bookmarkStart w:id="696" w:name="saisonnalité-des-cataclysmes"/>
    <w:p>
      <w:pPr>
        <w:pStyle w:val="Heading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gridSpan w:val="4"/>
          </w:tcPr>
          <w:p>
            <w:pPr>
              <w:pStyle w:val="Compact"/>
              <w:jc w:val="left"/>
            </w:pPr>
            <w:r>
              <w:t xml:space="preserve">Alaotra</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t xml:space="preserve">Marovoay</w:t>
            </w:r>
          </w:p>
        </w:tc>
      </w:tr>
      <w:tr>
        <w:tc>
          <w:tcPr/>
          <w:p>
            <w:pPr>
              <w:pStyle w:val="Compact"/>
              <w:jc w:val="left"/>
            </w:pPr>
            <w:r>
              <w:t xml:space="preserve">Sécheresse</w:t>
            </w:r>
          </w:p>
        </w:tc>
        <w:tc>
          <w:tcPr/>
          <w:p>
            <w:pPr>
              <w:pStyle w:val="Compact"/>
              <w:jc w:val="right"/>
            </w:pPr>
            <w:r>
              <w:t xml:space="preserve">272</w:t>
            </w:r>
          </w:p>
        </w:tc>
        <w:tc>
          <w:tcPr/>
          <w:p>
            <w:pPr>
              <w:pStyle w:val="Compact"/>
              <w:jc w:val="right"/>
            </w:pPr>
            <w:r>
              <w:t xml:space="preserve">39.7</w:t>
            </w:r>
          </w:p>
        </w:tc>
        <w:tc>
          <w:tcPr/>
          <w:p>
            <w:pPr>
              <w:pStyle w:val="Compact"/>
              <w:jc w:val="right"/>
            </w:pPr>
            <w:r>
              <w:t xml:space="preserve">64.3</w:t>
            </w:r>
          </w:p>
        </w:tc>
      </w:tr>
      <w:tr>
        <w:tc>
          <w:tcPr/>
          <w:p>
            <w:pPr>
              <w:pStyle w:val="Compact"/>
              <w:jc w:val="left"/>
            </w:pPr>
            <w:r>
              <w:t xml:space="preserve">Maladie des cultures/élevage</w:t>
            </w:r>
          </w:p>
        </w:tc>
        <w:tc>
          <w:tcPr/>
          <w:p>
            <w:pPr>
              <w:pStyle w:val="Compact"/>
              <w:jc w:val="right"/>
            </w:pPr>
            <w:r>
              <w:t xml:space="preserve">104</w:t>
            </w:r>
          </w:p>
        </w:tc>
        <w:tc>
          <w:tcPr/>
          <w:p>
            <w:pPr>
              <w:pStyle w:val="Compact"/>
              <w:jc w:val="right"/>
            </w:pPr>
            <w:r>
              <w:t xml:space="preserve">54.8</w:t>
            </w:r>
          </w:p>
        </w:tc>
        <w:tc>
          <w:tcPr/>
          <w:p>
            <w:pPr>
              <w:pStyle w:val="Compact"/>
              <w:jc w:val="right"/>
            </w:pPr>
            <w:r>
              <w:t xml:space="preserve">48.1</w:t>
            </w:r>
          </w:p>
        </w:tc>
      </w:tr>
      <w:tr>
        <w:tc>
          <w:tcPr/>
          <w:p>
            <w:pPr>
              <w:pStyle w:val="Compact"/>
              <w:jc w:val="left"/>
            </w:pPr>
            <w:r>
              <w:t xml:space="preserve">Facteur humain</w:t>
            </w:r>
          </w:p>
        </w:tc>
        <w:tc>
          <w:tcPr/>
          <w:p>
            <w:pPr>
              <w:pStyle w:val="Compact"/>
              <w:jc w:val="right"/>
            </w:pPr>
            <w:r>
              <w:t xml:space="preserve">42</w:t>
            </w:r>
          </w:p>
        </w:tc>
        <w:tc>
          <w:tcPr/>
          <w:p>
            <w:pPr>
              <w:pStyle w:val="Compact"/>
              <w:jc w:val="right"/>
            </w:pPr>
            <w:r>
              <w:t xml:space="preserve">52.4</w:t>
            </w:r>
          </w:p>
        </w:tc>
        <w:tc>
          <w:tcPr/>
          <w:p>
            <w:pPr>
              <w:pStyle w:val="Compact"/>
              <w:jc w:val="right"/>
            </w:pPr>
            <w:r>
              <w:t xml:space="preserve">54.8</w:t>
            </w:r>
          </w:p>
        </w:tc>
      </w:tr>
      <w:tr>
        <w:tc>
          <w:tcPr/>
          <w:p>
            <w:pPr>
              <w:pStyle w:val="Compact"/>
              <w:jc w:val="left"/>
            </w:pPr>
            <w:r>
              <w:t xml:space="preserve">Rats</w:t>
            </w:r>
          </w:p>
        </w:tc>
        <w:tc>
          <w:tcPr/>
          <w:p>
            <w:pPr>
              <w:pStyle w:val="Compact"/>
              <w:jc w:val="right"/>
            </w:pPr>
            <w:r>
              <w:t xml:space="preserve">42</w:t>
            </w:r>
          </w:p>
        </w:tc>
        <w:tc>
          <w:tcPr/>
          <w:p>
            <w:pPr>
              <w:pStyle w:val="Compact"/>
              <w:jc w:val="right"/>
            </w:pPr>
            <w:r>
              <w:t xml:space="preserve">61.9</w:t>
            </w:r>
          </w:p>
        </w:tc>
        <w:tc>
          <w:tcPr/>
          <w:p>
            <w:pPr>
              <w:pStyle w:val="Compact"/>
              <w:jc w:val="right"/>
            </w:pPr>
            <w:r>
              <w:t xml:space="preserve">66.7</w:t>
            </w:r>
          </w:p>
        </w:tc>
      </w:tr>
      <w:tr>
        <w:tc>
          <w:tcPr/>
          <w:p>
            <w:pPr>
              <w:pStyle w:val="Compact"/>
              <w:jc w:val="left"/>
            </w:pPr>
            <w:r>
              <w:t xml:space="preserve">Criquets</w:t>
            </w:r>
          </w:p>
        </w:tc>
        <w:tc>
          <w:tcPr/>
          <w:p>
            <w:pPr>
              <w:pStyle w:val="Compact"/>
              <w:jc w:val="right"/>
            </w:pPr>
            <w:r>
              <w:t xml:space="preserve">20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Autres bestioles</w:t>
            </w:r>
          </w:p>
        </w:tc>
        <w:tc>
          <w:tcPr/>
          <w:p>
            <w:pPr>
              <w:pStyle w:val="Compact"/>
              <w:jc w:val="right"/>
            </w:pPr>
            <w:r>
              <w:t xml:space="preserve">18</w:t>
            </w:r>
          </w:p>
        </w:tc>
        <w:tc>
          <w:tcPr/>
          <w:p>
            <w:pPr>
              <w:pStyle w:val="Compact"/>
              <w:jc w:val="right"/>
            </w:pPr>
            <w:r>
              <w:t xml:space="preserve">44.4</w:t>
            </w:r>
          </w:p>
        </w:tc>
        <w:tc>
          <w:tcPr/>
          <w:p>
            <w:pPr>
              <w:pStyle w:val="Compact"/>
              <w:jc w:val="right"/>
            </w:pPr>
            <w:r>
              <w:t xml:space="preserve">66.7</w:t>
            </w:r>
          </w:p>
        </w:tc>
      </w:tr>
      <w:tr>
        <w:tc>
          <w:tcPr/>
          <w:p>
            <w:pPr>
              <w:pStyle w:val="Compact"/>
              <w:jc w:val="left"/>
            </w:pPr>
            <w:r>
              <w:t xml:space="preserve">Cyclone</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81.2</w:t>
            </w:r>
          </w:p>
        </w:tc>
      </w:tr>
      <w:tr>
        <w:tc>
          <w:tcPr/>
          <w:p>
            <w:pPr>
              <w:pStyle w:val="Compact"/>
              <w:jc w:val="left"/>
            </w:pPr>
            <w:r>
              <w:t xml:space="preserve">Inondation</w:t>
            </w:r>
          </w:p>
        </w:tc>
        <w:tc>
          <w:tcPr/>
          <w:p>
            <w:pPr>
              <w:pStyle w:val="Compact"/>
              <w:jc w:val="right"/>
            </w:pPr>
            <w:r>
              <w:t xml:space="preserve">16</w:t>
            </w:r>
          </w:p>
        </w:tc>
        <w:tc>
          <w:tcPr/>
          <w:p>
            <w:pPr>
              <w:pStyle w:val="Compact"/>
              <w:jc w:val="right"/>
            </w:pPr>
            <w:r>
              <w:t xml:space="preserve">25.0</w:t>
            </w:r>
          </w:p>
        </w:tc>
        <w:tc>
          <w:tcPr/>
          <w:p>
            <w:pPr>
              <w:pStyle w:val="Compact"/>
              <w:jc w:val="right"/>
            </w:pPr>
            <w:r>
              <w:t xml:space="preserve">68.8</w:t>
            </w:r>
          </w:p>
        </w:tc>
      </w:tr>
      <w:tr>
        <w:tc>
          <w:tcPr/>
          <w:p>
            <w:pPr>
              <w:pStyle w:val="Compact"/>
              <w:jc w:val="left"/>
            </w:pPr>
            <w:r>
              <w:t xml:space="preserve">Autre</w:t>
            </w:r>
          </w:p>
        </w:tc>
        <w:tc>
          <w:tcPr/>
          <w:p>
            <w:pPr>
              <w:pStyle w:val="Compact"/>
              <w:jc w:val="right"/>
            </w:pPr>
            <w:r>
              <w:t xml:space="preserve">15</w:t>
            </w:r>
          </w:p>
        </w:tc>
        <w:tc>
          <w:tcPr/>
          <w:p>
            <w:pPr>
              <w:pStyle w:val="Compact"/>
              <w:jc w:val="right"/>
            </w:pPr>
            <w:r>
              <w:t xml:space="preserve">86.7</w:t>
            </w:r>
          </w:p>
        </w:tc>
        <w:tc>
          <w:tcPr/>
          <w:p>
            <w:pPr>
              <w:pStyle w:val="Compact"/>
              <w:jc w:val="right"/>
            </w:pPr>
            <w:r>
              <w:t xml:space="preserve">6.7</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BodyText"/>
      </w:pPr>
      <w:r>
        <w:drawing>
          <wp:inline>
            <wp:extent cx="4620126" cy="3696101"/>
            <wp:effectExtent b="0" l="0" r="0" t="0"/>
            <wp:docPr descr="" title="" id="694" name="Picture"/>
            <a:graphic>
              <a:graphicData uri="http://schemas.openxmlformats.org/drawingml/2006/picture">
                <pic:pic>
                  <pic:nvPicPr>
                    <pic:cNvPr descr="08_cataclysme_catastrophe_files/figure-docx/g3_saisonnalite-1.png" id="695" name="Picture"/>
                    <pic:cNvPicPr>
                      <a:picLocks noChangeArrowheads="1" noChangeAspect="1"/>
                    </pic:cNvPicPr>
                  </pic:nvPicPr>
                  <pic:blipFill>
                    <a:blip r:embed="rId6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696"/>
    <w:bookmarkStart w:id="704" w:name="dégâts-agricoles-par-culture"/>
    <w:p>
      <w:pPr>
        <w:pStyle w:val="Heading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697" w:name="cultures-les-plus-touchées"/>
    <w:p>
      <w:pPr>
        <w:pStyle w:val="Heading3"/>
      </w:pPr>
      <w:r>
        <w:t xml:space="preserve">8.4.1 Cultures les plus touchées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Top 10 des cultures les plus touchées par observatoire</w:t>
            </w:r>
          </w:p>
        </w:tc>
      </w:tr>
      <w:tr>
        <w:trPr>
          <w:tblHeader w:val="on"/>
        </w:trPr>
        <w:tc>
          <w:tcPr>
            <w:gridSpan w:val="3"/>
          </w:tcPr>
          <w:p>
            <w:pPr>
              <w:pStyle w:val="Compact"/>
              <w:jc w:val="center"/>
            </w:pPr>
            <w:r>
              <w:t xml:space="preserve">Nombre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Nb ménages</w:t>
            </w:r>
          </w:p>
        </w:tc>
        <w:tc>
          <w:tcPr/>
          <w:p>
            <w:pPr>
              <w:pStyle w:val="Compact"/>
              <w:jc w:val="right"/>
            </w:pPr>
            <w:r>
              <w:t xml:space="preserve">%</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right"/>
            </w:pPr>
            <w:r>
              <w:t xml:space="preserve">254</w:t>
            </w:r>
          </w:p>
        </w:tc>
        <w:tc>
          <w:tcPr/>
          <w:p>
            <w:pPr>
              <w:pStyle w:val="Compact"/>
              <w:jc w:val="right"/>
            </w:pPr>
            <w:r>
              <w:t xml:space="preserve">66.7</w:t>
            </w:r>
          </w:p>
        </w:tc>
      </w:tr>
      <w:tr>
        <w:tc>
          <w:tcPr/>
          <w:p>
            <w:pPr>
              <w:pStyle w:val="Compact"/>
              <w:jc w:val="left"/>
            </w:pPr>
            <w:r>
              <w:t xml:space="preserve">mais</w:t>
            </w:r>
          </w:p>
        </w:tc>
        <w:tc>
          <w:tcPr/>
          <w:p>
            <w:pPr>
              <w:pStyle w:val="Compact"/>
              <w:jc w:val="right"/>
            </w:pPr>
            <w:r>
              <w:t xml:space="preserve">54</w:t>
            </w:r>
          </w:p>
        </w:tc>
        <w:tc>
          <w:tcPr/>
          <w:p>
            <w:pPr>
              <w:pStyle w:val="Compact"/>
              <w:jc w:val="right"/>
            </w:pPr>
            <w:r>
              <w:t xml:space="preserve">14.2</w:t>
            </w:r>
          </w:p>
        </w:tc>
      </w:tr>
      <w:tr>
        <w:tc>
          <w:tcPr/>
          <w:p>
            <w:pPr>
              <w:pStyle w:val="Compact"/>
              <w:jc w:val="left"/>
            </w:pPr>
            <w:r>
              <w:t xml:space="preserve">manioc</w:t>
            </w:r>
          </w:p>
        </w:tc>
        <w:tc>
          <w:tcPr/>
          <w:p>
            <w:pPr>
              <w:pStyle w:val="Compact"/>
              <w:jc w:val="right"/>
            </w:pPr>
            <w:r>
              <w:t xml:space="preserve">29</w:t>
            </w:r>
          </w:p>
        </w:tc>
        <w:tc>
          <w:tcPr/>
          <w:p>
            <w:pPr>
              <w:pStyle w:val="Compact"/>
              <w:jc w:val="right"/>
            </w:pPr>
            <w:r>
              <w:t xml:space="preserve">7.6</w:t>
            </w:r>
          </w:p>
        </w:tc>
      </w:tr>
      <w:tr>
        <w:tc>
          <w:tcPr/>
          <w:p>
            <w:pPr>
              <w:pStyle w:val="Compact"/>
              <w:jc w:val="left"/>
            </w:pPr>
            <w:r>
              <w:t xml:space="preserve">arachide</w:t>
            </w:r>
          </w:p>
        </w:tc>
        <w:tc>
          <w:tcPr/>
          <w:p>
            <w:pPr>
              <w:pStyle w:val="Compact"/>
              <w:jc w:val="right"/>
            </w:pPr>
            <w:r>
              <w:t xml:space="preserve">11</w:t>
            </w:r>
          </w:p>
        </w:tc>
        <w:tc>
          <w:tcPr/>
          <w:p>
            <w:pPr>
              <w:pStyle w:val="Compact"/>
              <w:jc w:val="right"/>
            </w:pPr>
            <w:r>
              <w:t xml:space="preserve">2.9</w:t>
            </w:r>
          </w:p>
        </w:tc>
      </w:tr>
      <w:tr>
        <w:tc>
          <w:tcPr/>
          <w:p>
            <w:pPr>
              <w:pStyle w:val="Compact"/>
              <w:jc w:val="left"/>
            </w:pPr>
            <w:r>
              <w:t xml:space="preserve">Banane</w:t>
            </w:r>
          </w:p>
        </w:tc>
        <w:tc>
          <w:tcPr/>
          <w:p>
            <w:pPr>
              <w:pStyle w:val="Compact"/>
              <w:jc w:val="right"/>
            </w:pPr>
            <w:r>
              <w:t xml:space="preserve">6</w:t>
            </w:r>
          </w:p>
        </w:tc>
        <w:tc>
          <w:tcPr/>
          <w:p>
            <w:pPr>
              <w:pStyle w:val="Compact"/>
              <w:jc w:val="right"/>
            </w:pPr>
            <w:r>
              <w:t xml:space="preserve">1.6</w:t>
            </w:r>
          </w:p>
        </w:tc>
      </w:tr>
      <w:tr>
        <w:tc>
          <w:tcPr/>
          <w:p>
            <w:pPr>
              <w:pStyle w:val="Compact"/>
              <w:jc w:val="left"/>
            </w:pPr>
            <w:r>
              <w:t xml:space="preserve">cane à sucre</w:t>
            </w:r>
          </w:p>
        </w:tc>
        <w:tc>
          <w:tcPr/>
          <w:p>
            <w:pPr>
              <w:pStyle w:val="Compact"/>
              <w:jc w:val="right"/>
            </w:pPr>
            <w:r>
              <w:t xml:space="preserve">5</w:t>
            </w:r>
          </w:p>
        </w:tc>
        <w:tc>
          <w:tcPr/>
          <w:p>
            <w:pPr>
              <w:pStyle w:val="Compact"/>
              <w:jc w:val="right"/>
            </w:pPr>
            <w:r>
              <w:t xml:space="preserve">1.3</w:t>
            </w:r>
          </w:p>
        </w:tc>
      </w:tr>
      <w:tr>
        <w:tc>
          <w:tcPr/>
          <w:p>
            <w:pPr>
              <w:pStyle w:val="Compact"/>
              <w:jc w:val="left"/>
            </w:pPr>
            <w:r>
              <w:t xml:space="preserve">Black Eyes</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Courge</w:t>
            </w:r>
          </w:p>
        </w:tc>
        <w:tc>
          <w:tcPr/>
          <w:p>
            <w:pPr>
              <w:pStyle w:val="Compact"/>
              <w:jc w:val="right"/>
            </w:pPr>
            <w:r>
              <w:t xml:space="preserve">4</w:t>
            </w:r>
          </w:p>
        </w:tc>
        <w:tc>
          <w:tcPr/>
          <w:p>
            <w:pPr>
              <w:pStyle w:val="Compact"/>
              <w:jc w:val="right"/>
            </w:pPr>
            <w:r>
              <w:t xml:space="preserve">1.0</w:t>
            </w:r>
          </w:p>
        </w:tc>
      </w:tr>
      <w:tr>
        <w:tc>
          <w:tcPr/>
          <w:p>
            <w:pPr>
              <w:pStyle w:val="Compact"/>
              <w:jc w:val="left"/>
            </w:pPr>
            <w:r>
              <w:t xml:space="preserve">Brède</w:t>
            </w:r>
          </w:p>
        </w:tc>
        <w:tc>
          <w:tcPr/>
          <w:p>
            <w:pPr>
              <w:pStyle w:val="Compact"/>
              <w:jc w:val="right"/>
            </w:pPr>
            <w:r>
              <w:t xml:space="preserve">3</w:t>
            </w:r>
          </w:p>
        </w:tc>
        <w:tc>
          <w:tcPr/>
          <w:p>
            <w:pPr>
              <w:pStyle w:val="Compact"/>
              <w:jc w:val="right"/>
            </w:pPr>
            <w:r>
              <w:t xml:space="preserve">0.8</w:t>
            </w:r>
          </w:p>
        </w:tc>
      </w:tr>
      <w:tr>
        <w:tc>
          <w:tcPr/>
          <w:p>
            <w:pPr>
              <w:pStyle w:val="Compact"/>
              <w:jc w:val="left"/>
            </w:pPr>
            <w:r>
              <w:t xml:space="preserve">Concombre</w:t>
            </w:r>
          </w:p>
        </w:tc>
        <w:tc>
          <w:tcPr/>
          <w:p>
            <w:pPr>
              <w:pStyle w:val="Compact"/>
              <w:jc w:val="right"/>
            </w:pPr>
            <w:r>
              <w:t xml:space="preserve">3</w:t>
            </w:r>
          </w:p>
        </w:tc>
        <w:tc>
          <w:tcPr/>
          <w:p>
            <w:pPr>
              <w:pStyle w:val="Compact"/>
              <w:jc w:val="right"/>
            </w:pPr>
            <w:r>
              <w:t xml:space="preserve">0.8</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right"/>
            </w:pPr>
            <w:r>
              <w:t xml:space="preserve">245</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122</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66</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47</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39</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34</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17</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13</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12</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12</w:t>
            </w:r>
          </w:p>
        </w:tc>
        <w:tc>
          <w:tcPr/>
          <w:p>
            <w:pPr>
              <w:pStyle w:val="Compact"/>
              <w:jc w:val="right"/>
            </w:pPr>
            <w:r>
              <w:t xml:space="preserve">1.7</w:t>
            </w:r>
          </w:p>
        </w:tc>
      </w:tr>
    </w:tbl>
    <w:p>
      <w:pPr>
        <w:pStyle w:val="BodyText"/>
      </w:pPr>
      <w:r>
        <w:t xml:space="preserve">Le riz, culture vivrière dominante, est de loin la culture la plus exposée aux cataclysmes. Le haricot, le maïs et le manioc figurent également parmi les cultures les plus touchées.</w:t>
      </w:r>
    </w:p>
    <w:bookmarkEnd w:id="697"/>
    <w:bookmarkStart w:id="698" w:name="X761fe4265c538f6bafac6cdcff31c03acc14793"/>
    <w:p>
      <w:pPr>
        <w:pStyle w:val="Heading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84.6</w:t>
            </w:r>
          </w:p>
        </w:tc>
        <w:tc>
          <w:tcPr/>
          <w:p>
            <w:pPr>
              <w:pStyle w:val="Compact"/>
              <w:jc w:val="right"/>
            </w:pPr>
            <w:r>
              <w:t xml:space="preserve">15.4</w:t>
            </w:r>
          </w:p>
        </w:tc>
      </w:tr>
      <w:tr>
        <w:tc>
          <w:tcPr/>
          <w:p>
            <w:pPr>
              <w:pStyle w:val="Compact"/>
              <w:jc w:val="left"/>
            </w:pPr>
            <w:r>
              <w:t xml:space="preserve">Autres bestioles</w:t>
            </w:r>
          </w:p>
        </w:tc>
        <w:tc>
          <w:tcPr/>
          <w:p>
            <w:pPr>
              <w:pStyle w:val="Compact"/>
              <w:jc w:val="right"/>
            </w:pPr>
            <w:r>
              <w:t xml:space="preserve">46.2</w:t>
            </w:r>
          </w:p>
        </w:tc>
        <w:tc>
          <w:tcPr/>
          <w:p>
            <w:pPr>
              <w:pStyle w:val="Compact"/>
              <w:jc w:val="right"/>
            </w:pPr>
            <w:r>
              <w:t xml:space="preserve">23.1</w:t>
            </w:r>
          </w:p>
        </w:tc>
        <w:tc>
          <w:tcPr/>
          <w:p>
            <w:pPr>
              <w:pStyle w:val="Compact"/>
              <w:jc w:val="right"/>
            </w:pPr>
            <w:r>
              <w:t xml:space="preserve">30.8</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11.8</w:t>
            </w:r>
          </w:p>
        </w:tc>
        <w:tc>
          <w:tcPr/>
          <w:p>
            <w:pPr>
              <w:pStyle w:val="Compact"/>
              <w:jc w:val="right"/>
            </w:pPr>
            <w:r>
              <w:t xml:space="preserve">70.6</w:t>
            </w:r>
          </w:p>
        </w:tc>
        <w:tc>
          <w:tcPr/>
          <w:p>
            <w:pPr>
              <w:pStyle w:val="Compact"/>
              <w:jc w:val="right"/>
            </w:pPr>
            <w:r>
              <w:t xml:space="preserve">17.6</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75.0</w:t>
            </w:r>
          </w:p>
        </w:tc>
        <w:tc>
          <w:tcPr/>
          <w:p>
            <w:pPr>
              <w:pStyle w:val="Compact"/>
              <w:jc w:val="right"/>
            </w:pPr>
            <w:r>
              <w:t xml:space="preserve">25.0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73.1</w:t>
            </w:r>
          </w:p>
        </w:tc>
        <w:tc>
          <w:tcPr/>
          <w:p>
            <w:pPr>
              <w:pStyle w:val="Compact"/>
              <w:jc w:val="right"/>
            </w:pPr>
            <w:r>
              <w:t xml:space="preserve">23.1</w:t>
            </w:r>
          </w:p>
        </w:tc>
        <w:tc>
          <w:tcPr/>
          <w:p>
            <w:pPr>
              <w:pStyle w:val="Compact"/>
              <w:jc w:val="right"/>
            </w:pPr>
            <w:r>
              <w:t xml:space="preserve">3.8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20.0</w:t>
            </w:r>
          </w:p>
        </w:tc>
        <w:tc>
          <w:tcPr/>
          <w:p>
            <w:pPr>
              <w:pStyle w:val="Compact"/>
              <w:jc w:val="right"/>
            </w:pPr>
            <w:r>
              <w:t xml:space="preserve">40.0</w:t>
            </w:r>
          </w:p>
        </w:tc>
        <w:tc>
          <w:tcPr/>
          <w:p>
            <w:pPr>
              <w:pStyle w:val="Compact"/>
              <w:jc w:val="right"/>
            </w:pPr>
            <w:r>
              <w:t xml:space="preserve">40.0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90.5</w:t>
            </w:r>
          </w:p>
        </w:tc>
        <w:tc>
          <w:tcPr/>
          <w:p>
            <w:pPr>
              <w:pStyle w:val="Compact"/>
              <w:jc w:val="right"/>
            </w:pPr>
            <w:r>
              <w:t xml:space="preserve">0.0</w:t>
            </w:r>
          </w:p>
        </w:tc>
        <w:tc>
          <w:tcPr/>
          <w:p>
            <w:pPr>
              <w:pStyle w:val="Compact"/>
              <w:jc w:val="right"/>
            </w:pPr>
            <w:r>
              <w:t xml:space="preserve">9.5</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5.7</w:t>
            </w:r>
          </w:p>
        </w:tc>
        <w:tc>
          <w:tcPr/>
          <w:p>
            <w:pPr>
              <w:pStyle w:val="Compact"/>
              <w:jc w:val="right"/>
            </w:pPr>
            <w:r>
              <w:t xml:space="preserve">71.4</w:t>
            </w:r>
          </w:p>
        </w:tc>
        <w:tc>
          <w:tcPr/>
          <w:p>
            <w:pPr>
              <w:pStyle w:val="Compact"/>
              <w:jc w:val="right"/>
            </w:pPr>
            <w:r>
              <w:t xml:space="preserve">22.9</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3.6</w:t>
            </w:r>
          </w:p>
        </w:tc>
        <w:tc>
          <w:tcPr/>
          <w:p>
            <w:pPr>
              <w:pStyle w:val="Compact"/>
              <w:jc w:val="right"/>
            </w:pPr>
            <w:r>
              <w:t xml:space="preserve">17.4</w:t>
            </w:r>
          </w:p>
        </w:tc>
        <w:tc>
          <w:tcPr/>
          <w:p>
            <w:pPr>
              <w:pStyle w:val="Compact"/>
              <w:jc w:val="right"/>
            </w:pPr>
            <w:r>
              <w:t xml:space="preserve">66.5</w:t>
            </w:r>
          </w:p>
        </w:tc>
        <w:tc>
          <w:tcPr/>
          <w:p>
            <w:pPr>
              <w:pStyle w:val="Compact"/>
              <w:jc w:val="right"/>
            </w:pPr>
            <w:r>
              <w:t xml:space="preserve">12.5</w:t>
            </w:r>
          </w:p>
        </w:tc>
      </w:tr>
    </w:tbl>
    <w:bookmarkEnd w:id="698"/>
    <w:bookmarkStart w:id="699" w:name="Xcf77f7ca95e8511826fa9c1eb4f3d1682b70b3d"/>
    <w:p>
      <w:pPr>
        <w:pStyle w:val="Heading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92.3</w:t>
            </w:r>
          </w:p>
        </w:tc>
        <w:tc>
          <w:tcPr/>
          <w:p>
            <w:pPr>
              <w:pStyle w:val="Compact"/>
              <w:jc w:val="right"/>
            </w:pPr>
            <w:r>
              <w:t xml:space="preserve">0.0</w:t>
            </w:r>
          </w:p>
        </w:tc>
        <w:tc>
          <w:tcPr/>
          <w:p>
            <w:pPr>
              <w:pStyle w:val="Compact"/>
              <w:jc w:val="right"/>
            </w:pPr>
            <w:r>
              <w:t xml:space="preserve">7.7</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90.0</w:t>
            </w:r>
          </w:p>
        </w:tc>
        <w:tc>
          <w:tcPr/>
          <w:p>
            <w:pPr>
              <w:pStyle w:val="Compact"/>
              <w:jc w:val="right"/>
            </w:pPr>
            <w:r>
              <w:t xml:space="preserve">0.0</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40.0</w:t>
            </w:r>
          </w:p>
        </w:tc>
        <w:tc>
          <w:tcPr/>
          <w:p>
            <w:pPr>
              <w:pStyle w:val="Compact"/>
              <w:jc w:val="right"/>
            </w:pPr>
            <w:r>
              <w:t xml:space="preserve">5.7</w:t>
            </w:r>
          </w:p>
        </w:tc>
        <w:tc>
          <w:tcPr/>
          <w:p>
            <w:pPr>
              <w:pStyle w:val="Compact"/>
              <w:jc w:val="right"/>
            </w:pPr>
            <w:r>
              <w:t xml:space="preserve">54.3</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93.3</w:t>
            </w:r>
          </w:p>
        </w:tc>
        <w:tc>
          <w:tcPr/>
          <w:p>
            <w:pPr>
              <w:pStyle w:val="Compact"/>
              <w:jc w:val="right"/>
            </w:pPr>
            <w:r>
              <w:t xml:space="preserve">3.1</w:t>
            </w:r>
          </w:p>
        </w:tc>
        <w:tc>
          <w:tcPr/>
          <w:p>
            <w:pPr>
              <w:pStyle w:val="Compact"/>
              <w:jc w:val="right"/>
            </w:pPr>
            <w:r>
              <w:t xml:space="preserve">3.6</w:t>
            </w:r>
          </w:p>
        </w:tc>
        <w:tc>
          <w:tcPr/>
          <w:p>
            <w:pPr>
              <w:pStyle w:val="Compact"/>
              <w:jc w:val="right"/>
            </w:pPr>
            <w:r>
              <w:t xml:space="preserve">0.0</w:t>
            </w:r>
          </w:p>
        </w:tc>
      </w:tr>
    </w:tbl>
    <w:p>
      <w:pPr>
        <w:pStyle w:val="BodyText"/>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699"/>
    <w:bookmarkStart w:id="703" w:name="Xc5153409833405fb69cd75dc36cbc4fc94497fa"/>
    <w:p>
      <w:pPr>
        <w:pStyle w:val="Heading3"/>
      </w:pPr>
      <w:r>
        <w:t xml:space="preserve">8.4.4 Comparaison dégâts champs vs stocks pour les principales cultures</w:t>
      </w:r>
    </w:p>
    <w:p>
      <w:pPr>
        <w:pStyle w:val="FirstParagraph"/>
      </w:pPr>
      <w:r>
        <w:drawing>
          <wp:inline>
            <wp:extent cx="4620126" cy="3696101"/>
            <wp:effectExtent b="0" l="0" r="0" t="0"/>
            <wp:docPr descr="" title="" id="701" name="Picture"/>
            <a:graphic>
              <a:graphicData uri="http://schemas.openxmlformats.org/drawingml/2006/picture">
                <pic:pic>
                  <pic:nvPicPr>
                    <pic:cNvPr descr="08_cataclysme_catastrophe_files/figure-docx/g4_champs_vs_stocks-1.png" id="702" name="Picture"/>
                    <pic:cNvPicPr>
                      <a:picLocks noChangeArrowheads="1" noChangeAspect="1"/>
                    </pic:cNvPicPr>
                  </pic:nvPicPr>
                  <pic:blipFill>
                    <a:blip r:embed="rId70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703"/>
    <w:bookmarkEnd w:id="704"/>
    <w:bookmarkStart w:id="708" w:name="sec-cata-multiyear"/>
    <w:p>
      <w:pPr>
        <w:pStyle w:val="Heading2"/>
      </w:pPr>
      <w:r>
        <w:t xml:space="preserve">8.5 Évolution de la prévalence des catastrophes (2003–2025)</w:t>
      </w:r>
    </w:p>
    <w:p>
      <w:pPr>
        <w:pStyle w:val="FirstParagraph"/>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aptionedFigure"/>
      </w:pPr>
      <w:r>
        <w:drawing>
          <wp:inline>
            <wp:extent cx="5334000" cy="2963333"/>
            <wp:effectExtent b="0" l="0" r="0" t="0"/>
            <wp:docPr descr="Évolution du pourcentage de ménages ayant subi au moins une catastrophe (2003–2025)" title="" id="706" name="Picture"/>
            <a:graphic>
              <a:graphicData uri="http://schemas.openxmlformats.org/drawingml/2006/picture">
                <pic:pic>
                  <pic:nvPicPr>
                    <pic:cNvPr descr="08_cataclysme_catastrophe_files/figure-docx/fig_cata_prevalence-1.png" id="707" name="Picture"/>
                    <pic:cNvPicPr>
                      <a:picLocks noChangeArrowheads="1" noChangeAspect="1"/>
                    </pic:cNvPicPr>
                  </pic:nvPicPr>
                  <pic:blipFill>
                    <a:blip r:embed="rId70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p>
      <w:pPr>
        <w:pStyle w:val="BodyText"/>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bookmarkEnd w:id="708"/>
    <w:bookmarkEnd w:id="709"/>
    <w:bookmarkStart w:id="753" w:name="X03cb89d846b4b88883df2a757e95414db7d381a"/>
    <w:p>
      <w:pPr>
        <w:pStyle w:val="Heading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0" name="Picture"/>
                  <a:graphic>
                    <a:graphicData uri="http://schemas.openxmlformats.org/drawingml/2006/picture">
                      <pic:pic>
                        <pic:nvPicPr>
                          <pic:cNvPr descr="C:\Users\fbede\AppData\Local\Programs\Quarto\share\formats\docx\warning.png" id="71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734" w:name="sec-insertion"/>
    <w:p>
      <w:pPr>
        <w:pStyle w:val="Heading2"/>
      </w:pPr>
      <w:r>
        <w:t xml:space="preserve">9.1 Insertion sociale</w:t>
      </w:r>
    </w:p>
    <w:bookmarkStart w:id="713" w:name="appartenance-à-une-organisation"/>
    <w:p>
      <w:pPr>
        <w:pStyle w:val="Heading3"/>
      </w:pPr>
      <w:r>
        <w:t xml:space="preserve">9.1.1 Appartenance à une organisation</w:t>
      </w:r>
    </w:p>
    <w:p>
      <w:pPr>
        <w:pStyle w:val="FirstParagraph"/>
      </w:pPr>
      <w:r>
        <w:t xml:space="preserve">Sur les 1026 ménages enquêtés, 450 (43.9 %)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712"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712"/>
          <w:p/>
        </w:tc>
      </w:tr>
    </w:tbl>
    <w:bookmarkEnd w:id="713"/>
    <w:bookmarkStart w:id="718" w:name="nombre-dorganisations-par-ménage"/>
    <w:p>
      <w:pPr>
        <w:pStyle w:val="Heading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717" w:name="fig-nb-org"/>
          <w:p>
            <w:pPr>
              <w:pStyle w:val="Compact"/>
              <w:jc w:val="center"/>
            </w:pPr>
            <w:r>
              <w:drawing>
                <wp:inline>
                  <wp:extent cx="5334000" cy="3333750"/>
                  <wp:effectExtent b="0" l="0" r="0" t="0"/>
                  <wp:docPr descr="" title="" id="715" name="Picture"/>
                  <a:graphic>
                    <a:graphicData uri="http://schemas.openxmlformats.org/drawingml/2006/picture">
                      <pic:pic>
                        <pic:nvPicPr>
                          <pic:cNvPr descr="09_insertion_projet_files/figure-docx/fig-nb-org-1.png" id="716" name="Picture"/>
                          <pic:cNvPicPr>
                            <a:picLocks noChangeArrowheads="1" noChangeAspect="1"/>
                          </pic:cNvPicPr>
                        </pic:nvPicPr>
                        <pic:blipFill>
                          <a:blip r:embed="rId7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Nombre d’organisations par ménage membre</w:t>
            </w:r>
          </w:p>
          <w:bookmarkEnd w:id="717"/>
        </w:tc>
      </w:tr>
    </w:tbl>
    <w:bookmarkEnd w:id="718"/>
    <w:bookmarkStart w:id="723" w:name="type-dorganisation"/>
    <w:p>
      <w:pPr>
        <w:pStyle w:val="Heading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722" w:name="fig-type-org"/>
          <w:p>
            <w:pPr>
              <w:pStyle w:val="Compact"/>
              <w:jc w:val="center"/>
            </w:pPr>
            <w:r>
              <w:drawing>
                <wp:inline>
                  <wp:extent cx="5334000" cy="3394363"/>
                  <wp:effectExtent b="0" l="0" r="0" t="0"/>
                  <wp:docPr descr="" title="" id="720" name="Picture"/>
                  <a:graphic>
                    <a:graphicData uri="http://schemas.openxmlformats.org/drawingml/2006/picture">
                      <pic:pic>
                        <pic:nvPicPr>
                          <pic:cNvPr descr="09_insertion_projet_files/figure-docx/fig-type-org-1.png" id="721" name="Picture"/>
                          <pic:cNvPicPr>
                            <a:picLocks noChangeArrowheads="1" noChangeAspect="1"/>
                          </pic:cNvPicPr>
                        </pic:nvPicPr>
                        <pic:blipFill>
                          <a:blip r:embed="rId719"/>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9.2: Type d’organisation (toutes adhésions)</w:t>
            </w:r>
          </w:p>
          <w:bookmarkEnd w:id="722"/>
        </w:tc>
      </w:tr>
    </w:tbl>
    <w:bookmarkEnd w:id="723"/>
    <w:bookmarkStart w:id="728" w:name="qui-dans-le-ménage-est-membre"/>
    <w:p>
      <w:pPr>
        <w:pStyle w:val="Heading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727" w:name="fig-qui-membre"/>
          <w:p>
            <w:pPr>
              <w:pStyle w:val="Compact"/>
              <w:jc w:val="center"/>
            </w:pPr>
            <w:r>
              <w:drawing>
                <wp:inline>
                  <wp:extent cx="5334000" cy="2963333"/>
                  <wp:effectExtent b="0" l="0" r="0" t="0"/>
                  <wp:docPr descr="" title="" id="725" name="Picture"/>
                  <a:graphic>
                    <a:graphicData uri="http://schemas.openxmlformats.org/drawingml/2006/picture">
                      <pic:pic>
                        <pic:nvPicPr>
                          <pic:cNvPr descr="09_insertion_projet_files/figure-docx/fig-qui-membre-1.png" id="726" name="Picture"/>
                          <pic:cNvPicPr>
                            <a:picLocks noChangeArrowheads="1" noChangeAspect="1"/>
                          </pic:cNvPicPr>
                        </pic:nvPicPr>
                        <pic:blipFill>
                          <a:blip r:embed="rId724"/>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9.3: Membre du ménage affilié à l’organisation</w:t>
            </w:r>
          </w:p>
          <w:bookmarkEnd w:id="727"/>
        </w:tc>
      </w:tr>
    </w:tbl>
    <w:bookmarkEnd w:id="728"/>
    <w:bookmarkStart w:id="733" w:name="niveau-de-responsabilité"/>
    <w:p>
      <w:pPr>
        <w:pStyle w:val="Heading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732" w:name="fig-responsabilite"/>
          <w:p>
            <w:pPr>
              <w:pStyle w:val="Compact"/>
              <w:jc w:val="center"/>
            </w:pPr>
            <w:r>
              <w:drawing>
                <wp:inline>
                  <wp:extent cx="5334000" cy="2963333"/>
                  <wp:effectExtent b="0" l="0" r="0" t="0"/>
                  <wp:docPr descr="" title="" id="730" name="Picture"/>
                  <a:graphic>
                    <a:graphicData uri="http://schemas.openxmlformats.org/drawingml/2006/picture">
                      <pic:pic>
                        <pic:nvPicPr>
                          <pic:cNvPr descr="09_insertion_projet_files/figure-docx/fig-responsabilite-1.png" id="731" name="Picture"/>
                          <pic:cNvPicPr>
                            <a:picLocks noChangeArrowheads="1" noChangeAspect="1"/>
                          </pic:cNvPicPr>
                        </pic:nvPicPr>
                        <pic:blipFill>
                          <a:blip r:embed="rId72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9.4: Niveau de responsabilité dans l’organisation</w:t>
            </w:r>
          </w:p>
          <w:bookmarkEnd w:id="732"/>
        </w:tc>
      </w:tr>
    </w:tbl>
    <w:bookmarkEnd w:id="733"/>
    <w:bookmarkEnd w:id="734"/>
    <w:bookmarkStart w:id="749" w:name="sec-projets"/>
    <w:p>
      <w:pPr>
        <w:pStyle w:val="Heading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736" w:name="bénéficiaires-de-projets"/>
    <w:p>
      <w:pPr>
        <w:pStyle w:val="Heading3"/>
      </w:pPr>
      <w:r>
        <w:t xml:space="preserve">9.2.1 Bénéficiaires de projets</w:t>
      </w:r>
    </w:p>
    <w:p>
      <w:pPr>
        <w:pStyle w:val="FirstParagraph"/>
      </w:pPr>
      <w:r>
        <w:t xml:space="preserve">L’accès aux projets de développement reste inégal entre les deux sites.</w:t>
      </w:r>
    </w:p>
    <w:p>
      <w:pPr>
        <w:pStyle w:val="BodyText"/>
      </w:pPr>
      <w:r>
        <w:t xml:space="preserve">Dans l’Alaotra, 22.2 % des ménages déclarent avoir bénéficié d’au moins un projet ou d’une formation.</w:t>
      </w:r>
    </w:p>
    <w:p>
      <w:pPr>
        <w:pStyle w:val="BodyText"/>
      </w:pPr>
      <w:r>
        <w:t xml:space="preserve">A Marovoay, 25.8 %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735"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735"/>
          <w:p/>
        </w:tc>
      </w:tr>
    </w:tbl>
    <w:bookmarkEnd w:id="736"/>
    <w:bookmarkStart w:id="742" w:name="taux-de-bénéficiaires-par-type-de-projet"/>
    <w:p>
      <w:pPr>
        <w:pStyle w:val="Heading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740" w:name="fig-benef-type"/>
          <w:p>
            <w:pPr>
              <w:pStyle w:val="Compact"/>
              <w:jc w:val="center"/>
            </w:pPr>
            <w:r>
              <w:drawing>
                <wp:inline>
                  <wp:extent cx="5334000" cy="3200400"/>
                  <wp:effectExtent b="0" l="0" r="0" t="0"/>
                  <wp:docPr descr="" title="" id="738" name="Picture"/>
                  <a:graphic>
                    <a:graphicData uri="http://schemas.openxmlformats.org/drawingml/2006/picture">
                      <pic:pic>
                        <pic:nvPicPr>
                          <pic:cNvPr descr="09_insertion_projet_files/figure-docx/fig-benef-type-1.png" id="739" name="Picture"/>
                          <pic:cNvPicPr>
                            <a:picLocks noChangeArrowheads="1" noChangeAspect="1"/>
                          </pic:cNvPicPr>
                        </pic:nvPicPr>
                        <pic:blipFill>
                          <a:blip r:embed="rId73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9.5: Taux de ménages bénéficiaires par type de projet</w:t>
            </w:r>
          </w:p>
          <w:bookmarkEnd w:id="740"/>
        </w:tc>
      </w:tr>
    </w:tbl>
    <w:tbl>
      <w:tblPr>
        <w:tblStyle w:val="Table"/>
        <w:tblW w:type="pct" w:w="5000"/>
        <w:tblLayout w:type="fixed"/>
        <w:tblLook w:firstRow="0" w:lastRow="0" w:firstColumn="0" w:lastColumn="0" w:noHBand="0" w:noVBand="0" w:val="0000"/>
      </w:tblPr>
      <w:tblGrid>
        <w:gridCol w:w="7920"/>
      </w:tblGrid>
      <w:tr>
        <w:tc>
          <w:tcPr/>
          <w:bookmarkStart w:id="741"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741"/>
          <w:p/>
        </w:tc>
      </w:tr>
    </w:tbl>
    <w:bookmarkEnd w:id="742"/>
    <w:bookmarkStart w:id="748" w:name="source-des-projets"/>
    <w:p>
      <w:pPr>
        <w:pStyle w:val="Heading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746" w:name="fig-source-projet"/>
          <w:p>
            <w:pPr>
              <w:pStyle w:val="Compact"/>
              <w:jc w:val="center"/>
            </w:pPr>
            <w:r>
              <w:drawing>
                <wp:inline>
                  <wp:extent cx="5334000" cy="3200400"/>
                  <wp:effectExtent b="0" l="0" r="0" t="0"/>
                  <wp:docPr descr="" title="" id="744" name="Picture"/>
                  <a:graphic>
                    <a:graphicData uri="http://schemas.openxmlformats.org/drawingml/2006/picture">
                      <pic:pic>
                        <pic:nvPicPr>
                          <pic:cNvPr descr="09_insertion_projet_files/figure-docx/fig-source-projet-1.png" id="745" name="Picture"/>
                          <pic:cNvPicPr>
                            <a:picLocks noChangeArrowheads="1" noChangeAspect="1"/>
                          </pic:cNvPicPr>
                        </pic:nvPicPr>
                        <pic:blipFill>
                          <a:blip r:embed="rId7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9.6: Source des projets pour les ménages bénéficiaires</w:t>
            </w:r>
          </w:p>
          <w:bookmarkEnd w:id="746"/>
        </w:tc>
      </w:tr>
    </w:tbl>
    <w:tbl>
      <w:tblPr>
        <w:tblStyle w:val="Table"/>
        <w:tblW w:type="pct" w:w="5000"/>
        <w:tblLayout w:type="fixed"/>
        <w:tblLook w:firstRow="0" w:lastRow="0" w:firstColumn="0" w:lastColumn="0" w:noHBand="0" w:noVBand="0" w:val="0000"/>
      </w:tblPr>
      <w:tblGrid>
        <w:gridCol w:w="7920"/>
      </w:tblGrid>
      <w:tr>
        <w:tc>
          <w:tcPr/>
          <w:bookmarkStart w:id="747"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747"/>
          <w:p/>
        </w:tc>
      </w:tr>
    </w:tbl>
    <w:bookmarkEnd w:id="748"/>
    <w:bookmarkEnd w:id="749"/>
    <w:bookmarkStart w:id="751" w:name="sec-croisement"/>
    <w:p>
      <w:pPr>
        <w:pStyle w:val="Heading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BodyText"/>
      </w:pPr>
      <w:r>
        <w:t xml:space="preserve">Dans l’Alaotra, 32.1 % des ménages sont membres d’une organisation.</w:t>
      </w:r>
    </w:p>
    <w:p>
      <w:pPr>
        <w:pStyle w:val="BodyText"/>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750"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750"/>
          <w:p/>
        </w:tc>
      </w:tr>
    </w:tbl>
    <w:bookmarkEnd w:id="751"/>
    <w:bookmarkStart w:id="752" w:name="sec-pistes-insertion"/>
    <w:p>
      <w:pPr>
        <w:pStyle w:val="Heading2"/>
      </w:pPr>
      <w:r>
        <w:t xml:space="preserve">9.4 Pistes d’analyse complémentaires</w:t>
      </w:r>
    </w:p>
    <w:p>
      <w:pPr>
        <w:pStyle w:val="Compact"/>
        <w:numPr>
          <w:ilvl w:val="0"/>
          <w:numId w:val="1008"/>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08"/>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08"/>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08"/>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752"/>
    <w:bookmarkEnd w:id="753"/>
    <w:bookmarkStart w:id="780" w:name="évaluation-de-la-qualité-de-lenquête"/>
    <w:p>
      <w:pPr>
        <w:pStyle w:val="Heading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9"/>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9"/>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9"/>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4" name="Picture"/>
                  <a:graphic>
                    <a:graphicData uri="http://schemas.openxmlformats.org/drawingml/2006/picture">
                      <pic:pic>
                        <pic:nvPicPr>
                          <pic:cNvPr descr="C:\Users\fbede\AppData\Local\Programs\Quarto\share\formats\docx\warning.png" id="75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760" w:name="Xa4db8dd5ff569f230bca5343853834cca9e2941"/>
    <w:p>
      <w:pPr>
        <w:pStyle w:val="Heading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Hyperlink"/>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9" w:name="fig-qualite"/>
          <w:p>
            <w:pPr>
              <w:pStyle w:val="Compact"/>
              <w:jc w:val="center"/>
            </w:pPr>
            <w:r>
              <w:drawing>
                <wp:inline>
                  <wp:extent cx="5334000" cy="2667000"/>
                  <wp:effectExtent b="0" l="0" r="0" t="0"/>
                  <wp:docPr descr="" title="" id="757" name="Picture"/>
                  <a:graphic>
                    <a:graphicData uri="http://schemas.openxmlformats.org/drawingml/2006/picture">
                      <pic:pic>
                        <pic:nvPicPr>
                          <pic:cNvPr descr="10_enquete_qualite_files/figure-docx/fig-qualite-1.png" id="758" name="Picture"/>
                          <pic:cNvPicPr>
                            <a:picLocks noChangeArrowheads="1" noChangeAspect="1"/>
                          </pic:cNvPicPr>
                        </pic:nvPicPr>
                        <pic:blipFill>
                          <a:blip r:embed="rId75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Qualité de l’enquête selon l’enquêteur (j11, page de couverture)</w:t>
            </w:r>
          </w:p>
          <w:bookmarkEnd w:id="759"/>
        </w:tc>
      </w:tr>
    </w:tbl>
    <w:bookmarkEnd w:id="760"/>
    <w:bookmarkStart w:id="762" w:name="répondant"/>
    <w:p>
      <w:pPr>
        <w:pStyle w:val="Heading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Hyperlink"/>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1"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761"/>
          <w:p/>
        </w:tc>
      </w:tr>
    </w:tbl>
    <w:bookmarkEnd w:id="762"/>
    <w:bookmarkStart w:id="767" w:name="X2101bde4d2f525baec1852bd3c950f476bfe63c"/>
    <w:p>
      <w:pPr>
        <w:pStyle w:val="Heading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Hyperlink"/>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766" w:name="fig-qual-reponse"/>
          <w:p>
            <w:pPr>
              <w:pStyle w:val="Compact"/>
              <w:jc w:val="center"/>
            </w:pPr>
            <w:r>
              <w:drawing>
                <wp:inline>
                  <wp:extent cx="5334000" cy="2667000"/>
                  <wp:effectExtent b="0" l="0" r="0" t="0"/>
                  <wp:docPr descr="" title="" id="764" name="Picture"/>
                  <a:graphic>
                    <a:graphicData uri="http://schemas.openxmlformats.org/drawingml/2006/picture">
                      <pic:pic>
                        <pic:nvPicPr>
                          <pic:cNvPr descr="10_enquete_qualite_files/figure-docx/fig-qual-reponse-1.png" id="765" name="Picture"/>
                          <pic:cNvPicPr>
                            <a:picLocks noChangeArrowheads="1" noChangeAspect="1"/>
                          </pic:cNvPicPr>
                        </pic:nvPicPr>
                        <pic:blipFill>
                          <a:blip r:embed="rId76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Qualité de la réponse selon l’enquêteur (qual1aa, fin de questionnaire)</w:t>
            </w:r>
          </w:p>
          <w:bookmarkEnd w:id="766"/>
        </w:tc>
      </w:tr>
    </w:tbl>
    <w:bookmarkEnd w:id="767"/>
    <w:bookmarkStart w:id="772" w:name="X9f66b319a86da89209272021c54dcd93697770e"/>
    <w:p>
      <w:pPr>
        <w:pStyle w:val="Heading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Hyperlink"/>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771" w:name="fig-reaction"/>
          <w:p>
            <w:pPr>
              <w:pStyle w:val="Compact"/>
              <w:jc w:val="center"/>
            </w:pPr>
            <w:r>
              <w:drawing>
                <wp:inline>
                  <wp:extent cx="5334000" cy="2667000"/>
                  <wp:effectExtent b="0" l="0" r="0" t="0"/>
                  <wp:docPr descr="" title="" id="769" name="Picture"/>
                  <a:graphic>
                    <a:graphicData uri="http://schemas.openxmlformats.org/drawingml/2006/picture">
                      <pic:pic>
                        <pic:nvPicPr>
                          <pic:cNvPr descr="10_enquete_qualite_files/figure-docx/fig-reaction-1.png" id="770" name="Picture"/>
                          <pic:cNvPicPr>
                            <a:picLocks noChangeArrowheads="1" noChangeAspect="1"/>
                          </pic:cNvPicPr>
                        </pic:nvPicPr>
                        <pic:blipFill>
                          <a:blip r:embed="rId76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Réaction du répondant selon l’enquêteur (qual2aa, fin de questionnaire)</w:t>
            </w:r>
          </w:p>
          <w:bookmarkEnd w:id="771"/>
        </w:tc>
      </w:tr>
    </w:tbl>
    <w:bookmarkEnd w:id="772"/>
    <w:bookmarkStart w:id="776" w:name="sec-codes-aberrants"/>
    <w:p>
      <w:pPr>
        <w:pStyle w:val="Heading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3" name="Picture"/>
                  <a:graphic>
                    <a:graphicData uri="http://schemas.openxmlformats.org/drawingml/2006/picture">
                      <pic:pic>
                        <pic:nvPicPr>
                          <pic:cNvPr descr="C:\Users\fbede\AppData\Local\Programs\Quarto\share\formats\docx\warning.png" id="77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BodyText"/>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BodyText"/>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BodyText"/>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BodyText"/>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775"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775"/>
          <w:p/>
        </w:tc>
      </w:tr>
    </w:tbl>
    <w:bookmarkEnd w:id="776"/>
    <w:bookmarkStart w:id="778" w:name="synthèse-croisée"/>
    <w:p>
      <w:pPr>
        <w:pStyle w:val="Heading2"/>
      </w:pPr>
      <w:r>
        <w:t xml:space="preserve">10.6 Synthèse croisée</w:t>
      </w:r>
    </w:p>
    <w:p>
      <w:pPr>
        <w:pStyle w:val="FirstParagraph"/>
      </w:pPr>
      <w:r>
        <w:t xml:space="preserve">Le</w:t>
      </w:r>
      <w:r>
        <w:t xml:space="preserve"> </w:t>
      </w:r>
      <w:hyperlink w:anchor="tbl-synthese-qualite">
        <w:r>
          <w:rPr>
            <w:rStyle w:val="Hyperlink"/>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tbl>
      <w:tblPr>
        <w:tblStyle w:val="Table"/>
        <w:tblW w:type="pct" w:w="5000"/>
        <w:tblLayout w:type="fixed"/>
        <w:tblLook w:firstRow="0" w:lastRow="0" w:firstColumn="0" w:lastColumn="0" w:noHBand="0" w:noVBand="0" w:val="0000"/>
      </w:tblPr>
      <w:tblGrid>
        <w:gridCol w:w="7920"/>
      </w:tblGrid>
      <w:tr>
        <w:tc>
          <w:tcPr/>
          <w:bookmarkStart w:id="777"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777"/>
          <w:p/>
        </w:tc>
      </w:tr>
    </w:tbl>
    <w:bookmarkEnd w:id="778"/>
    <w:bookmarkStart w:id="779" w:name="remarques-générales"/>
    <w:p>
      <w:pPr>
        <w:pStyle w:val="Heading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779"/>
    <w:bookmarkEnd w:id="780"/>
    <w:bookmarkStart w:id="834" w:name="sec-representativite"/>
    <w:p>
      <w:pPr>
        <w:pStyle w:val="Heading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1" name="Picture"/>
                  <a:graphic>
                    <a:graphicData uri="http://schemas.openxmlformats.org/drawingml/2006/picture">
                      <pic:pic>
                        <pic:nvPicPr>
                          <pic:cNvPr descr="C:\Users\fbede\AppData\Local\Programs\Quarto\share\formats\docx\warning.png" id="78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susceptibles de corrections.</w:t>
            </w:r>
          </w:p>
          <w:p/>
        </w:tc>
      </w:tr>
    </w:tbl>
    <w:p>
      <w:pPr>
        <w:pStyle w:val="BodyText"/>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0"/>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0"/>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0"/>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0"/>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Swensson, et Wretman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792" w:name="plan-de-sondage-et-poids-de-base"/>
    <w:p>
      <w:pPr>
        <w:pStyle w:val="Heading2"/>
      </w:pPr>
      <w:r>
        <w:t xml:space="preserve">11.1 Plan de sondage et poids de base</w:t>
      </w:r>
    </w:p>
    <w:bookmarkStart w:id="783" w:name="structure-de-léchantillon"/>
    <w:p>
      <w:pPr>
        <w:pStyle w:val="Heading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BodyText"/>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783"/>
    <w:bookmarkStart w:id="789" w:name="taux-de-sondage-par-site"/>
    <w:p>
      <w:pPr>
        <w:pStyle w:val="Heading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BodyText"/>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tbl>
      <w:tblPr>
        <w:tblStyle w:val="Table"/>
        <w:tblW w:type="pct" w:w="5000"/>
        <w:tblLayout w:type="fixed"/>
        <w:tblLook w:firstRow="0" w:lastRow="0" w:firstColumn="0" w:lastColumn="0" w:noHBand="0" w:noVBand="0" w:val="0000"/>
      </w:tblPr>
      <w:tblGrid>
        <w:gridCol w:w="7920"/>
      </w:tblGrid>
      <w:tr>
        <w:tc>
          <w:tcPr/>
          <w:bookmarkStart w:id="784"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784"/>
          <w:p/>
        </w:tc>
      </w:tr>
    </w:tbl>
    <w:tbl>
      <w:tblPr>
        <w:tblStyle w:val="Table"/>
        <w:tblW w:type="pct" w:w="5000"/>
        <w:tblLayout w:type="fixed"/>
        <w:tblLook w:firstRow="0" w:lastRow="0" w:firstColumn="0" w:lastColumn="0" w:noHBand="0" w:noVBand="0" w:val="0000"/>
      </w:tblPr>
      <w:tblGrid>
        <w:gridCol w:w="7920"/>
      </w:tblGrid>
      <w:tr>
        <w:tc>
          <w:tcPr/>
          <w:bookmarkStart w:id="788" w:name="fig-sampling-rates"/>
          <w:p>
            <w:pPr>
              <w:pStyle w:val="Compact"/>
              <w:jc w:val="center"/>
            </w:pPr>
            <w:r>
              <w:drawing>
                <wp:inline>
                  <wp:extent cx="4620126" cy="3696101"/>
                  <wp:effectExtent b="0" l="0" r="0" t="0"/>
                  <wp:docPr descr="" title="" id="786" name="Picture"/>
                  <a:graphic>
                    <a:graphicData uri="http://schemas.openxmlformats.org/drawingml/2006/picture">
                      <pic:pic>
                        <pic:nvPicPr>
                          <pic:cNvPr descr="11_representativite_ponderation_files/figure-docx/fig-sampling-rates-1.png" id="787" name="Picture"/>
                          <pic:cNvPicPr>
                            <a:picLocks noChangeArrowheads="1" noChangeAspect="1"/>
                          </pic:cNvPicPr>
                        </pic:nvPicPr>
                        <pic:blipFill>
                          <a:blip r:embed="rId7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Distribution des taux de sondage par site et observatoire</w:t>
            </w:r>
          </w:p>
          <w:bookmarkEnd w:id="788"/>
        </w:tc>
      </w:tr>
    </w:tbl>
    <w:bookmarkEnd w:id="789"/>
    <w:bookmarkStart w:id="791" w:name="estimations-pondérées-vs.-non-pondérées"/>
    <w:p>
      <w:pPr>
        <w:pStyle w:val="Heading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BodyText"/>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tbl>
      <w:tblPr>
        <w:tblStyle w:val="Table"/>
        <w:tblW w:type="pct" w:w="5000"/>
        <w:tblLayout w:type="fixed"/>
        <w:tblLook w:firstRow="0" w:lastRow="0" w:firstColumn="0" w:lastColumn="0" w:noHBand="0" w:noVBand="0" w:val="0000"/>
      </w:tblPr>
      <w:tblGrid>
        <w:gridCol w:w="7920"/>
      </w:tblGrid>
      <w:tr>
        <w:tc>
          <w:tcPr/>
          <w:bookmarkStart w:id="790"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790"/>
          <w:p/>
        </w:tc>
      </w:tr>
    </w:tbl>
    <w:bookmarkEnd w:id="791"/>
    <w:bookmarkEnd w:id="792"/>
    <w:bookmarkStart w:id="802" w:name="évaluation-de-la-représentativité"/>
    <w:p>
      <w:pPr>
        <w:pStyle w:val="Heading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3" name="Picture"/>
                  <a:graphic>
                    <a:graphicData uri="http://schemas.openxmlformats.org/drawingml/2006/picture">
                      <pic:pic>
                        <pic:nvPicPr>
                          <pic:cNvPr descr="C:\Users\fbede\AppData\Local\Programs\Quarto\share\formats\docx\note.png" id="794"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BodyText"/>
            </w:pPr>
            <w:pPr>
              <w:spacing w:before="16"/>
            </w:pPr>
            <w:r>
              <w:t xml:space="preserve">Trois réserves sont nécessaires :</w:t>
            </w:r>
          </w:p>
          <w:p>
            <w:pPr>
              <w:numPr>
                <w:ilvl w:val="0"/>
                <w:numId w:val="1011"/>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1"/>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1"/>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795" w:name="indicateurs-démographiques-de-base"/>
    <w:p>
      <w:pPr>
        <w:pStyle w:val="Heading3"/>
      </w:pPr>
      <w:r>
        <w:t xml:space="preserve">11.2.1 Indicateurs démographiques de base</w:t>
      </w:r>
    </w:p>
    <w:bookmarkEnd w:id="795"/>
    <w:bookmarkStart w:id="796" w:name="X7cfdc3782747f68123b71219fbcb51cda350668"/>
    <w:p>
      <w:pPr>
        <w:pStyle w:val="Heading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p>
      <w:pPr>
        <w:pStyle w:val="BodyText"/>
      </w:pPr>
      <w:r>
        <w:t xml:space="preserve">La comparaison élargie confirme que l’échantillon OR reproduit raisonnablement les structures de la population RGPH pour la plupart des indicateurs, avec quelques écarts notables :</w:t>
      </w:r>
    </w:p>
    <w:p>
      <w:pPr>
        <w:pStyle w:val="Compact"/>
        <w:numPr>
          <w:ilvl w:val="0"/>
          <w:numId w:val="1012"/>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2"/>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2"/>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2"/>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796"/>
    <w:bookmarkStart w:id="797" w:name="pyramides-des-âges"/>
    <w:p>
      <w:pPr>
        <w:pStyle w:val="Heading3"/>
      </w:pPr>
      <w:r>
        <w:t xml:space="preserve">11.2.3 Pyramides des âges</w:t>
      </w:r>
    </w:p>
    <w:bookmarkEnd w:id="797"/>
    <w:bookmarkStart w:id="801" w:name="détail-communal"/>
    <w:p>
      <w:pPr>
        <w:pStyle w:val="Heading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9" name="Picture"/>
                  <a:graphic>
                    <a:graphicData uri="http://schemas.openxmlformats.org/drawingml/2006/picture">
                      <pic:pic>
                        <pic:nvPicPr>
                          <pic:cNvPr descr="C:\Users\fbede\AppData\Local\Programs\Quarto\share\formats\docx\important.png" id="800" name="Picture"/>
                          <pic:cNvPicPr>
                            <a:picLocks noChangeArrowheads="1" noChangeAspect="1"/>
                          </pic:cNvPicPr>
                        </pic:nvPicPr>
                        <pic:blipFill>
                          <a:blip r:embed="rId7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Données RGPH non disponibles</w:t>
            </w:r>
          </w:p>
        </w:tc>
      </w:tr>
      <w:tr>
        <w:trPr>
          <w:cantSplit/>
        </w:trPr>
        <w:tc>
          <w:tcPr>
            <w:tcMar>
              <w:top w:w="108" w:type="dxa"/>
              <w:bottom w:w="108" w:type="dxa"/>
            </w:tcMar>
          </w:tcPr>
          <w:p>
            <w:pPr>
              <w:pStyle w:val="BodyText"/>
            </w:pPr>
            <w:pPr>
              <w:spacing w:before="16" w:after="16"/>
            </w:pPr>
            <w:r>
              <w:t xml:space="preserve">Les fichiers SPSS du RGPH 2018 n’ont pas été trouvés dans</w:t>
            </w:r>
            <w:r>
              <w:t xml:space="preserve"> </w:t>
            </w:r>
            <w:r>
              <w:rPr>
                <w:rStyle w:val="VerbatimChar"/>
              </w:rPr>
              <w:t xml:space="preserve">data/RGPH_2018_Madagascar/data/</w:t>
            </w:r>
            <w:r>
              <w:t xml:space="preserve">.</w:t>
            </w:r>
            <w:r>
              <w:t xml:space="preserve"> </w:t>
            </w:r>
            <w:r>
              <w:t xml:space="preserve">La comparaison n’a pas pu être effectuée.</w:t>
            </w:r>
          </w:p>
          <w:p/>
        </w:tc>
      </w:tr>
    </w:tbl>
    <w:bookmarkEnd w:id="801"/>
    <w:bookmarkEnd w:id="802"/>
    <w:bookmarkStart w:id="822" w:name="méthodes-de-correction"/>
    <w:p>
      <w:pPr>
        <w:pStyle w:val="Heading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3"/>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3"/>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3"/>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803" w:name="X605732ceafd3d8e1745f82f9aee93bcf884dc84"/>
    <w:p>
      <w:pPr>
        <w:pStyle w:val="Heading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Swensson, et Wretman 2003, chap. 7)</w:t>
      </w:r>
      <w:r>
        <w:t xml:space="preserve">.</w:t>
      </w:r>
    </w:p>
    <w:p>
      <w:pPr>
        <w:pStyle w:val="BodyText"/>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803"/>
    <w:bookmarkStart w:id="804" w:name="calage-sur-marges-calibration"/>
    <w:p>
      <w:pPr>
        <w:pStyle w:val="Heading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p>
      <w:pPr>
        <w:pStyle w:val="BodyText"/>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804"/>
    <w:bookmarkStart w:id="807" w:name="Xe78546f05516088558e60b1e71b7aafd4e5d89a"/>
    <w:p>
      <w:pPr>
        <w:pStyle w:val="Heading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BodyText"/>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d>
            <m:dPr>
              <m:begChr m:val="("/>
              <m:sepChr m:val=""/>
              <m:endChr m:val=")"/>
              <m:grow/>
            </m:dPr>
            <m:e>
              <m:r>
                <m:t>1</m:t>
              </m:r>
              <m:r>
                <m:rPr>
                  <m:sty m:val="p"/>
                </m:rPr>
                <m:t>−</m:t>
              </m:r>
              <m:sSub>
                <m:e>
                  <m:r>
                    <m:t>γ</m:t>
                  </m:r>
                </m:e>
                <m:sub>
                  <m:r>
                    <m:t>i</m:t>
                  </m:r>
                </m:sub>
              </m:sSub>
            </m:e>
          </m:d>
          <m:sSub>
            <m:e>
              <m:r>
                <m:rPr>
                  <m:sty m:val="b"/>
                </m:rPr>
                <m:t>x</m:t>
              </m:r>
            </m:e>
            <m:sub>
              <m:r>
                <m:t>i</m:t>
              </m:r>
            </m:sub>
          </m:sSub>
          <m:r>
            <m:rPr>
              <m:sty m:val="p"/>
            </m:rPr>
            <m:t>′</m:t>
          </m:r>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d>
          <m:dPr>
            <m:begChr m:val="("/>
            <m:sepChr m:val=""/>
            <m:endChr m:val=")"/>
            <m:grow/>
          </m:dPr>
          <m:e>
            <m:sSubSup>
              <m:e>
                <m:acc>
                  <m:accPr>
                    <m:chr m:val="̂"/>
                  </m:accPr>
                  <m:e>
                    <m:r>
                      <m:t>σ</m:t>
                    </m:r>
                  </m:e>
                </m:acc>
              </m:e>
              <m:sub>
                <m:r>
                  <m:t>v</m:t>
                </m:r>
              </m:sub>
              <m:sup>
                <m:r>
                  <m:t>2</m:t>
                </m:r>
              </m:sup>
            </m:sSubSup>
            <m:r>
              <m:rPr>
                <m:sty m:val="p"/>
              </m:rPr>
              <m:t>+</m:t>
            </m:r>
            <m:sSub>
              <m:e>
                <m:acc>
                  <m:accPr>
                    <m:chr m:val="̂"/>
                  </m:accPr>
                  <m:e>
                    <m:r>
                      <m:t>ψ</m:t>
                    </m:r>
                  </m:e>
                </m:acc>
              </m:e>
              <m:sub>
                <m:r>
                  <m:t>i</m:t>
                </m:r>
              </m:sub>
            </m:sSub>
          </m:e>
        </m:d>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5" name="Picture"/>
                  <a:graphic>
                    <a:graphicData uri="http://schemas.openxmlformats.org/drawingml/2006/picture">
                      <pic:pic>
                        <pic:nvPicPr>
                          <pic:cNvPr descr="C:\Users\fbede\AppData\Local\Programs\Quarto\share\formats\docx\note.png" id="80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BodyText"/>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BodyText"/>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807"/>
    <w:bookmarkStart w:id="821" w:name="sources-de-données-auxiliaires"/>
    <w:p>
      <w:pPr>
        <w:pStyle w:val="Heading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816"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808">
                    <w:r>
                      <w:rPr>
                        <w:rStyle w:val="Hyperlink"/>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809">
                    <w:r>
                      <w:rPr>
                        <w:rStyle w:val="Hyperlink"/>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810">
                    <w:r>
                      <w:rPr>
                        <w:rStyle w:val="Hyperlink"/>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811">
                    <w:r>
                      <w:rPr>
                        <w:rStyle w:val="Hyperlink"/>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812">
                    <w:r>
                      <w:rPr>
                        <w:rStyle w:val="Hyperlink"/>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813">
                    <w:r>
                      <w:rPr>
                        <w:rStyle w:val="Hyperlink"/>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814">
                    <w:r>
                      <w:rPr>
                        <w:rStyle w:val="Hyperlink"/>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815">
                    <w:r>
                      <w:rPr>
                        <w:rStyle w:val="Hyperlink"/>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816"/>
          <w:p/>
        </w:tc>
      </w:tr>
    </w:tbl>
    <w:p>
      <w:pPr>
        <w:pStyle w:val="BodyText"/>
      </w:pPr>
      <w:r>
        <w:t xml:space="preserve">Les données géospatiales sont accessibles via le catalogue</w:t>
      </w:r>
      <w:r>
        <w:t xml:space="preserve"> </w:t>
      </w:r>
      <w:hyperlink r:id="rId817">
        <w:r>
          <w:rPr>
            <w:rStyle w:val="Hyperlink"/>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C:\Users\fbede\AppData\Local\Programs\Quarto\share\formats\docx\tip.png" id="820" name="Picture"/>
                          <pic:cNvPicPr>
                            <a:picLocks noChangeArrowheads="1" noChangeAspect="1"/>
                          </pic:cNvPicPr>
                        </pic:nvPicPr>
                        <pic:blipFill>
                          <a:blip r:embed="rId8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4"/>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4"/>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4"/>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4"/>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821"/>
    <w:bookmarkEnd w:id="822"/>
    <w:bookmarkStart w:id="833" w:name="X7a269d1967e3ae6cdeb58dce462253f7c787d96"/>
    <w:p>
      <w:pPr>
        <w:pStyle w:val="Heading2"/>
      </w:pPr>
      <w:r>
        <w:t xml:space="preserve">11.4 Dérive du panel et recalibration historique</w:t>
      </w:r>
    </w:p>
    <w:bookmarkStart w:id="824" w:name="structure-historique-du-panel-19952015"/>
    <w:p>
      <w:pPr>
        <w:pStyle w:val="Heading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w:t>
      </w:r>
    </w:p>
    <w:tbl>
      <w:tblPr>
        <w:tblStyle w:val="Table"/>
        <w:tblW w:type="pct" w:w="5000"/>
        <w:tblLayout w:type="fixed"/>
        <w:tblLook w:firstRow="0" w:lastRow="0" w:firstColumn="0" w:lastColumn="0" w:noHBand="0" w:noVBand="0" w:val="0000"/>
      </w:tblPr>
      <w:tblGrid>
        <w:gridCol w:w="7920"/>
      </w:tblGrid>
      <w:tr>
        <w:tc>
          <w:tcPr/>
          <w:bookmarkStart w:id="823"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823"/>
          <w:p/>
        </w:tc>
      </w:tr>
    </w:tbl>
    <w:bookmarkEnd w:id="824"/>
    <w:bookmarkStart w:id="829" w:name="X3b399964e7606f709b56baf713c0a6da2057e39"/>
    <w:p>
      <w:pPr>
        <w:pStyle w:val="Heading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w:t>
      </w:r>
    </w:p>
    <w:tbl>
      <w:tblPr>
        <w:tblStyle w:val="Table"/>
        <w:tblW w:type="pct" w:w="5000"/>
        <w:tblLayout w:type="fixed"/>
        <w:tblLook w:firstRow="0" w:lastRow="0" w:firstColumn="0" w:lastColumn="0" w:noHBand="0" w:noVBand="0" w:val="0000"/>
      </w:tblPr>
      <w:tblGrid>
        <w:gridCol w:w="7920"/>
      </w:tblGrid>
      <w:tr>
        <w:tc>
          <w:tcPr/>
          <w:bookmarkStart w:id="828" w:name="fig-panel-drift"/>
          <w:p>
            <w:pPr>
              <w:pStyle w:val="Compact"/>
              <w:jc w:val="center"/>
            </w:pPr>
            <w:r>
              <w:drawing>
                <wp:inline>
                  <wp:extent cx="5334000" cy="2963333"/>
                  <wp:effectExtent b="0" l="0" r="0" t="0"/>
                  <wp:docPr descr="" title="" id="826" name="Picture"/>
                  <a:graphic>
                    <a:graphicData uri="http://schemas.openxmlformats.org/drawingml/2006/picture">
                      <pic:pic>
                        <pic:nvPicPr>
                          <pic:cNvPr descr="11_representativite_ponderation_files/figure-docx/fig-panel-drift-1.png" id="827" name="Picture"/>
                          <pic:cNvPicPr>
                            <a:picLocks noChangeArrowheads="1" noChangeAspect="1"/>
                          </pic:cNvPicPr>
                        </pic:nvPicPr>
                        <pic:blipFill>
                          <a:blip r:embed="rId82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Évolution de l’âge moyen du chef de ménage (1995–2025)</w:t>
            </w:r>
          </w:p>
          <w:bookmarkEnd w:id="828"/>
        </w:tc>
      </w:tr>
    </w:tbl>
    <w:p>
      <w:pPr>
        <w:pStyle w:val="BodyText"/>
      </w:pPr>
      <w:r>
        <w:t xml:space="preserve">La</w:t>
      </w:r>
      <w:r>
        <w:t xml:space="preserve"> </w:t>
      </w:r>
      <w:hyperlink w:anchor="fig-panel-drift">
        <w:r>
          <w:rPr>
            <w:rStyle w:val="Hyperlink"/>
          </w:rPr>
          <w:t xml:space="preserve">Figure 11.2</w:t>
        </w:r>
      </w:hyperlink>
      <w:r>
        <w:t xml:space="preserve"> </w:t>
      </w:r>
      <w:r>
        <w:t xml:space="preserve">montre que l’âge moyen du chef de ménage a augmenté d’environ 3 ans entre 1999 et 2014, passant de ~45 à ~48 ans pour les deux observatoires. Le renouvellement de 2025 ramène l’âge moyen autour de 45–46 ans, plus proche de la structure de la population.</w:t>
      </w:r>
    </w:p>
    <w:p>
      <w:pPr>
        <w:pStyle w:val="BodyText"/>
      </w:pPr>
      <w:r>
        <w:t xml:space="preserve">Le vieillissement du panel a plusieurs conséquences :</w:t>
      </w:r>
    </w:p>
    <w:p>
      <w:pPr>
        <w:numPr>
          <w:ilvl w:val="0"/>
          <w:numId w:val="1015"/>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5"/>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5"/>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829"/>
    <w:bookmarkStart w:id="832" w:name="cadre-de-recalibration-historique"/>
    <w:p>
      <w:pPr>
        <w:pStyle w:val="Heading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6"/>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6"/>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6"/>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6"/>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0" name="Picture"/>
                  <a:graphic>
                    <a:graphicData uri="http://schemas.openxmlformats.org/drawingml/2006/picture">
                      <pic:pic>
                        <pic:nvPicPr>
                          <pic:cNvPr descr="C:\Users\fbede\AppData\Local\Programs\Quarto\share\formats\docx\warning.png" id="8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17"/>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17"/>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17"/>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17"/>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832"/>
    <w:bookmarkEnd w:id="833"/>
    <w:bookmarkEnd w:id="834"/>
    <w:bookmarkStart w:id="848" w:name="bibliographie"/>
    <w:p>
      <w:pPr>
        <w:pStyle w:val="Heading1"/>
      </w:pPr>
      <w:r>
        <w:t xml:space="preserve">Bibliographie</w:t>
      </w:r>
    </w:p>
    <w:bookmarkStart w:id="847" w:name="refs"/>
    <w:bookmarkStart w:id="836" w:name="ref-deville1992"/>
    <w:p>
      <w:pPr>
        <w:pStyle w:val="Bibliography"/>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835">
        <w:r>
          <w:rPr>
            <w:rStyle w:val="Hyperlink"/>
          </w:rPr>
          <w:t xml:space="preserve">https://doi.org/10.1080/01621459.1992.10475217</w:t>
        </w:r>
      </w:hyperlink>
      <w:r>
        <w:t xml:space="preserve">.</w:t>
      </w:r>
    </w:p>
    <w:bookmarkEnd w:id="836"/>
    <w:bookmarkStart w:id="838" w:name="ref-fay1979"/>
    <w:p>
      <w:pPr>
        <w:pStyle w:val="Bibliography"/>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837">
        <w:r>
          <w:rPr>
            <w:rStyle w:val="Hyperlink"/>
          </w:rPr>
          <w:t xml:space="preserve">https://doi.org/10.1080/01621459.1979.10482505</w:t>
        </w:r>
      </w:hyperlink>
      <w:r>
        <w:t xml:space="preserve">.</w:t>
      </w:r>
    </w:p>
    <w:bookmarkEnd w:id="838"/>
    <w:bookmarkStart w:id="839" w:name="ref-instat2020rgph"/>
    <w:p>
      <w:pPr>
        <w:pStyle w:val="Bibliography"/>
      </w:pPr>
      <w:r>
        <w:t xml:space="preserve">INSTAT. 2020.</w:t>
      </w:r>
      <w:r>
        <w:t xml:space="preserve"> </w:t>
      </w:r>
      <w:r>
        <w:t xml:space="preserve">« Troisième Recensement Général de la Population et de l’Habitation (RGPH-3) : Résultats provisoires »</w:t>
      </w:r>
      <w:r>
        <w:t xml:space="preserve">. Antananarivo, Madagascar: Institut National de la Statistique.</w:t>
      </w:r>
    </w:p>
    <w:bookmarkEnd w:id="839"/>
    <w:bookmarkStart w:id="840" w:name="ref-kish1965"/>
    <w:p>
      <w:pPr>
        <w:pStyle w:val="Bibliography"/>
      </w:pPr>
      <w:r>
        <w:t xml:space="preserve">Kish, Leslie. 1965.</w:t>
      </w:r>
      <w:r>
        <w:t xml:space="preserve"> </w:t>
      </w:r>
      <w:r>
        <w:rPr>
          <w:i/>
          <w:iCs/>
        </w:rPr>
        <w:t xml:space="preserve">Survey Sampling</w:t>
      </w:r>
      <w:r>
        <w:t xml:space="preserve">. New York: John Wiley &amp; Sons.</w:t>
      </w:r>
    </w:p>
    <w:bookmarkEnd w:id="840"/>
    <w:bookmarkStart w:id="841" w:name="ref-lohr2022"/>
    <w:p>
      <w:pPr>
        <w:pStyle w:val="Bibliography"/>
      </w:pPr>
      <w:r>
        <w:t xml:space="preserve">Lohr, Sharon L. 2022.</w:t>
      </w:r>
      <w:r>
        <w:t xml:space="preserve"> </w:t>
      </w:r>
      <w:r>
        <w:rPr>
          <w:i/>
          <w:iCs/>
        </w:rPr>
        <w:t xml:space="preserve">Sampling: Design and Analysis</w:t>
      </w:r>
      <w:r>
        <w:t xml:space="preserve">. 3rd éd. Boca Raton: CRC Press.</w:t>
      </w:r>
    </w:p>
    <w:bookmarkEnd w:id="841"/>
    <w:bookmarkStart w:id="843" w:name="ref-lumley2004"/>
    <w:p>
      <w:pPr>
        <w:pStyle w:val="Bibliography"/>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842">
        <w:r>
          <w:rPr>
            <w:rStyle w:val="Hyperlink"/>
          </w:rPr>
          <w:t xml:space="preserve">https://doi.org/10.18637/jss.v009.i08</w:t>
        </w:r>
      </w:hyperlink>
      <w:r>
        <w:t xml:space="preserve">.</w:t>
      </w:r>
    </w:p>
    <w:bookmarkEnd w:id="843"/>
    <w:bookmarkStart w:id="844" w:name="ref-lumley2010"/>
    <w:p>
      <w:pPr>
        <w:pStyle w:val="Bibliography"/>
      </w:pPr>
      <w:r>
        <w:t xml:space="preserve">———. 2010.</w:t>
      </w:r>
      <w:r>
        <w:t xml:space="preserve"> </w:t>
      </w:r>
      <w:r>
        <w:rPr>
          <w:i/>
          <w:iCs/>
        </w:rPr>
        <w:t xml:space="preserve">Complex Surveys: A Guide to Analysis Using</w:t>
      </w:r>
      <w:r>
        <w:rPr>
          <w:i/>
          <w:iCs/>
        </w:rPr>
        <w:t xml:space="preserve"> </w:t>
      </w:r>
      <w:r>
        <w:rPr>
          <w:i/>
          <w:iCs/>
        </w:rPr>
        <w:t xml:space="preserve">R</w:t>
      </w:r>
      <w:r>
        <w:t xml:space="preserve">. Hoboken, NJ: John Wiley &amp; Sons.</w:t>
      </w:r>
    </w:p>
    <w:bookmarkEnd w:id="844"/>
    <w:bookmarkStart w:id="845" w:name="ref-rao2015"/>
    <w:p>
      <w:pPr>
        <w:pStyle w:val="Bibliography"/>
      </w:pPr>
      <w:r>
        <w:t xml:space="preserve">Rao, J. N. K., et Isabel Molina. 2015.</w:t>
      </w:r>
      <w:r>
        <w:t xml:space="preserve"> </w:t>
      </w:r>
      <w:r>
        <w:rPr>
          <w:i/>
          <w:iCs/>
        </w:rPr>
        <w:t xml:space="preserve">Small Area Estimation</w:t>
      </w:r>
      <w:r>
        <w:t xml:space="preserve">. 2nd éd. Hoboken, NJ: John Wiley &amp; Sons.</w:t>
      </w:r>
    </w:p>
    <w:bookmarkEnd w:id="845"/>
    <w:bookmarkStart w:id="846" w:name="ref-sarndal2003"/>
    <w:p>
      <w:pPr>
        <w:pStyle w:val="Bibliography"/>
      </w:pPr>
      <w:r>
        <w:t xml:space="preserve">Särndal, Carl-Erik, Bengt Swensson, et Jan Wretman. 2003.</w:t>
      </w:r>
      <w:r>
        <w:t xml:space="preserve"> </w:t>
      </w:r>
      <w:r>
        <w:rPr>
          <w:i/>
          <w:iCs/>
        </w:rPr>
        <w:t xml:space="preserve">Model Assisted Survey Sampling</w:t>
      </w:r>
      <w:r>
        <w:t xml:space="preserve">. New York: Springer-Verlag.</w:t>
      </w:r>
    </w:p>
    <w:bookmarkEnd w:id="846"/>
    <w:bookmarkEnd w:id="847"/>
    <w:bookmarkEnd w:id="8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33" Target="media/rId133.png" /><Relationship Type="http://schemas.openxmlformats.org/officeDocument/2006/relationships/image" Id="rId67" Target="media/rId67.png" /><Relationship Type="http://schemas.openxmlformats.org/officeDocument/2006/relationships/image" Id="rId96" Target="media/rId96.png" /><Relationship Type="http://schemas.openxmlformats.org/officeDocument/2006/relationships/image" Id="rId92" Target="media/rId92.png" /><Relationship Type="http://schemas.openxmlformats.org/officeDocument/2006/relationships/image" Id="rId100" Target="media/rId100.png" /><Relationship Type="http://schemas.openxmlformats.org/officeDocument/2006/relationships/image" Id="rId161" Target="media/rId16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25" Target="media/rId125.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93" Target="media/rId193.png" /><Relationship Type="http://schemas.openxmlformats.org/officeDocument/2006/relationships/image" Id="rId189" Target="media/rId189.png" /><Relationship Type="http://schemas.openxmlformats.org/officeDocument/2006/relationships/image" Id="rId197" Target="media/rId197.png" /><Relationship Type="http://schemas.openxmlformats.org/officeDocument/2006/relationships/image" Id="rId184" Target="media/rId184.png" /><Relationship Type="http://schemas.openxmlformats.org/officeDocument/2006/relationships/image" Id="rId207" Target="media/rId207.png" /><Relationship Type="http://schemas.openxmlformats.org/officeDocument/2006/relationships/image" Id="rId202" Target="media/rId202.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35" Target="media/rId235.png" /><Relationship Type="http://schemas.openxmlformats.org/officeDocument/2006/relationships/image" Id="rId242" Target="media/rId242.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30" Target="media/rId230.png" /><Relationship Type="http://schemas.openxmlformats.org/officeDocument/2006/relationships/image" Id="rId239" Target="media/rId239.png" /><Relationship Type="http://schemas.openxmlformats.org/officeDocument/2006/relationships/image" Id="rId227" Target="media/rId227.png" /><Relationship Type="http://schemas.openxmlformats.org/officeDocument/2006/relationships/image" Id="rId256" Target="media/rId256.png" /><Relationship Type="http://schemas.openxmlformats.org/officeDocument/2006/relationships/image" Id="rId249" Target="media/rId249.png" /><Relationship Type="http://schemas.openxmlformats.org/officeDocument/2006/relationships/image" Id="rId224" Target="media/rId224.png" /><Relationship Type="http://schemas.openxmlformats.org/officeDocument/2006/relationships/image" Id="rId253" Target="media/rId253.png" /><Relationship Type="http://schemas.openxmlformats.org/officeDocument/2006/relationships/image" Id="rId246" Target="media/rId246.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180" Target="media/rId180.png" /><Relationship Type="http://schemas.openxmlformats.org/officeDocument/2006/relationships/image" Id="rId176" Target="media/rId176.png" /><Relationship Type="http://schemas.openxmlformats.org/officeDocument/2006/relationships/image" Id="rId291" Target="media/rId291.png" /><Relationship Type="http://schemas.openxmlformats.org/officeDocument/2006/relationships/image" Id="rId295" Target="media/rId295.png" /><Relationship Type="http://schemas.openxmlformats.org/officeDocument/2006/relationships/image" Id="rId321" Target="media/rId321.png" /><Relationship Type="http://schemas.openxmlformats.org/officeDocument/2006/relationships/image" Id="rId331" Target="media/rId331.png" /><Relationship Type="http://schemas.openxmlformats.org/officeDocument/2006/relationships/image" Id="rId339" Target="media/rId339.png" /><Relationship Type="http://schemas.openxmlformats.org/officeDocument/2006/relationships/image" Id="rId286" Target="media/rId286.png" /><Relationship Type="http://schemas.openxmlformats.org/officeDocument/2006/relationships/image" Id="rId281" Target="media/rId281.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271" Target="media/rId271.png" /><Relationship Type="http://schemas.openxmlformats.org/officeDocument/2006/relationships/image" Id="rId307" Target="media/rId307.png" /><Relationship Type="http://schemas.openxmlformats.org/officeDocument/2006/relationships/image" Id="rId300" Target="media/rId300.png" /><Relationship Type="http://schemas.openxmlformats.org/officeDocument/2006/relationships/image" Id="rId335" Target="media/rId335.png" /><Relationship Type="http://schemas.openxmlformats.org/officeDocument/2006/relationships/image" Id="rId347" Target="media/rId347.png" /><Relationship Type="http://schemas.openxmlformats.org/officeDocument/2006/relationships/image" Id="rId327" Target="media/rId327.png" /><Relationship Type="http://schemas.openxmlformats.org/officeDocument/2006/relationships/image" Id="rId277" Target="media/rId277.png" /><Relationship Type="http://schemas.openxmlformats.org/officeDocument/2006/relationships/image" Id="rId465" Target="media/rId465.png" /><Relationship Type="http://schemas.openxmlformats.org/officeDocument/2006/relationships/image" Id="rId469" Target="media/rId469.png" /><Relationship Type="http://schemas.openxmlformats.org/officeDocument/2006/relationships/image" Id="rId489" Target="media/rId489.png" /><Relationship Type="http://schemas.openxmlformats.org/officeDocument/2006/relationships/image" Id="rId413" Target="media/rId413.png" /><Relationship Type="http://schemas.openxmlformats.org/officeDocument/2006/relationships/image" Id="rId361" Target="media/rId361.png" /><Relationship Type="http://schemas.openxmlformats.org/officeDocument/2006/relationships/image" Id="rId422" Target="media/rId422.png" /><Relationship Type="http://schemas.openxmlformats.org/officeDocument/2006/relationships/image" Id="rId370" Target="media/rId370.png" /><Relationship Type="http://schemas.openxmlformats.org/officeDocument/2006/relationships/image" Id="rId445" Target="media/rId445.png" /><Relationship Type="http://schemas.openxmlformats.org/officeDocument/2006/relationships/image" Id="rId473" Target="media/rId473.png" /><Relationship Type="http://schemas.openxmlformats.org/officeDocument/2006/relationships/image" Id="rId450" Target="media/rId450.png" /><Relationship Type="http://schemas.openxmlformats.org/officeDocument/2006/relationships/image" Id="rId394" Target="media/rId394.png" /><Relationship Type="http://schemas.openxmlformats.org/officeDocument/2006/relationships/image" Id="rId456" Target="media/rId456.png" /><Relationship Type="http://schemas.openxmlformats.org/officeDocument/2006/relationships/image" Id="rId404" Target="media/rId404.png" /><Relationship Type="http://schemas.openxmlformats.org/officeDocument/2006/relationships/image" Id="rId381" Target="media/rId381.png" /><Relationship Type="http://schemas.openxmlformats.org/officeDocument/2006/relationships/image" Id="rId437" Target="media/rId437.png" /><Relationship Type="http://schemas.openxmlformats.org/officeDocument/2006/relationships/image" Id="rId377" Target="media/rId377.png" /><Relationship Type="http://schemas.openxmlformats.org/officeDocument/2006/relationships/image" Id="rId390" Target="media/rId390.png" /><Relationship Type="http://schemas.openxmlformats.org/officeDocument/2006/relationships/image" Id="rId477" Target="media/rId477.png" /><Relationship Type="http://schemas.openxmlformats.org/officeDocument/2006/relationships/image" Id="rId366" Target="media/rId366.png" /><Relationship Type="http://schemas.openxmlformats.org/officeDocument/2006/relationships/image" Id="rId357" Target="media/rId357.png" /><Relationship Type="http://schemas.openxmlformats.org/officeDocument/2006/relationships/image" Id="rId417" Target="media/rId417.png" /><Relationship Type="http://schemas.openxmlformats.org/officeDocument/2006/relationships/image" Id="rId432" Target="media/rId432.png" /><Relationship Type="http://schemas.openxmlformats.org/officeDocument/2006/relationships/image" Id="rId386" Target="media/rId386.png" /><Relationship Type="http://schemas.openxmlformats.org/officeDocument/2006/relationships/image" Id="rId400" Target="media/rId400.png" /><Relationship Type="http://schemas.openxmlformats.org/officeDocument/2006/relationships/image" Id="rId502" Target="media/rId502.png" /><Relationship Type="http://schemas.openxmlformats.org/officeDocument/2006/relationships/image" Id="rId496" Target="media/rId496.png" /><Relationship Type="http://schemas.openxmlformats.org/officeDocument/2006/relationships/image" Id="rId499" Target="media/rId499.png" /><Relationship Type="http://schemas.openxmlformats.org/officeDocument/2006/relationships/image" Id="rId553" Target="media/rId553.png" /><Relationship Type="http://schemas.openxmlformats.org/officeDocument/2006/relationships/image" Id="rId550" Target="media/rId550.png" /><Relationship Type="http://schemas.openxmlformats.org/officeDocument/2006/relationships/image" Id="rId512" Target="media/rId512.png" /><Relationship Type="http://schemas.openxmlformats.org/officeDocument/2006/relationships/image" Id="rId516" Target="media/rId516.png" /><Relationship Type="http://schemas.openxmlformats.org/officeDocument/2006/relationships/image" Id="rId523" Target="media/rId523.png" /><Relationship Type="http://schemas.openxmlformats.org/officeDocument/2006/relationships/image" Id="rId530" Target="media/rId530.png" /><Relationship Type="http://schemas.openxmlformats.org/officeDocument/2006/relationships/image" Id="rId537" Target="media/rId537.png" /><Relationship Type="http://schemas.openxmlformats.org/officeDocument/2006/relationships/image" Id="rId541" Target="media/rId541.png" /><Relationship Type="http://schemas.openxmlformats.org/officeDocument/2006/relationships/image" Id="rId546" Target="media/rId546.png" /><Relationship Type="http://schemas.openxmlformats.org/officeDocument/2006/relationships/image" Id="rId669" Target="media/rId669.png" /><Relationship Type="http://schemas.openxmlformats.org/officeDocument/2006/relationships/image" Id="rId570" Target="media/rId570.png" /><Relationship Type="http://schemas.openxmlformats.org/officeDocument/2006/relationships/image" Id="rId587" Target="media/rId587.png" /><Relationship Type="http://schemas.openxmlformats.org/officeDocument/2006/relationships/image" Id="rId583" Target="media/rId583.png" /><Relationship Type="http://schemas.openxmlformats.org/officeDocument/2006/relationships/image" Id="rId592" Target="media/rId592.png" /><Relationship Type="http://schemas.openxmlformats.org/officeDocument/2006/relationships/image" Id="rId633" Target="media/rId633.png" /><Relationship Type="http://schemas.openxmlformats.org/officeDocument/2006/relationships/image" Id="rId565" Target="media/rId565.png" /><Relationship Type="http://schemas.openxmlformats.org/officeDocument/2006/relationships/image" Id="rId610" Target="media/rId610.png" /><Relationship Type="http://schemas.openxmlformats.org/officeDocument/2006/relationships/image" Id="rId654" Target="media/rId654.png" /><Relationship Type="http://schemas.openxmlformats.org/officeDocument/2006/relationships/image" Id="rId649" Target="media/rId649.png" /><Relationship Type="http://schemas.openxmlformats.org/officeDocument/2006/relationships/image" Id="rId659" Target="media/rId659.png" /><Relationship Type="http://schemas.openxmlformats.org/officeDocument/2006/relationships/image" Id="rId601" Target="media/rId601.png" /><Relationship Type="http://schemas.openxmlformats.org/officeDocument/2006/relationships/image" Id="rId664" Target="media/rId664.png" /><Relationship Type="http://schemas.openxmlformats.org/officeDocument/2006/relationships/image" Id="rId637" Target="media/rId637.png" /><Relationship Type="http://schemas.openxmlformats.org/officeDocument/2006/relationships/image" Id="rId621" Target="media/rId621.png" /><Relationship Type="http://schemas.openxmlformats.org/officeDocument/2006/relationships/image" Id="rId641" Target="media/rId641.png" /><Relationship Type="http://schemas.openxmlformats.org/officeDocument/2006/relationships/image" Id="rId577" Target="media/rId577.png" /><Relationship Type="http://schemas.openxmlformats.org/officeDocument/2006/relationships/image" Id="rId560" Target="media/rId560.png" /><Relationship Type="http://schemas.openxmlformats.org/officeDocument/2006/relationships/image" Id="rId615" Target="media/rId615.png" /><Relationship Type="http://schemas.openxmlformats.org/officeDocument/2006/relationships/image" Id="rId628" Target="media/rId628.png" /><Relationship Type="http://schemas.openxmlformats.org/officeDocument/2006/relationships/image" Id="rId606" Target="media/rId606.png" /><Relationship Type="http://schemas.openxmlformats.org/officeDocument/2006/relationships/image" Id="rId705" Target="media/rId705.png" /><Relationship Type="http://schemas.openxmlformats.org/officeDocument/2006/relationships/image" Id="rId679" Target="media/rId679.png" /><Relationship Type="http://schemas.openxmlformats.org/officeDocument/2006/relationships/image" Id="rId688" Target="media/rId688.png" /><Relationship Type="http://schemas.openxmlformats.org/officeDocument/2006/relationships/image" Id="rId693" Target="media/rId693.png" /><Relationship Type="http://schemas.openxmlformats.org/officeDocument/2006/relationships/image" Id="rId700" Target="media/rId700.png" /><Relationship Type="http://schemas.openxmlformats.org/officeDocument/2006/relationships/image" Id="rId737" Target="media/rId737.png" /><Relationship Type="http://schemas.openxmlformats.org/officeDocument/2006/relationships/image" Id="rId714" Target="media/rId714.png" /><Relationship Type="http://schemas.openxmlformats.org/officeDocument/2006/relationships/image" Id="rId724" Target="media/rId724.png" /><Relationship Type="http://schemas.openxmlformats.org/officeDocument/2006/relationships/image" Id="rId729" Target="media/rId729.png" /><Relationship Type="http://schemas.openxmlformats.org/officeDocument/2006/relationships/image" Id="rId743" Target="media/rId743.png" /><Relationship Type="http://schemas.openxmlformats.org/officeDocument/2006/relationships/image" Id="rId719" Target="media/rId719.png" /><Relationship Type="http://schemas.openxmlformats.org/officeDocument/2006/relationships/image" Id="rId763" Target="media/rId763.png" /><Relationship Type="http://schemas.openxmlformats.org/officeDocument/2006/relationships/image" Id="rId756" Target="media/rId756.png" /><Relationship Type="http://schemas.openxmlformats.org/officeDocument/2006/relationships/image" Id="rId768" Target="media/rId768.png" /><Relationship Type="http://schemas.openxmlformats.org/officeDocument/2006/relationships/image" Id="rId825" Target="media/rId825.png" /><Relationship Type="http://schemas.openxmlformats.org/officeDocument/2006/relationships/image" Id="rId785" Target="media/rId785.png" /><Relationship Type="http://schemas.openxmlformats.org/officeDocument/2006/relationships/image" Id="rId149" Target="media/rId149.png" /><Relationship Type="http://schemas.openxmlformats.org/officeDocument/2006/relationships/image" Id="rId798" Target="media/rId798.png" /><Relationship Type="http://schemas.openxmlformats.org/officeDocument/2006/relationships/image" Id="rId33" Target="media/rId33.png" /><Relationship Type="http://schemas.openxmlformats.org/officeDocument/2006/relationships/image" Id="rId818" Target="media/rId818.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812" Target="https://chelsa-climate.org/" TargetMode="External"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 Type="http://schemas.openxmlformats.org/officeDocument/2006/relationships/hyperlink" Id="rId809" Target="https://dataforgood.facebook.com/" TargetMode="External" /><Relationship Type="http://schemas.openxmlformats.org/officeDocument/2006/relationships/hyperlink" Id="rId817" Target="https://docs.openlandmap.org/012-compendium.html" TargetMode="External" /><Relationship Type="http://schemas.openxmlformats.org/officeDocument/2006/relationships/hyperlink" Id="rId837" Target="https://doi.org/10.1080/01621459.1979.10482505" TargetMode="External" /><Relationship Type="http://schemas.openxmlformats.org/officeDocument/2006/relationships/hyperlink" Id="rId835" Target="https://doi.org/10.1080/01621459.1992.10475217" TargetMode="External" /><Relationship Type="http://schemas.openxmlformats.org/officeDocument/2006/relationships/hyperlink" Id="rId842" Target="https://doi.org/10.18637/jss.v009.i08" TargetMode="External" /><Relationship Type="http://schemas.openxmlformats.org/officeDocument/2006/relationships/hyperlink" Id="rId811" Target="https://eogdata.mines.edu/products/vnl/" TargetMode="External" /><Relationship Type="http://schemas.openxmlformats.org/officeDocument/2006/relationships/hyperlink" Id="rId810" Target="https://esa-worldcover.org/" TargetMode="External" /><Relationship Type="http://schemas.openxmlformats.org/officeDocument/2006/relationships/hyperlink" Id="rId808" Target="https://ghsl.jrc.ec.europa.eu/" TargetMode="External" /><Relationship Type="http://schemas.openxmlformats.org/officeDocument/2006/relationships/hyperlink" Id="rId814" Target="https://lpdaac.usgs.gov/" TargetMode="External" /><Relationship Type="http://schemas.openxmlformats.org/officeDocument/2006/relationships/hyperlink" Id="rId815" Target="https://malariaatlas.org/" TargetMode="External" /><Relationship Type="http://schemas.openxmlformats.org/officeDocument/2006/relationships/hyperlink" Id="rId813" Target="https://soilgrids.org/" TargetMode="External" /></Relationships>
</file>

<file path=word/_rels/footnotes.xml.rels><?xml version="1.0" encoding="UTF-8"?><Relationships xmlns="http://schemas.openxmlformats.org/package/2006/relationships"><Relationship Type="http://schemas.openxmlformats.org/officeDocument/2006/relationships/hyperlink" Id="rId812" Target="https://chelsa-climate.org/" TargetMode="External"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 Type="http://schemas.openxmlformats.org/officeDocument/2006/relationships/hyperlink" Id="rId809" Target="https://dataforgood.facebook.com/" TargetMode="External" /><Relationship Type="http://schemas.openxmlformats.org/officeDocument/2006/relationships/hyperlink" Id="rId817" Target="https://docs.openlandmap.org/012-compendium.html" TargetMode="External" /><Relationship Type="http://schemas.openxmlformats.org/officeDocument/2006/relationships/hyperlink" Id="rId837" Target="https://doi.org/10.1080/01621459.1979.10482505" TargetMode="External" /><Relationship Type="http://schemas.openxmlformats.org/officeDocument/2006/relationships/hyperlink" Id="rId835" Target="https://doi.org/10.1080/01621459.1992.10475217" TargetMode="External" /><Relationship Type="http://schemas.openxmlformats.org/officeDocument/2006/relationships/hyperlink" Id="rId842" Target="https://doi.org/10.18637/jss.v009.i08" TargetMode="External" /><Relationship Type="http://schemas.openxmlformats.org/officeDocument/2006/relationships/hyperlink" Id="rId811" Target="https://eogdata.mines.edu/products/vnl/" TargetMode="External" /><Relationship Type="http://schemas.openxmlformats.org/officeDocument/2006/relationships/hyperlink" Id="rId810" Target="https://esa-worldcover.org/" TargetMode="External" /><Relationship Type="http://schemas.openxmlformats.org/officeDocument/2006/relationships/hyperlink" Id="rId808" Target="https://ghsl.jrc.ec.europa.eu/" TargetMode="External" /><Relationship Type="http://schemas.openxmlformats.org/officeDocument/2006/relationships/hyperlink" Id="rId814" Target="https://lpdaac.usgs.gov/" TargetMode="External" /><Relationship Type="http://schemas.openxmlformats.org/officeDocument/2006/relationships/hyperlink" Id="rId815" Target="https://malariaatlas.org/" TargetMode="External" /><Relationship Type="http://schemas.openxmlformats.org/officeDocument/2006/relationships/hyperlink" Id="rId813"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2026-03-17T09:19:45Z</dcterms:created>
  <dcterms:modified xsi:type="dcterms:W3CDTF">2026-03-17T09:19:45Z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Rapport consolidé d’enquêtes</vt:lpwstr>
  </property>
  <property fmtid="{D5CDD505-2E9C-101B-9397-08002B2CF9AE}" pid="14" name="template-partials">
    <vt:lpwstr/>
  </property>
  <property fmtid="{D5CDD505-2E9C-101B-9397-08002B2CF9AE}" pid="15" name="toc-title">
    <vt:lpwstr>Table des matières</vt:lpwstr>
  </property>
</Properties>
</file>