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Protected area categories, coverage, and nearby population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All PAs in 2020 (including missing designation year), 75 LMICs excluding India, GHSL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 count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PA area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(km²)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PA area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(% of sample land)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PAs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PAs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(% of sample pop.)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km ring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km ring area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(km²)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km ring density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(people/km²)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or within 10 km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or within 10 km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(% of sample pop.)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or within 10 km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per km² of PA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km ring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per km² of PA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Strict PAs (IUCN Ia-III)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1,349,677.6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1,260,217.2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Non-strict PAs (IUCN IV-VI)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1,389,497.0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1,365,899.2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IUCN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1,377,795.0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2,016,692.4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4,116,969.6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4,642,808.9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162.9</w:t>
            </w:r>
          </w:p>
        </w:tc>
      </w:tr>
      <w:tr>
        <w:trPr>
          <w:cantSplit/>
        </w:trPr>
        <w:tc>
          <w:tcPr>
            <w:gridSpan w:val="1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Counts use the repository's GEE-exported WDPA polygon feature counts after manuscript filters; areas come from the all-PA national aggregation, and 10 km ring population/area come from the ADM-based reviewed outputs.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2026-07-17T09:54:21Z</dcterms:created>
  <dcterms:modified xsi:type="dcterms:W3CDTF">2026-07-17T09:54:21Z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