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34" w:name="X7a1c83f4ac0152fda2163ec106c2b4e397a1939"/>
    <w:p>
      <w:pPr>
        <w:pStyle w:val="Titre2"/>
      </w:pPr>
      <w:r>
        <w:t xml:space="preserve">Section A. Data processing and variable definitions</w:t>
      </w:r>
    </w:p>
    <w:bookmarkStart w:id="20"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20"/>
    <w:bookmarkStart w:id="21"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21"/>
    <w:bookmarkStart w:id="22" w:name="X36d95f1bc40d41232b63f974463597c0027a793"/>
    <w:p>
      <w:pPr>
        <w:pStyle w:val="Titre3"/>
      </w:pPr>
      <w:r>
        <w:t xml:space="preserve">Spatial processing in Google Earth Engine</w:t>
      </w:r>
    </w:p>
    <w:p>
      <w:pPr>
        <w:pStyle w:val="FirstParagraph"/>
      </w:pPr>
      <w:r>
        <w:t xml:space="preserve">Population counts inside and near protected areas were computed in Google Earth Engine (GEE) for each country and each first-level administrative unit (ADM1) from geoBoundaries v6.0.0</w:t>
      </w:r>
      <w:r>
        <w:t xml:space="preserve"> </w:t>
      </w:r>
      <w:r>
        <w:t xml:space="preserve">(Runfola et al. 2020)</w:t>
      </w:r>
      <w:r>
        <w:t xml:space="preserve">.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Within each group, a binary raster mask was constructed at the resolution of the population grid.</w:t>
      </w:r>
    </w:p>
    <w:p>
      <w:pPr>
        <w:numPr>
          <w:ilvl w:val="0"/>
          <w:numId w:val="1003"/>
        </w:numPr>
      </w:pPr>
      <w:r>
        <w:rPr>
          <w:b/>
          <w:bCs/>
        </w:rPr>
        <w:t xml:space="preserve">Hierarchical assignment</w:t>
      </w:r>
      <w:r>
        <w:t xml:space="preserve">: Where PA categories overlap spatially, pixels were assigned to the highest-priority category using an exclusive hierarchy: strict &gt; non-strict &gt; unknown. Each pixel belongs to at most one category.</w:t>
      </w:r>
    </w:p>
    <w:p>
      <w:pPr>
        <w:numPr>
          <w:ilvl w:val="0"/>
          <w:numId w:val="1003"/>
        </w:numPr>
      </w:pPr>
      <w:r>
        <w:rPr>
          <w:b/>
          <w:bCs/>
        </w:rPr>
        <w:t xml:space="preserve">Buffer construction</w:t>
      </w:r>
      <w:r>
        <w:t xml:space="preserve">: For each category mask, a 10 km buffer was computed using</w:t>
      </w:r>
      <w:r>
        <w:t xml:space="preserve"> </w:t>
      </w:r>
      <w:r>
        <w:rPr>
          <w:rStyle w:val="VerbatimChar"/>
        </w:rPr>
        <w:t xml:space="preserve">focal_max</w:t>
      </w:r>
      <w:r>
        <w:t xml:space="preserve">. The buffer represents the ring of pixels within 10 km of the PA boundary but not inside any PA. Buffer pixels are also assigned exclusively – a pixel already claimed by a higher-priority PA or buffer is not counted again.</w:t>
      </w:r>
    </w:p>
    <w:p>
      <w:pPr>
        <w:numPr>
          <w:ilvl w:val="0"/>
          <w:numId w:val="1003"/>
        </w:numPr>
      </w:pPr>
      <w:r>
        <w:rPr>
          <w:b/>
          <w:bCs/>
        </w:rPr>
        <w:t xml:space="preserve">Zonal aggregation</w:t>
      </w:r>
      <w:r>
        <w:t xml:space="preserve">: Population (from GHSL or WorldPop) and land area were summed within each mask and buffer, clipped to national boundaries. Buffer zones are truncated at international borders.</w:t>
      </w:r>
    </w:p>
    <w:bookmarkEnd w:id="22"/>
    <w:bookmarkStart w:id="23" w:name="output-dataset-structure"/>
    <w:p>
      <w:pPr>
        <w:pStyle w:val="Titre3"/>
      </w:pPr>
      <w:r>
        <w:t xml:space="preserve">Output dataset structure</w:t>
      </w:r>
    </w:p>
    <w:p>
      <w:pPr>
        <w:pStyle w:val="FirstParagraph"/>
      </w:pPr>
      <w:r>
        <w:t xml:space="preserve">The GEE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 or</w:t>
            </w:r>
            <w:r>
              <w:t xml:space="preserve"> </w:t>
            </w:r>
            <w:r>
              <w:rPr>
                <w:rStyle w:val="VerbatimChar"/>
              </w:rPr>
              <w:t xml:space="preserve">Unknown_Year</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A separate national-level aggregation file provides total PA area per country (all categories combined, no temporal filter).</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bookmarkEnd w:id="23"/>
    <w:bookmarkStart w:id="33" w:name="references"/>
    <w:p>
      <w:pPr>
        <w:pStyle w:val="Titre3"/>
      </w:pPr>
      <w:r>
        <w:t xml:space="preserve">References</w:t>
      </w:r>
    </w:p>
    <w:bookmarkStart w:id="32" w:name="refs"/>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runfola2020"/>
    <w:p>
      <w:pPr>
        <w:pStyle w:val="Bibliographie"/>
      </w:pPr>
      <w:r>
        <w:t xml:space="preserve">Runfola, Daniel, Austin Anderson, Heather Baier, Matt Crittenden, Elizabeth Dowker, Sydney Fuhrig, Seth Goodman,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26">
        <w:r>
          <w:rPr>
            <w:rStyle w:val="Lienhypertexte"/>
          </w:rPr>
          <w:t xml:space="preserve">https://doi.org/10.1371/journal.pone.0231866</w:t>
        </w:r>
      </w:hyperlink>
      <w:r>
        <w:t xml:space="preserve">.</w:t>
      </w:r>
    </w:p>
    <w:bookmarkEnd w:id="27"/>
    <w:bookmarkStart w:id="29" w:name="ref-wdpa_manual2024"/>
    <w:p>
      <w:pPr>
        <w:pStyle w:val="Bibliographie"/>
      </w:pPr>
      <w:r>
        <w:t xml:space="preserve">UNEP-WCMC. 2024.</w:t>
      </w:r>
      <w:r>
        <w:t xml:space="preserve"> </w:t>
      </w:r>
      <w:r>
        <w:t xml:space="preserve">“World Database on Protected Areas (</w:t>
      </w:r>
      <w:r>
        <w:t xml:space="preserve">WDPA</w:t>
      </w:r>
      <w:r>
        <w:t xml:space="preserve">) [</w:t>
      </w:r>
      <w:r>
        <w:t xml:space="preserve">WDOECM</w:t>
      </w:r>
      <w:r>
        <w:t xml:space="preserve">] User Manual 1.6.”</w:t>
      </w:r>
      <w:r>
        <w:t xml:space="preserve"> </w:t>
      </w:r>
      <w:r>
        <w:t xml:space="preserve">Cambridge, United Kingdom: UNEP World Conservation Monitoring Centre.</w:t>
      </w:r>
      <w:r>
        <w:t xml:space="preserve"> </w:t>
      </w:r>
      <w:hyperlink r:id="rId28">
        <w:r>
          <w:rPr>
            <w:rStyle w:val="Lienhypertexte"/>
          </w:rPr>
          <w:t xml:space="preserve">https://wdpa.s3.amazonaws.com/WDPA_Manual/English/WDPA_WDOECM_Manual_1_6.pdf</w:t>
        </w:r>
      </w:hyperlink>
      <w:r>
        <w:t xml:space="preserve">.</w:t>
      </w:r>
    </w:p>
    <w:bookmarkEnd w:id="29"/>
    <w:bookmarkStart w:id="31"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0">
        <w:r>
          <w:rPr>
            <w:rStyle w:val="Lienhypertexte"/>
          </w:rPr>
          <w:t xml:space="preserve">www.protectedplanet.net</w:t>
        </w:r>
      </w:hyperlink>
      <w:r>
        <w:t xml:space="preserve">.</w:t>
      </w:r>
    </w:p>
    <w:bookmarkEnd w:id="31"/>
    <w:bookmarkEnd w:id="32"/>
    <w:p>
      <w:r>
        <w:br w:type="page"/>
      </w:r>
    </w:p>
    <w:bookmarkEnd w:id="33"/>
    <w:bookmarkEnd w:id="34"/>
    <w:bookmarkStart w:id="35" w:name="section-b.-country-level-detail"/>
    <w:p>
      <w:pPr>
        <w:pStyle w:val="Titre2"/>
      </w:pPr>
      <w:r>
        <w:t xml:space="preserve">Section B. Country-level detail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Protected area coverage and population proximity (2000–2020)</w:t>
      </w:r>
    </w:p>
    <w:p>
      <w:pPr>
        <w:spacing w:before="0" w:after="60"/>
        <w:keepNext/>
        <w:jc w:val="start"/>
        <w:pStyle w:val="caption"/>
      </w:pPr>
      <w:r>
        <w:rPr>
          <w:rFonts w:ascii="Calibri" w:hAnsi="Calibri"/>
          <w:sz w:val="20"/>
          <w:color w:val="333333"/>
        </w:rPr>
        <w:t xml:space="default">Confirmed PAs only, GHSL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225,472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170,925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108,790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163,515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53,781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135,976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79,380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219,550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46,886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35"/>
    <w:bookmarkStart w:id="39"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37" name="Picture"/>
            <a:graphic>
              <a:graphicData uri="http://schemas.openxmlformats.org/drawingml/2006/picture">
                <pic:pic>
                  <pic:nvPicPr>
                    <pic:cNvPr descr="results/figure_s1.png" id="38" name="Picture"/>
                    <pic:cNvPicPr>
                      <a:picLocks noChangeArrowheads="1" noChangeAspect="1"/>
                    </pic:cNvPicPr>
                  </pic:nvPicPr>
                  <pic:blipFill>
                    <a:blip r:embed="rId36"/>
                    <a:stretch>
                      <a:fillRect/>
                    </a:stretch>
                  </pic:blipFill>
                  <pic:spPr bwMode="auto">
                    <a:xfrm>
                      <a:off x="0" y="0"/>
                      <a:ext cx="5969000" cy="3730624"/>
                    </a:xfrm>
                    <a:prstGeom prst="rect">
                      <a:avLst/>
                    </a:prstGeom>
                    <a:noFill/>
                    <a:ln w="9525">
                      <a:noFill/>
                      <a:headEnd/>
                      <a:tailEnd/>
                    </a:ln>
                  </pic:spPr>
                </pic:pic>
              </a:graphicData>
            </a:graphic>
          </wp:inline>
        </w:drawing>
      </w:r>
    </w:p>
    <w:p>
      <w:r>
        <w:br w:type="page"/>
      </w:r>
    </w:p>
    <w:bookmarkEnd w:id="39"/>
    <w:bookmarkStart w:id="43"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1" name="Picture"/>
            <a:graphic>
              <a:graphicData uri="http://schemas.openxmlformats.org/drawingml/2006/picture">
                <pic:pic>
                  <pic:nvPicPr>
                    <pic:cNvPr descr="results/figure_s2.png" id="42" name="Picture"/>
                    <pic:cNvPicPr>
                      <a:picLocks noChangeArrowheads="1" noChangeAspect="1"/>
                    </pic:cNvPicPr>
                  </pic:nvPicPr>
                  <pic:blipFill>
                    <a:blip r:embed="rId40"/>
                    <a:stretch>
                      <a:fillRect/>
                    </a:stretch>
                  </pic:blipFill>
                  <pic:spPr bwMode="auto">
                    <a:xfrm>
                      <a:off x="0" y="0"/>
                      <a:ext cx="5969000" cy="7461249"/>
                    </a:xfrm>
                    <a:prstGeom prst="rect">
                      <a:avLst/>
                    </a:prstGeom>
                    <a:noFill/>
                    <a:ln w="9525">
                      <a:noFill/>
                      <a:headEnd/>
                      <a:tailEnd/>
                    </a:ln>
                  </pic:spPr>
                </pic:pic>
              </a:graphicData>
            </a:graphic>
          </wp:inline>
        </w:drawing>
      </w:r>
    </w:p>
    <w:p>
      <w:r>
        <w:br w:type="page"/>
      </w:r>
    </w:p>
    <w:bookmarkEnd w:id="43"/>
    <w:bookmarkStart w:id="44" w:name="X1fdfe9d30bfdbaa16b8014fba7d4bcba35e873d"/>
    <w:p>
      <w:pPr>
        <w:pStyle w:val="Titre2"/>
      </w:pPr>
      <w:r>
        <w:t xml:space="preserve">Section E. Largest GHSL-WorldPop discrepancies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Largest Differences Between GHSL and WorldPop Estimates</w:t>
      </w:r>
    </w:p>
    <w:p>
      <w:pPr>
        <w:spacing w:before="0" w:after="60"/>
        <w:keepNext/>
        <w:jc w:val="start"/>
        <w:pStyle w:val="caption"/>
      </w:pPr>
      <w:r>
        <w:rPr>
          <w:rFonts w:ascii="Calibri" w:hAnsi="Calibri"/>
          <w:sz w:val="20"/>
          <w:color w:val="333333"/>
        </w:rPr>
        <w:t xml:space="default">All PAs in 2020 (incl. unknown designation year). Absolute difference &gt; 5 pp and relative difference &gt; 10%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44"/>
    <w:sectPr w:rsidR="008211CC" w:rsidRPr="004103D1" w:rsidSect="00EB2151">
      <w:footerReference r:id="rId9"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26"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wdpa.s3.amazonaws.com/WDPA_Manual/English/WDPA_WDOECM_Manual_1_6.pdf" TargetMode="External" /><Relationship Type="http://schemas.openxmlformats.org/officeDocument/2006/relationships/hyperlink" Id="rId30"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wdpa.s3.amazonaws.com/WDPA_Manual/English/WDPA_WDOECM_Manual_1_6.pdf" TargetMode="External" /><Relationship Type="http://schemas.openxmlformats.org/officeDocument/2006/relationships/hyperlink" Id="rId30"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2026-04-22T10:05:13Z</dcterms:created>
  <dcterms:modified xsi:type="dcterms:W3CDTF">2026-04-22T10:05:13Z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