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Protected area categories, coverage, and nearby population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(including missing designation year), 75 LMICs excluding India, GHSL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 count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PA area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PA area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(% of sample land)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PAs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PAs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(% of sample pop.)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 area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 density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(people/km²)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or within 10 km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or within 10 km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(% of sample pop.)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or within 10 km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per km² of PA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per km² of PA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Strict PAs (IUCN Ia-III)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1,349,677.6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1,260,217.2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Non-strict PAs (IUCN IV-VI)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1,389,497.0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1,365,899.2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IUCN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1,377,795.0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2,016,692.4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4,116,969.6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4,642,808.9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162.9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Counts use the repository's GEE-exported WDPA polygon feature counts after manuscript filters; areas come from the all-PA national aggregation, and 10 km ring population/area come from the ADM-based reviewed outputs.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2026-07-16T15:34:25Z</dcterms:created>
  <dcterms:modified xsi:type="dcterms:W3CDTF">2026-07-16T15:34:25Z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