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preserve">Table S1: Largest Differences Between GHSL and WorldPop Estimates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Absolute difference of more then 5 percentage points (pp) and relative difference of more than 10%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Country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Year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Area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WorldPop</w:t>
            </w:r>
          </w:p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GHSL</w:t>
            </w:r>
          </w:p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Absolute</w:t>
            </w:r>
          </w:p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Difference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Relative</w:t>
            </w:r>
          </w:p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Moldova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17,093.6%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Tunisia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670.2%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660.6%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Gambia,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765.0%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Djibouti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446.9%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Nepal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Solomon Islands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Senegal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Cabo Verde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Bolivia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Solomon Islands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97.7%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2025-10-20T13:07:57Z</dcterms:created>
  <dcterms:modified xsi:type="dcterms:W3CDTF">2025-10-20T13:07:57Z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