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preserve">Table S2: Largest differences between GHSL and WorldPop estimates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Absolute difference of more than 5 percentage points and relative difference of more than 10%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Area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WorldPop</w:t>
            </w:r>
            \line 
            <w:r>
              <w:rPr>
                <w:b w:val="true"/>
                <w:rFonts w:ascii="Calibri" w:hAnsi="Calibri"/>
                <w:sz w:val="20"/>
              </w:rPr>
              <w:t xml:space="preserve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GHSL</w:t>
            </w:r>
            \line 
            <w:r>
              <w:rPr>
                <w:b w:val="true"/>
                <w:rFonts w:ascii="Calibri" w:hAnsi="Calibri"/>
                <w:sz w:val="20"/>
              </w:rPr>
              <w:t xml:space="preserve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Absolute</w:t>
            </w:r>
            \line 
            <w:r>
              <w:rPr>
                <w:b w:val="true"/>
                <w:rFonts w:ascii="Calibri" w:hAnsi="Calibri"/>
                <w:sz w:val="20"/>
              </w:rPr>
              <w:t xml:space="preserve">Difference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Relative</w:t>
            </w:r>
            \line 
            <w:r>
              <w:rPr>
                <w:b w:val="true"/>
                <w:rFonts w:ascii="Calibri" w:hAnsi="Calibri"/>
                <w:sz w:val="20"/>
              </w:rPr>
              <w:t xml:space="preserve">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 of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994.0%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2025-12-16T21:55:26Z</dcterms:created>
  <dcterms:modified xsi:type="dcterms:W3CDTF">2025-12-16T21:55:26Z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