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CDA42" w14:textId="6D77E20C" w:rsidR="0003394B" w:rsidRPr="00701FDC" w:rsidRDefault="00701FDC" w:rsidP="0003394B">
      <w:pPr>
        <w:rPr>
          <w:u w:val="single"/>
          <w:lang w:val="en-US"/>
        </w:rPr>
      </w:pPr>
      <w:r>
        <w:rPr>
          <w:u w:val="single"/>
          <w:lang w:val="en-US"/>
        </w:rPr>
        <w:t xml:space="preserve">Object: </w:t>
      </w:r>
      <w:r w:rsidR="0003394B" w:rsidRPr="00701FDC">
        <w:rPr>
          <w:u w:val="single"/>
          <w:lang w:val="en-US"/>
        </w:rPr>
        <w:t>Response to reviewers</w:t>
      </w:r>
      <w:r w:rsidR="005B1FC5">
        <w:rPr>
          <w:u w:val="single"/>
          <w:lang w:val="en-US"/>
        </w:rPr>
        <w:t xml:space="preserve"> (second review)</w:t>
      </w:r>
      <w:r w:rsidR="0003394B" w:rsidRPr="00701FDC">
        <w:rPr>
          <w:u w:val="single"/>
          <w:lang w:val="en-US"/>
        </w:rPr>
        <w:t xml:space="preserve"> </w:t>
      </w:r>
      <w:r w:rsidR="0016659F">
        <w:rPr>
          <w:u w:val="single"/>
          <w:lang w:val="en-US"/>
        </w:rPr>
        <w:t>/</w:t>
      </w:r>
      <w:r w:rsidR="0003394B" w:rsidRPr="00701FDC">
        <w:rPr>
          <w:u w:val="single"/>
          <w:lang w:val="en-US"/>
        </w:rPr>
        <w:t xml:space="preserve"> ERL-124325</w:t>
      </w:r>
    </w:p>
    <w:p w14:paraId="0C3DDA17" w14:textId="77777777" w:rsidR="0003394B" w:rsidRPr="0003394B" w:rsidRDefault="0003394B" w:rsidP="0003394B">
      <w:pPr>
        <w:rPr>
          <w:lang w:val="en-US"/>
        </w:rPr>
      </w:pPr>
    </w:p>
    <w:p w14:paraId="3BE45C1A" w14:textId="2D6755A0" w:rsidR="0003394B" w:rsidRPr="0003394B" w:rsidRDefault="0003394B" w:rsidP="0003394B">
      <w:pPr>
        <w:rPr>
          <w:lang w:val="en-US"/>
        </w:rPr>
      </w:pPr>
      <w:r w:rsidRPr="0003394B">
        <w:rPr>
          <w:b/>
          <w:bCs/>
          <w:lang w:val="en-US"/>
        </w:rPr>
        <w:t>Manuscript:</w:t>
      </w:r>
      <w:r w:rsidRPr="0003394B">
        <w:rPr>
          <w:lang w:val="en-US"/>
        </w:rPr>
        <w:t xml:space="preserve"> "How Many People Live Near Protected Areas in Developing Countries? Estimates from Gridded Population Data (2000–2020)"</w:t>
      </w:r>
    </w:p>
    <w:p w14:paraId="42AE30AE" w14:textId="77777777" w:rsidR="0003394B" w:rsidRPr="0003394B" w:rsidRDefault="0003394B" w:rsidP="0003394B">
      <w:pPr>
        <w:rPr>
          <w:lang w:val="en-US"/>
        </w:rPr>
      </w:pPr>
    </w:p>
    <w:p w14:paraId="2F8E57E2" w14:textId="170E85E8" w:rsidR="0003394B" w:rsidRPr="0003394B" w:rsidRDefault="0003394B" w:rsidP="0003394B">
      <w:pPr>
        <w:rPr>
          <w:lang w:val="en-US"/>
        </w:rPr>
      </w:pPr>
      <w:r w:rsidRPr="0003394B">
        <w:rPr>
          <w:lang w:val="en-US"/>
        </w:rPr>
        <w:t>We thank the referees for their constructive comments. Below we respond to each point</w:t>
      </w:r>
      <w:r>
        <w:rPr>
          <w:lang w:val="en-US"/>
        </w:rPr>
        <w:t>. R</w:t>
      </w:r>
      <w:r w:rsidRPr="0003394B">
        <w:rPr>
          <w:lang w:val="en-US"/>
        </w:rPr>
        <w:t>eferee comments are in italics and our responses follow. Changes in the manuscript are referenced by section.</w:t>
      </w:r>
    </w:p>
    <w:p w14:paraId="02CE3652" w14:textId="77777777" w:rsidR="0003394B" w:rsidRPr="0003394B" w:rsidRDefault="0003394B" w:rsidP="0003394B">
      <w:pPr>
        <w:rPr>
          <w:lang w:val="en-US"/>
        </w:rPr>
      </w:pPr>
    </w:p>
    <w:p w14:paraId="51C48BDA" w14:textId="64B472CB" w:rsidR="0003394B" w:rsidRPr="003E27E7" w:rsidRDefault="0003394B" w:rsidP="0003394B">
      <w:pPr>
        <w:rPr>
          <w:b/>
          <w:bCs/>
          <w:u w:val="single"/>
          <w:lang w:val="en-US"/>
        </w:rPr>
      </w:pPr>
      <w:r w:rsidRPr="003E27E7">
        <w:rPr>
          <w:b/>
          <w:bCs/>
          <w:u w:val="single"/>
          <w:lang w:val="en-US"/>
        </w:rPr>
        <w:t>Important note: correction of a computation issue and reimplementation in R</w:t>
      </w:r>
    </w:p>
    <w:p w14:paraId="41EEE04B" w14:textId="77777777" w:rsidR="0003394B" w:rsidRPr="0003394B" w:rsidRDefault="0003394B" w:rsidP="0003394B">
      <w:pPr>
        <w:rPr>
          <w:lang w:val="en-US"/>
        </w:rPr>
      </w:pPr>
      <w:r w:rsidRPr="0003394B">
        <w:rPr>
          <w:lang w:val="en-US"/>
        </w:rPr>
        <w:t>While preparing the additional decomposition requested by Referee 3, we identified a technical issue in the original (Google Earth Engine, GEE) computation that was not raised by the reviewers but that we considered necessary to correct before resubmission. We flagged this to the editorial office and were granted a short extension.</w:t>
      </w:r>
    </w:p>
    <w:p w14:paraId="32DB0564" w14:textId="14993FAE" w:rsidR="0003394B" w:rsidRPr="0003394B" w:rsidRDefault="0003394B" w:rsidP="0003394B">
      <w:pPr>
        <w:rPr>
          <w:lang w:val="en-US"/>
        </w:rPr>
      </w:pPr>
      <w:r w:rsidRPr="0003394B">
        <w:rPr>
          <w:lang w:val="en-US"/>
        </w:rPr>
        <w:t>The issue had two components:</w:t>
      </w:r>
    </w:p>
    <w:p w14:paraId="6DE47919" w14:textId="78CA0770" w:rsidR="0003394B" w:rsidRPr="0003394B" w:rsidRDefault="0003394B" w:rsidP="0003394B">
      <w:pPr>
        <w:rPr>
          <w:lang w:val="en-US"/>
        </w:rPr>
      </w:pPr>
      <w:r w:rsidRPr="0003394B">
        <w:rPr>
          <w:b/>
          <w:bCs/>
          <w:lang w:val="en-US"/>
        </w:rPr>
        <w:t>1. Double counting of overlapping buffer zones</w:t>
      </w:r>
      <w:r>
        <w:rPr>
          <w:b/>
          <w:bCs/>
          <w:lang w:val="en-US"/>
        </w:rPr>
        <w:t>:</w:t>
      </w:r>
      <w:r w:rsidRPr="0003394B">
        <w:rPr>
          <w:lang w:val="en-US"/>
        </w:rPr>
        <w:t xml:space="preserve"> In the GEE workflow, the 2020 "all PAs" cross-section was assembled by summing two independently generated layers (PAs with a recorded designation year and PAs with a missing designation year). Where the 10 km buffer rings of these two layers overlapped, population and area were counted twice, inflating the "inside or within 10 km" figures.</w:t>
      </w:r>
    </w:p>
    <w:p w14:paraId="26A1647A" w14:textId="14C97BCD" w:rsidR="0003394B" w:rsidRPr="0003394B" w:rsidRDefault="0003394B" w:rsidP="0003394B">
      <w:pPr>
        <w:rPr>
          <w:lang w:val="en-US"/>
        </w:rPr>
      </w:pPr>
      <w:r w:rsidRPr="0003394B">
        <w:rPr>
          <w:b/>
          <w:bCs/>
          <w:lang w:val="en-US"/>
        </w:rPr>
        <w:t>2. Cross-border attribution</w:t>
      </w:r>
      <w:r>
        <w:rPr>
          <w:b/>
          <w:bCs/>
          <w:lang w:val="en-US"/>
        </w:rPr>
        <w:t>:</w:t>
      </w:r>
      <w:r w:rsidRPr="0003394B">
        <w:rPr>
          <w:lang w:val="en-US"/>
        </w:rPr>
        <w:t xml:space="preserve"> </w:t>
      </w:r>
      <w:r>
        <w:rPr>
          <w:lang w:val="en-US"/>
        </w:rPr>
        <w:t xml:space="preserve">In the way that </w:t>
      </w:r>
      <w:r w:rsidRPr="0003394B">
        <w:rPr>
          <w:lang w:val="en-US"/>
        </w:rPr>
        <w:t>PAs were filtered, PAs located in neighbouring countries could contribute population to a country's totals where buffers crossed borders.</w:t>
      </w:r>
      <w:r>
        <w:rPr>
          <w:lang w:val="en-US"/>
        </w:rPr>
        <w:t xml:space="preserve"> This was not intentional, as clarified after the first review.</w:t>
      </w:r>
    </w:p>
    <w:p w14:paraId="286D7D6F" w14:textId="5C20AA8E" w:rsidR="0003394B" w:rsidRPr="0003394B" w:rsidRDefault="0003394B" w:rsidP="0003394B">
      <w:pPr>
        <w:rPr>
          <w:lang w:val="en-US"/>
        </w:rPr>
      </w:pPr>
      <w:r>
        <w:rPr>
          <w:lang w:val="en-US"/>
        </w:rPr>
        <w:t>Google recently limited access to</w:t>
      </w:r>
      <w:r w:rsidRPr="0003394B">
        <w:rPr>
          <w:lang w:val="en-US"/>
        </w:rPr>
        <w:t xml:space="preserve"> GEE</w:t>
      </w:r>
      <w:r>
        <w:rPr>
          <w:lang w:val="en-US"/>
        </w:rPr>
        <w:t xml:space="preserve"> for free resarch purposes</w:t>
      </w:r>
      <w:r w:rsidRPr="0003394B">
        <w:rPr>
          <w:lang w:val="en-US"/>
        </w:rPr>
        <w:t>,</w:t>
      </w:r>
      <w:r>
        <w:rPr>
          <w:lang w:val="en-US"/>
        </w:rPr>
        <w:t xml:space="preserve"> so</w:t>
      </w:r>
      <w:r w:rsidRPr="0003394B">
        <w:rPr>
          <w:lang w:val="en-US"/>
        </w:rPr>
        <w:t xml:space="preserve"> we reimplemented the entire population-extraction pipeline in </w:t>
      </w:r>
      <w:r>
        <w:rPr>
          <w:lang w:val="en-US"/>
        </w:rPr>
        <w:t>R</w:t>
      </w:r>
      <w:r w:rsidRPr="0003394B">
        <w:rPr>
          <w:lang w:val="en-US"/>
        </w:rPr>
        <w:t>, which also improves reproducibility. The corrected pipeline (i) computes the 2020 all-PA cross-section directly from a single joint mask, with mutually exclusive PA interiors and buffer rings and an exclusive category hierarchy (strict</w:t>
      </w:r>
      <w:r>
        <w:rPr>
          <w:lang w:val="en-US"/>
        </w:rPr>
        <w:t>/</w:t>
      </w:r>
      <w:r w:rsidRPr="0003394B">
        <w:rPr>
          <w:lang w:val="en-US"/>
        </w:rPr>
        <w:t>non-strict</w:t>
      </w:r>
      <w:r>
        <w:rPr>
          <w:lang w:val="en-US"/>
        </w:rPr>
        <w:t>/</w:t>
      </w:r>
      <w:r w:rsidRPr="0003394B">
        <w:rPr>
          <w:lang w:val="en-US"/>
        </w:rPr>
        <w:t>unknown), and (ii) filters PAs to each country by ISO3 code.</w:t>
      </w:r>
    </w:p>
    <w:p w14:paraId="2B0F9254" w14:textId="249B9E5C" w:rsidR="0003394B" w:rsidRPr="0003394B" w:rsidRDefault="0003394B" w:rsidP="0003394B">
      <w:pPr>
        <w:rPr>
          <w:lang w:val="en-US"/>
        </w:rPr>
      </w:pPr>
      <w:r w:rsidRPr="0003394B">
        <w:rPr>
          <w:b/>
          <w:bCs/>
          <w:lang w:val="en-US"/>
        </w:rPr>
        <w:t>Effect on results</w:t>
      </w:r>
      <w:r w:rsidRPr="0003394B">
        <w:rPr>
          <w:b/>
          <w:bCs/>
          <w:lang w:val="en-US"/>
        </w:rPr>
        <w:t>:</w:t>
      </w:r>
      <w:r w:rsidRPr="0003394B">
        <w:rPr>
          <w:lang w:val="en-US"/>
        </w:rPr>
        <w:t xml:space="preserve"> Aggregate magnitudes and all qualitative conclusions are unchanged, but the "inside or within 10 km" figures are lower than in the first-revision GEE version, mainly because of the corrected double counting. The population </w:t>
      </w:r>
      <w:r>
        <w:rPr>
          <w:lang w:val="en-US"/>
        </w:rPr>
        <w:t>i</w:t>
      </w:r>
      <w:r w:rsidRPr="0003394B">
        <w:rPr>
          <w:lang w:val="en-US"/>
        </w:rPr>
        <w:t>nside PAs is essentially unchanged. Specifically, for 2020 across the 75 LMICs (excluding India):</w:t>
      </w:r>
    </w:p>
    <w:p w14:paraId="0F6D6C92" w14:textId="3C43BF91" w:rsidR="0003394B" w:rsidRPr="0003394B" w:rsidRDefault="0003394B" w:rsidP="0003394B">
      <w:pPr>
        <w:rPr>
          <w:lang w:val="en-US"/>
        </w:rPr>
      </w:pPr>
      <w:r w:rsidRPr="0003394B">
        <w:rPr>
          <w:lang w:val="en-US"/>
        </w:rPr>
        <w:t xml:space="preserve">- </w:t>
      </w:r>
      <w:r w:rsidRPr="00701FDC">
        <w:rPr>
          <w:lang w:val="en-US"/>
        </w:rPr>
        <w:t>Inside PAs: 60.8 million (2.5%) (previously ~61 million, 2.5%).</w:t>
      </w:r>
    </w:p>
    <w:p w14:paraId="73EADE86" w14:textId="455008BD" w:rsidR="0003394B" w:rsidRPr="00701FDC" w:rsidRDefault="0003394B" w:rsidP="0003394B">
      <w:pPr>
        <w:rPr>
          <w:lang w:val="en-US"/>
        </w:rPr>
      </w:pPr>
      <w:r w:rsidRPr="0003394B">
        <w:rPr>
          <w:lang w:val="en-US"/>
        </w:rPr>
        <w:t xml:space="preserve">- </w:t>
      </w:r>
      <w:r w:rsidRPr="00701FDC">
        <w:rPr>
          <w:lang w:val="en-US"/>
        </w:rPr>
        <w:t>Inside or within 10 km: 732 million (29.5%) (previously ~902 million, 36.6%).</w:t>
      </w:r>
    </w:p>
    <w:p w14:paraId="690F1224" w14:textId="28B131D6" w:rsidR="0003394B" w:rsidRPr="00701FDC" w:rsidRDefault="0003394B" w:rsidP="0003394B">
      <w:pPr>
        <w:rPr>
          <w:lang w:val="en-US"/>
        </w:rPr>
      </w:pPr>
      <w:r w:rsidRPr="00701FDC">
        <w:rPr>
          <w:lang w:val="en-US"/>
        </w:rPr>
        <w:t>- 2000 (PAs with recorded designation year): 19 million (1.1%) inside and 258 million (15.4%) inside or within 10 km.</w:t>
      </w:r>
    </w:p>
    <w:p w14:paraId="0237E3F8" w14:textId="709DC65C" w:rsidR="0003394B" w:rsidRPr="00701FDC" w:rsidRDefault="0003394B" w:rsidP="0003394B">
      <w:pPr>
        <w:rPr>
          <w:lang w:val="en-US"/>
        </w:rPr>
      </w:pPr>
      <w:r w:rsidRPr="00701FDC">
        <w:rPr>
          <w:lang w:val="en-US"/>
        </w:rPr>
        <w:t>The Methods (main text) and Supplementary Materials Section A now describe the R workflow and this correction; the replication package on GitHub/Software Heritage includes both the R code and the superseded GEE code.</w:t>
      </w:r>
    </w:p>
    <w:p w14:paraId="3A89F064" w14:textId="77777777" w:rsidR="0003394B" w:rsidRPr="0003394B" w:rsidRDefault="0003394B" w:rsidP="0003394B">
      <w:pPr>
        <w:rPr>
          <w:lang w:val="en-US"/>
        </w:rPr>
      </w:pPr>
    </w:p>
    <w:p w14:paraId="58D8100E" w14:textId="6FCFBA8B" w:rsidR="0003394B" w:rsidRPr="003E27E7" w:rsidRDefault="0003394B" w:rsidP="0003394B">
      <w:pPr>
        <w:rPr>
          <w:b/>
          <w:bCs/>
          <w:u w:val="single"/>
          <w:lang w:val="en-US"/>
        </w:rPr>
      </w:pPr>
      <w:r w:rsidRPr="003E27E7">
        <w:rPr>
          <w:b/>
          <w:bCs/>
          <w:u w:val="single"/>
          <w:lang w:val="en-US"/>
        </w:rPr>
        <w:t>Referee 1</w:t>
      </w:r>
    </w:p>
    <w:p w14:paraId="73ECE038" w14:textId="77777777" w:rsidR="0003394B" w:rsidRPr="0003394B" w:rsidRDefault="0003394B" w:rsidP="0003394B">
      <w:pPr>
        <w:rPr>
          <w:lang w:val="en-US"/>
        </w:rPr>
      </w:pPr>
    </w:p>
    <w:p w14:paraId="24014D48" w14:textId="02C0BD4A" w:rsidR="0003394B" w:rsidRPr="003E27E7" w:rsidRDefault="0003394B" w:rsidP="003E27E7">
      <w:pPr>
        <w:ind w:left="708"/>
        <w:rPr>
          <w:i/>
          <w:iCs/>
          <w:lang w:val="en-US"/>
        </w:rPr>
      </w:pPr>
      <w:r w:rsidRPr="003E27E7">
        <w:rPr>
          <w:i/>
          <w:iCs/>
          <w:lang w:val="en-US"/>
        </w:rPr>
        <w:lastRenderedPageBreak/>
        <w:t>The authors have performed a useful analysis of an important question... I have no further comments.</w:t>
      </w:r>
    </w:p>
    <w:p w14:paraId="60FE9161" w14:textId="77777777" w:rsidR="0003394B" w:rsidRPr="0003394B" w:rsidRDefault="0003394B" w:rsidP="0003394B">
      <w:pPr>
        <w:rPr>
          <w:lang w:val="en-US"/>
        </w:rPr>
      </w:pPr>
      <w:r w:rsidRPr="0003394B">
        <w:rPr>
          <w:lang w:val="en-US"/>
        </w:rPr>
        <w:t>We thank Referee 1 for the positive assessment.</w:t>
      </w:r>
    </w:p>
    <w:p w14:paraId="00C5F528" w14:textId="77777777" w:rsidR="0003394B" w:rsidRPr="0003394B" w:rsidRDefault="0003394B" w:rsidP="0003394B">
      <w:pPr>
        <w:rPr>
          <w:lang w:val="en-US"/>
        </w:rPr>
      </w:pPr>
    </w:p>
    <w:p w14:paraId="455AADB0" w14:textId="372A7203" w:rsidR="0003394B" w:rsidRPr="003E27E7" w:rsidRDefault="0003394B" w:rsidP="0003394B">
      <w:pPr>
        <w:rPr>
          <w:b/>
          <w:bCs/>
          <w:u w:val="single"/>
          <w:lang w:val="en-US"/>
        </w:rPr>
      </w:pPr>
      <w:r w:rsidRPr="003E27E7">
        <w:rPr>
          <w:b/>
          <w:bCs/>
          <w:u w:val="single"/>
          <w:lang w:val="en-US"/>
        </w:rPr>
        <w:t>Referee 3</w:t>
      </w:r>
    </w:p>
    <w:p w14:paraId="42C60E95" w14:textId="77777777" w:rsidR="0003394B" w:rsidRPr="0003394B" w:rsidRDefault="0003394B" w:rsidP="0003394B">
      <w:pPr>
        <w:rPr>
          <w:lang w:val="en-US"/>
        </w:rPr>
      </w:pPr>
    </w:p>
    <w:p w14:paraId="46FFD875" w14:textId="3F0E1857" w:rsidR="0003394B" w:rsidRPr="003E27E7" w:rsidRDefault="003E27E7" w:rsidP="003E27E7">
      <w:pPr>
        <w:ind w:left="708"/>
        <w:rPr>
          <w:i/>
          <w:iCs/>
          <w:lang w:val="en-US"/>
        </w:rPr>
      </w:pPr>
      <w:r w:rsidRPr="003E27E7">
        <w:rPr>
          <w:i/>
          <w:iCs/>
          <w:lang w:val="en-US"/>
        </w:rPr>
        <w:t>I would like to see a bit more nuance however - for example, it is not clear whether there are more people living within close proximity to non-strict PAs because there are more non-strict PAs to live close too (and/or within) or because of some other settlement pattern related to the PA type. This would be quite straightforward to address by detailing the number and coverage of each type of PA and then determining a standardized metric to compare (</w:t>
      </w:r>
      <w:proofErr w:type="gramStart"/>
      <w:r w:rsidRPr="003E27E7">
        <w:rPr>
          <w:i/>
          <w:iCs/>
          <w:lang w:val="en-US"/>
        </w:rPr>
        <w:t>e.g.</w:t>
      </w:r>
      <w:proofErr w:type="gramEnd"/>
      <w:r w:rsidRPr="003E27E7">
        <w:rPr>
          <w:i/>
          <w:iCs/>
          <w:lang w:val="en-US"/>
        </w:rPr>
        <w:t xml:space="preserve"> people within 10 km proximity / sq km of strict PA vs people within 10 km proximity / sq km of non-strict PA).</w:t>
      </w:r>
    </w:p>
    <w:p w14:paraId="601FCF67" w14:textId="33B6E5C2" w:rsidR="0003394B" w:rsidRPr="0003394B" w:rsidRDefault="0003394B" w:rsidP="0003394B">
      <w:pPr>
        <w:rPr>
          <w:lang w:val="en-US"/>
        </w:rPr>
      </w:pPr>
      <w:r w:rsidRPr="0003394B">
        <w:rPr>
          <w:lang w:val="en-US"/>
        </w:rPr>
        <w:t>We now address this directly with an area-standardized decomposition (new paragraph in Results, "Population magnitudes"</w:t>
      </w:r>
      <w:r w:rsidR="003E27E7">
        <w:rPr>
          <w:lang w:val="en-US"/>
        </w:rPr>
        <w:t>,</w:t>
      </w:r>
      <w:r w:rsidRPr="0003394B">
        <w:rPr>
          <w:lang w:val="en-US"/>
        </w:rPr>
        <w:t xml:space="preserve"> new standardized table in the Supplementary Materials). After dividing nearby population by PA area, non-strict PAs remain somewhat more populated than strict PAs (</w:t>
      </w:r>
      <w:r w:rsidRPr="003E27E7">
        <w:rPr>
          <w:lang w:val="en-US"/>
        </w:rPr>
        <w:t>149 vs 118</w:t>
      </w:r>
      <w:r w:rsidR="003E27E7" w:rsidRPr="003E27E7">
        <w:rPr>
          <w:lang w:val="en-US"/>
        </w:rPr>
        <w:t xml:space="preserve"> </w:t>
      </w:r>
      <w:r w:rsidR="003E27E7" w:rsidRPr="003E27E7">
        <w:rPr>
          <w:lang w:val="en-US"/>
        </w:rPr>
        <w:t>per km</w:t>
      </w:r>
      <w:r w:rsidR="003E27E7">
        <w:rPr>
          <w:lang w:val="en-US"/>
        </w:rPr>
        <w:t xml:space="preserve">2 </w:t>
      </w:r>
      <w:r w:rsidRPr="0003394B">
        <w:rPr>
          <w:lang w:val="en-US"/>
        </w:rPr>
        <w:t>people inside or within 10 km of PA), but the larger ra</w:t>
      </w:r>
      <w:r w:rsidR="003E27E7">
        <w:rPr>
          <w:lang w:val="en-US"/>
        </w:rPr>
        <w:t>w</w:t>
      </w:r>
      <w:r w:rsidRPr="0003394B">
        <w:rPr>
          <w:lang w:val="en-US"/>
        </w:rPr>
        <w:t xml:space="preserve"> population near non-strict PAs is driven mainly by scale: non-strict PAs are both more numerous (2,564 vs 1,160 sites) and slightly more extensive (1.39 vs 1.35 million km²). We now state that the raw difference reflects primarily PA number and area, with only a modest additional contribution from higher nearby population intensity.</w:t>
      </w:r>
    </w:p>
    <w:p w14:paraId="3F648686" w14:textId="77777777" w:rsidR="0003394B" w:rsidRPr="0003394B" w:rsidRDefault="0003394B" w:rsidP="0003394B">
      <w:pPr>
        <w:rPr>
          <w:lang w:val="en-US"/>
        </w:rPr>
      </w:pPr>
    </w:p>
    <w:p w14:paraId="4E6381B7" w14:textId="58603B90" w:rsidR="0003394B" w:rsidRPr="003E27E7" w:rsidRDefault="003E27E7" w:rsidP="003E27E7">
      <w:pPr>
        <w:ind w:left="708"/>
        <w:rPr>
          <w:i/>
          <w:iCs/>
          <w:lang w:val="en-US"/>
        </w:rPr>
      </w:pPr>
      <w:r w:rsidRPr="003E27E7">
        <w:rPr>
          <w:i/>
          <w:iCs/>
          <w:lang w:val="en-US"/>
        </w:rPr>
        <w:t>It also might be worth detailing a bit more what the actual differences are between the two PA types - briefly - instead of just pointing to the IUCN categories, as these differences are likely to impact settlement practices.</w:t>
      </w:r>
    </w:p>
    <w:p w14:paraId="34AF9022" w14:textId="19B53CB6" w:rsidR="0003394B" w:rsidRPr="0003394B" w:rsidRDefault="0003394B" w:rsidP="0003394B">
      <w:pPr>
        <w:rPr>
          <w:lang w:val="en-US"/>
        </w:rPr>
      </w:pPr>
      <w:r w:rsidRPr="0003394B">
        <w:rPr>
          <w:lang w:val="en-US"/>
        </w:rPr>
        <w:t>We added a short characterization in the Discussion ("PA categories matter for interpreting impacts"): strict categories (IUCN I</w:t>
      </w:r>
      <w:r w:rsidR="003E27E7">
        <w:rPr>
          <w:lang w:val="en-US"/>
        </w:rPr>
        <w:t>-</w:t>
      </w:r>
      <w:r w:rsidRPr="0003394B">
        <w:rPr>
          <w:lang w:val="en-US"/>
        </w:rPr>
        <w:t>III) are typically designated as areas where human habitation and extraction are prohibited or tightly limited, whereas non-strict categories (IUCN IV–VI) explicitly accommodate settlement and sustainable use.</w:t>
      </w:r>
    </w:p>
    <w:p w14:paraId="05FD9FDB" w14:textId="1FF648B3" w:rsidR="0003394B" w:rsidRPr="003E27E7" w:rsidRDefault="003E27E7" w:rsidP="003E27E7">
      <w:pPr>
        <w:ind w:left="708"/>
        <w:rPr>
          <w:i/>
          <w:iCs/>
          <w:lang w:val="en-US"/>
        </w:rPr>
      </w:pPr>
      <w:r w:rsidRPr="003E27E7">
        <w:rPr>
          <w:i/>
          <w:iCs/>
          <w:lang w:val="en-US"/>
        </w:rPr>
        <w:t>Abstract – Ln 9: It would be nice to have the total global population that these 75 LMICs represent as this would quantify the scale of the analysis.</w:t>
      </w:r>
    </w:p>
    <w:p w14:paraId="4FBD943C" w14:textId="7C03A783" w:rsidR="0003394B" w:rsidRPr="0003394B" w:rsidRDefault="0003394B" w:rsidP="0003394B">
      <w:pPr>
        <w:rPr>
          <w:lang w:val="en-US"/>
        </w:rPr>
      </w:pPr>
      <w:r w:rsidRPr="0003394B">
        <w:rPr>
          <w:lang w:val="en-US"/>
        </w:rPr>
        <w:t>The abstract now states the combined population of the 75 LMICs (about 2.48 billion people in 2020).</w:t>
      </w:r>
    </w:p>
    <w:p w14:paraId="719BF4C6" w14:textId="77777777" w:rsidR="003E27E7" w:rsidRDefault="003E27E7" w:rsidP="003E27E7">
      <w:pPr>
        <w:ind w:left="708"/>
        <w:rPr>
          <w:i/>
          <w:iCs/>
          <w:lang w:val="en-US"/>
        </w:rPr>
      </w:pPr>
      <w:r w:rsidRPr="003E27E7">
        <w:rPr>
          <w:i/>
          <w:iCs/>
          <w:lang w:val="en-US"/>
        </w:rPr>
        <w:t>Abstract – Ln 11: I initially thought there was no need to explicitly state that India is not included in the abstract unless it is the ONLY LMIC not included – which it is not, especially since India is correctly explicitly mentioned in the methods as its population size etc. make it a sizeable omission. However, given its outsized influence, on reflection it is probably worth keeping this in the abstract, however I think you should then provide a simple justification such as “India, representing 36% of LMIC’s global population, is excluded…” This obviously points out a weakness in the manuscript right off the bat but is a proper and honest approach.</w:t>
      </w:r>
    </w:p>
    <w:p w14:paraId="1746A446" w14:textId="115DE981" w:rsidR="0003394B" w:rsidRPr="0003394B" w:rsidRDefault="0003394B" w:rsidP="0003394B">
      <w:pPr>
        <w:rPr>
          <w:lang w:val="en-US"/>
        </w:rPr>
      </w:pPr>
      <w:r w:rsidRPr="0003394B">
        <w:rPr>
          <w:lang w:val="en-US"/>
        </w:rPr>
        <w:t>The abstract now reads "India, which represents about 36% of the LMIC population, is excluded because its national protected areas are not publicly available in the WDPA."</w:t>
      </w:r>
    </w:p>
    <w:p w14:paraId="31461BEA" w14:textId="0D7D0CBA" w:rsidR="0003394B" w:rsidRPr="003E27E7" w:rsidRDefault="003E27E7" w:rsidP="003E27E7">
      <w:pPr>
        <w:ind w:left="708"/>
        <w:rPr>
          <w:i/>
          <w:iCs/>
          <w:lang w:val="en-US"/>
        </w:rPr>
      </w:pPr>
      <w:r w:rsidRPr="003E27E7">
        <w:rPr>
          <w:i/>
          <w:iCs/>
          <w:lang w:val="en-US"/>
        </w:rPr>
        <w:t>Abstract – Ln 14: Show the numbers and percentages here for 2000 so the difference can be appreciated.</w:t>
      </w:r>
    </w:p>
    <w:p w14:paraId="2DD5DC51" w14:textId="4BE6125B" w:rsidR="0003394B" w:rsidRPr="0003394B" w:rsidRDefault="0003394B" w:rsidP="0003394B">
      <w:pPr>
        <w:rPr>
          <w:lang w:val="en-US"/>
        </w:rPr>
      </w:pPr>
      <w:r w:rsidRPr="0003394B">
        <w:rPr>
          <w:lang w:val="en-US"/>
        </w:rPr>
        <w:lastRenderedPageBreak/>
        <w:t>The abstract now reports the 2000 figures alongside 2020: 19 million (1.1%) inside and 258 million (15.4%) inside or within 10 km.</w:t>
      </w:r>
    </w:p>
    <w:p w14:paraId="2CC9AA7B" w14:textId="54817C72" w:rsidR="0003394B" w:rsidRPr="003E27E7" w:rsidRDefault="003E27E7" w:rsidP="003E27E7">
      <w:pPr>
        <w:ind w:left="708"/>
        <w:rPr>
          <w:i/>
          <w:iCs/>
          <w:lang w:val="en-US"/>
        </w:rPr>
      </w:pPr>
      <w:r w:rsidRPr="003E27E7">
        <w:rPr>
          <w:i/>
          <w:iCs/>
          <w:lang w:val="en-US"/>
        </w:rPr>
        <w:t xml:space="preserve">Pg 1, Ln 36 – Pg 2, Ln 13: This entire paragraph should be in the Methods section as it is a justification for the process. In the Introduction it is enough to detail the concept of those living in proximity to PAs being affected by PA policy etc. The nitty-gritty details of the exact proximity </w:t>
      </w:r>
      <w:proofErr w:type="gramStart"/>
      <w:r w:rsidRPr="003E27E7">
        <w:rPr>
          <w:i/>
          <w:iCs/>
          <w:lang w:val="en-US"/>
        </w:rPr>
        <w:t>is</w:t>
      </w:r>
      <w:proofErr w:type="gramEnd"/>
      <w:r w:rsidRPr="003E27E7">
        <w:rPr>
          <w:i/>
          <w:iCs/>
          <w:lang w:val="en-US"/>
        </w:rPr>
        <w:t xml:space="preserve"> a methodological question. What you say in Ln 19-20 (“…within a reference buffer commonly used in the literature…</w:t>
      </w:r>
      <w:proofErr w:type="gramStart"/>
      <w:r w:rsidRPr="003E27E7">
        <w:rPr>
          <w:i/>
          <w:iCs/>
          <w:lang w:val="en-US"/>
        </w:rPr>
        <w:t>” )</w:t>
      </w:r>
      <w:proofErr w:type="gramEnd"/>
      <w:r w:rsidRPr="003E27E7">
        <w:rPr>
          <w:i/>
          <w:iCs/>
          <w:lang w:val="en-US"/>
        </w:rPr>
        <w:t xml:space="preserve"> is sufficient for the Intro.</w:t>
      </w:r>
    </w:p>
    <w:p w14:paraId="4F9DF9E4" w14:textId="3480DD18" w:rsidR="0003394B" w:rsidRPr="0003394B" w:rsidRDefault="0003394B" w:rsidP="0003394B">
      <w:pPr>
        <w:rPr>
          <w:lang w:val="en-US"/>
        </w:rPr>
      </w:pPr>
      <w:r w:rsidRPr="0003394B">
        <w:rPr>
          <w:lang w:val="en-US"/>
        </w:rPr>
        <w:t xml:space="preserve">The exact proximity definitions are now given in Methods ("Study Area"), and the Introduction retains only the concept, </w:t>
      </w:r>
      <w:r w:rsidR="00125030">
        <w:rPr>
          <w:lang w:val="en-US"/>
        </w:rPr>
        <w:t>stating</w:t>
      </w:r>
      <w:r w:rsidRPr="0003394B">
        <w:rPr>
          <w:lang w:val="en-US"/>
        </w:rPr>
        <w:t xml:space="preserve"> "within a reference buffer commonly used in the literature".</w:t>
      </w:r>
    </w:p>
    <w:p w14:paraId="7A88708F" w14:textId="38E75662" w:rsidR="0003394B" w:rsidRPr="00125030" w:rsidRDefault="00125030" w:rsidP="00125030">
      <w:pPr>
        <w:ind w:left="708"/>
        <w:rPr>
          <w:i/>
          <w:iCs/>
          <w:lang w:val="en-US"/>
        </w:rPr>
      </w:pPr>
      <w:r w:rsidRPr="00125030">
        <w:rPr>
          <w:i/>
          <w:iCs/>
          <w:lang w:val="en-US"/>
        </w:rPr>
        <w:t>Pg 4 Ln 11: What % of the pop did this 17.9 million people represent?</w:t>
      </w:r>
    </w:p>
    <w:p w14:paraId="1B23E4A7" w14:textId="66CA46D9" w:rsidR="0003394B" w:rsidRPr="0003394B" w:rsidRDefault="0003394B" w:rsidP="0003394B">
      <w:pPr>
        <w:rPr>
          <w:lang w:val="en-US"/>
        </w:rPr>
      </w:pPr>
      <w:r w:rsidRPr="0003394B">
        <w:rPr>
          <w:lang w:val="en-US"/>
        </w:rPr>
        <w:t>The corresponding percentage is now reported throughout (inside PAs in 2000 corresponds to 1.1%</w:t>
      </w:r>
      <w:r w:rsidR="00125030">
        <w:rPr>
          <w:lang w:val="en-US"/>
        </w:rPr>
        <w:t xml:space="preserve"> </w:t>
      </w:r>
      <w:r w:rsidRPr="0003394B">
        <w:rPr>
          <w:lang w:val="en-US"/>
        </w:rPr>
        <w:t>of the 2000 sample population; the 2020 inside-PA figure of 60.8 million corresponds to 2.5%).</w:t>
      </w:r>
    </w:p>
    <w:p w14:paraId="7E8E3476" w14:textId="46849162" w:rsidR="0003394B" w:rsidRPr="00125030" w:rsidRDefault="00125030" w:rsidP="00125030">
      <w:pPr>
        <w:ind w:left="708"/>
        <w:rPr>
          <w:i/>
          <w:iCs/>
          <w:lang w:val="en-US"/>
        </w:rPr>
      </w:pPr>
      <w:r w:rsidRPr="00125030">
        <w:rPr>
          <w:i/>
          <w:iCs/>
          <w:lang w:val="en-US"/>
        </w:rPr>
        <w:t>Table 1: The obvious omission is why the numbers “inside Strict PAs only”, “inside Non-strict PAs only” and “inside Unknown category PAs only” are not included here?</w:t>
      </w:r>
    </w:p>
    <w:p w14:paraId="307F8103" w14:textId="0F2F562B" w:rsidR="0003394B" w:rsidRPr="0003394B" w:rsidRDefault="0003394B" w:rsidP="0003394B">
      <w:pPr>
        <w:rPr>
          <w:lang w:val="en-US"/>
        </w:rPr>
      </w:pPr>
      <w:r w:rsidRPr="0003394B">
        <w:rPr>
          <w:lang w:val="en-US"/>
        </w:rPr>
        <w:t>Table 1 has been extended to include inside-only rows by category. For 2020, of the 60.8 million people inside PAs, 10.4 million are inside strict PAs, 19.0 million inside non-strict PAs, and 31.5 million inside PAs of unrecorded IUCN category; the corresponding inside-or-within-10 km rows are 159 / 207 / 366 million.</w:t>
      </w:r>
    </w:p>
    <w:p w14:paraId="451C7DDE" w14:textId="74086D63" w:rsidR="0003394B" w:rsidRPr="00125030" w:rsidRDefault="00125030" w:rsidP="00125030">
      <w:pPr>
        <w:ind w:left="708"/>
        <w:rPr>
          <w:i/>
          <w:iCs/>
          <w:lang w:val="en-US"/>
        </w:rPr>
      </w:pPr>
      <w:r w:rsidRPr="00125030">
        <w:rPr>
          <w:i/>
          <w:iCs/>
          <w:lang w:val="en-US"/>
        </w:rPr>
        <w:t>Pg 9 Ln 13-15: Is this because there are fewer strict protection regimes, or because there is some fundamental difference in settlement patterns? I suspect the former. It is worth teasing this apart. Is it not also the case that many strict protection PAs do not allow populations to live within their boundaries?</w:t>
      </w:r>
    </w:p>
    <w:p w14:paraId="71157EDE" w14:textId="3D9393AE" w:rsidR="0003394B" w:rsidRPr="0003394B" w:rsidRDefault="0003394B" w:rsidP="0003394B">
      <w:pPr>
        <w:rPr>
          <w:lang w:val="en-US"/>
        </w:rPr>
      </w:pPr>
      <w:r w:rsidRPr="0003394B">
        <w:rPr>
          <w:lang w:val="en-US"/>
        </w:rPr>
        <w:t xml:space="preserve">We now </w:t>
      </w:r>
      <w:r w:rsidR="00125030">
        <w:rPr>
          <w:lang w:val="en-US"/>
        </w:rPr>
        <w:t>mention</w:t>
      </w:r>
      <w:r w:rsidRPr="0003394B">
        <w:rPr>
          <w:lang w:val="en-US"/>
        </w:rPr>
        <w:t xml:space="preserve"> these apart. The standardization shows the difference is mainly one of scale (number and area of PAs) rather than of nearby population intensity. We also note explicitly that the near-absence of residents inside strict PAs is partly by design, since strict categories commonly prohibit human habitation.</w:t>
      </w:r>
    </w:p>
    <w:p w14:paraId="6A346198" w14:textId="150A73F4" w:rsidR="0003394B" w:rsidRPr="00125030" w:rsidRDefault="00125030" w:rsidP="00125030">
      <w:pPr>
        <w:ind w:left="708"/>
        <w:rPr>
          <w:i/>
          <w:iCs/>
          <w:lang w:val="en-US"/>
        </w:rPr>
      </w:pPr>
      <w:r w:rsidRPr="00125030">
        <w:rPr>
          <w:i/>
          <w:iCs/>
          <w:lang w:val="en-US"/>
        </w:rPr>
        <w:t xml:space="preserve">Pg 9 Ln 16-20: This functional difference in PA type has been explicitly shown in ecological studies of wildlife. For example, habitat suitability for leopards in Sri Lanka is strongly improved by close proximity to “Level 1 PAs” (analogous to “strict protection regimes”) but unaffected by “Level 2 PAs” (analogous to “non-strict PAs” where entrance and extraction are allowed) </w:t>
      </w:r>
      <w:proofErr w:type="gramStart"/>
      <w:r w:rsidRPr="00125030">
        <w:rPr>
          <w:i/>
          <w:iCs/>
          <w:lang w:val="en-US"/>
        </w:rPr>
        <w:t>-  Kittle</w:t>
      </w:r>
      <w:proofErr w:type="gramEnd"/>
      <w:r w:rsidRPr="00125030">
        <w:rPr>
          <w:i/>
          <w:iCs/>
          <w:lang w:val="en-US"/>
        </w:rPr>
        <w:t>, A.M., Watson, A.C., Cushman, S.A. &amp; Macdonald, D.W. 2018. Forest cover and level of protection influence the island-wide distribution of an apex carnivore and umbrella species, the Sri Lannkan leopard (Panthera pardus kotiya). Biodiversity and Conservation 27(1): 235-263. https://doi.org/10.1007/s10531-017-1431-8</w:t>
      </w:r>
    </w:p>
    <w:p w14:paraId="2F1C88B2" w14:textId="6E77FF26" w:rsidR="0003394B" w:rsidRPr="0003394B" w:rsidRDefault="0003394B" w:rsidP="0003394B">
      <w:pPr>
        <w:rPr>
          <w:lang w:val="en-US"/>
        </w:rPr>
      </w:pPr>
      <w:r w:rsidRPr="0003394B">
        <w:rPr>
          <w:lang w:val="en-US"/>
        </w:rPr>
        <w:t>We added this result and citation to the Discussion: habitat suitability for the Sri Lankan leopard is improved by proximity to strictly protected areas but unaffected by less strictly protected areas where entry and extraction are permitted (Kittle et al. 2018), illustrating that management category differences are functionally meaningful beyond human populations.</w:t>
      </w:r>
    </w:p>
    <w:p w14:paraId="57D34EB6" w14:textId="6A021F4F" w:rsidR="0003394B" w:rsidRPr="00125030" w:rsidRDefault="00125030" w:rsidP="0003394B">
      <w:pPr>
        <w:rPr>
          <w:b/>
          <w:bCs/>
          <w:u w:val="single"/>
          <w:lang w:val="en-US"/>
        </w:rPr>
      </w:pPr>
      <w:r w:rsidRPr="00125030">
        <w:rPr>
          <w:b/>
          <w:bCs/>
          <w:u w:val="single"/>
          <w:lang w:val="en-US"/>
        </w:rPr>
        <w:t>Conclusion</w:t>
      </w:r>
    </w:p>
    <w:p w14:paraId="1E0DEA88" w14:textId="607F8FBB" w:rsidR="00CB6B98" w:rsidRPr="0003394B" w:rsidRDefault="0003394B" w:rsidP="0003394B">
      <w:pPr>
        <w:rPr>
          <w:lang w:val="en-US"/>
        </w:rPr>
      </w:pPr>
      <w:r w:rsidRPr="0003394B">
        <w:rPr>
          <w:lang w:val="en-US"/>
        </w:rPr>
        <w:t>We believe these revisions, together with the corrected and now fully reproducible R pipeline, substantially strengthen the manuscript, and we thank the referees again for their input.</w:t>
      </w:r>
    </w:p>
    <w:sectPr w:rsidR="00CB6B98" w:rsidRPr="000339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276F"/>
    <w:multiLevelType w:val="multilevel"/>
    <w:tmpl w:val="0B480FFE"/>
    <w:lvl w:ilvl="0">
      <w:start w:val="5"/>
      <w:numFmt w:val="decimal"/>
      <w:pStyle w:val="Titre1"/>
      <w:lvlText w:val="%1."/>
      <w:lvlJc w:val="left"/>
      <w:pPr>
        <w:ind w:left="720" w:hanging="360"/>
      </w:pPr>
      <w:rPr>
        <w:rFonts w:hint="default"/>
      </w:rPr>
    </w:lvl>
    <w:lvl w:ilvl="1">
      <w:start w:val="1"/>
      <w:numFmt w:val="decimal"/>
      <w:pStyle w:val="Titre2"/>
      <w:isLgl/>
      <w:lvlText w:val="%1.%2."/>
      <w:lvlJc w:val="left"/>
      <w:pPr>
        <w:ind w:left="1080" w:hanging="360"/>
      </w:pPr>
      <w:rPr>
        <w:rFonts w:hint="default"/>
        <w:color w:val="000091"/>
      </w:rPr>
    </w:lvl>
    <w:lvl w:ilvl="2">
      <w:start w:val="1"/>
      <w:numFmt w:val="decimal"/>
      <w:pStyle w:val="Titre3"/>
      <w:isLgl/>
      <w:lvlText w:val="%1.%2.%3."/>
      <w:lvlJc w:val="left"/>
      <w:pPr>
        <w:ind w:left="1080" w:hanging="720"/>
      </w:pPr>
      <w:rPr>
        <w:rFonts w:hint="default"/>
      </w:rPr>
    </w:lvl>
    <w:lvl w:ilvl="3">
      <w:start w:val="1"/>
      <w:numFmt w:val="decimal"/>
      <w:pStyle w:val="Titre4"/>
      <w:isLgl/>
      <w:lvlText w:val="%1.%2.%3.%4."/>
      <w:lvlJc w:val="left"/>
      <w:pPr>
        <w:ind w:left="1080" w:hanging="720"/>
      </w:pPr>
      <w:rPr>
        <w:rFonts w:hint="default"/>
      </w:rPr>
    </w:lvl>
    <w:lvl w:ilvl="4">
      <w:start w:val="1"/>
      <w:numFmt w:val="decimal"/>
      <w:pStyle w:val="Titre5"/>
      <w:isLgl/>
      <w:lvlText w:val="%1.%2.%3.%4.%5."/>
      <w:lvlJc w:val="left"/>
      <w:pPr>
        <w:ind w:left="1440" w:hanging="1080"/>
      </w:pPr>
      <w:rPr>
        <w:rFonts w:hint="default"/>
      </w:rPr>
    </w:lvl>
    <w:lvl w:ilvl="5">
      <w:start w:val="1"/>
      <w:numFmt w:val="decimal"/>
      <w:pStyle w:val="Titre6"/>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73965341">
    <w:abstractNumId w:val="0"/>
  </w:num>
  <w:num w:numId="2" w16cid:durableId="191118569">
    <w:abstractNumId w:val="0"/>
  </w:num>
  <w:num w:numId="3" w16cid:durableId="1081176338">
    <w:abstractNumId w:val="0"/>
  </w:num>
  <w:num w:numId="4" w16cid:durableId="1045787603">
    <w:abstractNumId w:val="0"/>
  </w:num>
  <w:num w:numId="5" w16cid:durableId="2039113089">
    <w:abstractNumId w:val="0"/>
  </w:num>
  <w:num w:numId="6" w16cid:durableId="144927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4B"/>
    <w:rsid w:val="0003394B"/>
    <w:rsid w:val="000D150B"/>
    <w:rsid w:val="00125030"/>
    <w:rsid w:val="0016659F"/>
    <w:rsid w:val="003E27E7"/>
    <w:rsid w:val="005B1FC5"/>
    <w:rsid w:val="00701FDC"/>
    <w:rsid w:val="00B20769"/>
    <w:rsid w:val="00C034FB"/>
    <w:rsid w:val="00CB6B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FBE62"/>
  <w15:chartTrackingRefBased/>
  <w15:docId w15:val="{2E8B417E-A10D-4AFC-8987-C54143BEB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50B"/>
    <w:pPr>
      <w:spacing w:before="120" w:after="0"/>
      <w:jc w:val="both"/>
    </w:pPr>
  </w:style>
  <w:style w:type="paragraph" w:styleId="Titre1">
    <w:name w:val="heading 1"/>
    <w:basedOn w:val="Normal"/>
    <w:next w:val="Normal"/>
    <w:link w:val="Titre1Car"/>
    <w:uiPriority w:val="9"/>
    <w:qFormat/>
    <w:rsid w:val="000D150B"/>
    <w:pPr>
      <w:keepNext/>
      <w:keepLines/>
      <w:numPr>
        <w:numId w:val="6"/>
      </w:numPr>
      <w:spacing w:before="36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D150B"/>
    <w:pPr>
      <w:keepNext/>
      <w:keepLines/>
      <w:numPr>
        <w:ilvl w:val="1"/>
        <w:numId w:val="6"/>
      </w:numPr>
      <w:spacing w:before="48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0D150B"/>
    <w:pPr>
      <w:keepNext/>
      <w:keepLines/>
      <w:numPr>
        <w:ilvl w:val="2"/>
        <w:numId w:val="6"/>
      </w:numPr>
      <w:spacing w:before="36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0D150B"/>
    <w:pPr>
      <w:keepNext/>
      <w:keepLines/>
      <w:numPr>
        <w:ilvl w:val="3"/>
        <w:numId w:val="6"/>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0D150B"/>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0D150B"/>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uiPriority w:val="99"/>
    <w:semiHidden/>
    <w:unhideWhenUsed/>
    <w:rsid w:val="000D150B"/>
    <w:rPr>
      <w:vertAlign w:val="superscript"/>
    </w:rPr>
  </w:style>
  <w:style w:type="paragraph" w:styleId="En-tte">
    <w:name w:val="header"/>
    <w:basedOn w:val="Normal"/>
    <w:link w:val="En-tteCar"/>
    <w:uiPriority w:val="99"/>
    <w:unhideWhenUsed/>
    <w:rsid w:val="000D150B"/>
    <w:pPr>
      <w:tabs>
        <w:tab w:val="center" w:pos="4536"/>
        <w:tab w:val="right" w:pos="9072"/>
      </w:tabs>
      <w:spacing w:before="0" w:line="240" w:lineRule="auto"/>
    </w:pPr>
  </w:style>
  <w:style w:type="character" w:customStyle="1" w:styleId="En-tteCar">
    <w:name w:val="En-tête Car"/>
    <w:basedOn w:val="Policepardfaut"/>
    <w:link w:val="En-tte"/>
    <w:uiPriority w:val="99"/>
    <w:rsid w:val="000D150B"/>
  </w:style>
  <w:style w:type="table" w:styleId="Grilledutableau">
    <w:name w:val="Table Grid"/>
    <w:basedOn w:val="TableauNormal"/>
    <w:uiPriority w:val="39"/>
    <w:rsid w:val="000D1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D150B"/>
    <w:rPr>
      <w:color w:val="0563C1" w:themeColor="hyperlink"/>
      <w:u w:val="single"/>
    </w:rPr>
  </w:style>
  <w:style w:type="character" w:styleId="Lienhypertextesuivivisit">
    <w:name w:val="FollowedHyperlink"/>
    <w:basedOn w:val="Policepardfaut"/>
    <w:uiPriority w:val="99"/>
    <w:semiHidden/>
    <w:unhideWhenUsed/>
    <w:rsid w:val="000D150B"/>
    <w:rPr>
      <w:color w:val="954F72" w:themeColor="followedHyperlink"/>
      <w:u w:val="single"/>
    </w:rPr>
  </w:style>
  <w:style w:type="character" w:styleId="Mentionnonrsolue">
    <w:name w:val="Unresolved Mention"/>
    <w:basedOn w:val="Policepardfaut"/>
    <w:uiPriority w:val="99"/>
    <w:semiHidden/>
    <w:unhideWhenUsed/>
    <w:rsid w:val="000D150B"/>
    <w:rPr>
      <w:color w:val="605E5C"/>
      <w:shd w:val="clear" w:color="auto" w:fill="E1DFDD"/>
    </w:rPr>
  </w:style>
  <w:style w:type="paragraph" w:styleId="Notedebasdepage">
    <w:name w:val="footnote text"/>
    <w:basedOn w:val="Normal"/>
    <w:link w:val="NotedebasdepageCar"/>
    <w:uiPriority w:val="99"/>
    <w:semiHidden/>
    <w:unhideWhenUsed/>
    <w:rsid w:val="000D150B"/>
    <w:pPr>
      <w:spacing w:before="0" w:line="240" w:lineRule="auto"/>
    </w:pPr>
    <w:rPr>
      <w:sz w:val="20"/>
      <w:szCs w:val="20"/>
    </w:rPr>
  </w:style>
  <w:style w:type="character" w:customStyle="1" w:styleId="NotedebasdepageCar">
    <w:name w:val="Note de bas de page Car"/>
    <w:basedOn w:val="Policepardfaut"/>
    <w:link w:val="Notedebasdepage"/>
    <w:uiPriority w:val="99"/>
    <w:semiHidden/>
    <w:rsid w:val="000D150B"/>
    <w:rPr>
      <w:sz w:val="20"/>
      <w:szCs w:val="20"/>
    </w:rPr>
  </w:style>
  <w:style w:type="paragraph" w:styleId="Paragraphedeliste">
    <w:name w:val="List Paragraph"/>
    <w:basedOn w:val="Normal"/>
    <w:uiPriority w:val="34"/>
    <w:qFormat/>
    <w:rsid w:val="000D150B"/>
    <w:pPr>
      <w:ind w:left="720"/>
      <w:contextualSpacing/>
    </w:pPr>
  </w:style>
  <w:style w:type="paragraph" w:styleId="Pieddepage">
    <w:name w:val="footer"/>
    <w:basedOn w:val="Normal"/>
    <w:link w:val="PieddepageCar"/>
    <w:uiPriority w:val="99"/>
    <w:unhideWhenUsed/>
    <w:rsid w:val="000D150B"/>
    <w:pPr>
      <w:tabs>
        <w:tab w:val="center" w:pos="4536"/>
        <w:tab w:val="right" w:pos="9072"/>
      </w:tabs>
      <w:spacing w:before="0" w:line="240" w:lineRule="auto"/>
    </w:pPr>
  </w:style>
  <w:style w:type="character" w:customStyle="1" w:styleId="PieddepageCar">
    <w:name w:val="Pied de page Car"/>
    <w:basedOn w:val="Policepardfaut"/>
    <w:link w:val="Pieddepage"/>
    <w:uiPriority w:val="99"/>
    <w:rsid w:val="000D150B"/>
  </w:style>
  <w:style w:type="character" w:customStyle="1" w:styleId="Titre1Car">
    <w:name w:val="Titre 1 Car"/>
    <w:basedOn w:val="Policepardfaut"/>
    <w:link w:val="Titre1"/>
    <w:uiPriority w:val="9"/>
    <w:rsid w:val="000D150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D150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0D150B"/>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0D150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0D150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0D150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034795">
      <w:bodyDiv w:val="1"/>
      <w:marLeft w:val="0"/>
      <w:marRight w:val="0"/>
      <w:marTop w:val="0"/>
      <w:marBottom w:val="0"/>
      <w:divBdr>
        <w:top w:val="none" w:sz="0" w:space="0" w:color="auto"/>
        <w:left w:val="none" w:sz="0" w:space="0" w:color="auto"/>
        <w:bottom w:val="none" w:sz="0" w:space="0" w:color="auto"/>
        <w:right w:val="none" w:sz="0" w:space="0" w:color="auto"/>
      </w:divBdr>
      <w:divsChild>
        <w:div w:id="1914929115">
          <w:marLeft w:val="0"/>
          <w:marRight w:val="0"/>
          <w:marTop w:val="0"/>
          <w:marBottom w:val="0"/>
          <w:divBdr>
            <w:top w:val="none" w:sz="0" w:space="0" w:color="auto"/>
            <w:left w:val="none" w:sz="0" w:space="0" w:color="auto"/>
            <w:bottom w:val="none" w:sz="0" w:space="0" w:color="auto"/>
            <w:right w:val="none" w:sz="0" w:space="0" w:color="auto"/>
          </w:divBdr>
          <w:divsChild>
            <w:div w:id="2121945331">
              <w:marLeft w:val="0"/>
              <w:marRight w:val="0"/>
              <w:marTop w:val="0"/>
              <w:marBottom w:val="0"/>
              <w:divBdr>
                <w:top w:val="none" w:sz="0" w:space="0" w:color="auto"/>
                <w:left w:val="none" w:sz="0" w:space="0" w:color="auto"/>
                <w:bottom w:val="none" w:sz="0" w:space="0" w:color="auto"/>
                <w:right w:val="none" w:sz="0" w:space="0" w:color="auto"/>
              </w:divBdr>
            </w:div>
            <w:div w:id="494152482">
              <w:marLeft w:val="0"/>
              <w:marRight w:val="0"/>
              <w:marTop w:val="0"/>
              <w:marBottom w:val="0"/>
              <w:divBdr>
                <w:top w:val="none" w:sz="0" w:space="0" w:color="auto"/>
                <w:left w:val="none" w:sz="0" w:space="0" w:color="auto"/>
                <w:bottom w:val="none" w:sz="0" w:space="0" w:color="auto"/>
                <w:right w:val="none" w:sz="0" w:space="0" w:color="auto"/>
              </w:divBdr>
            </w:div>
            <w:div w:id="1305618287">
              <w:marLeft w:val="0"/>
              <w:marRight w:val="0"/>
              <w:marTop w:val="0"/>
              <w:marBottom w:val="0"/>
              <w:divBdr>
                <w:top w:val="none" w:sz="0" w:space="0" w:color="auto"/>
                <w:left w:val="none" w:sz="0" w:space="0" w:color="auto"/>
                <w:bottom w:val="none" w:sz="0" w:space="0" w:color="auto"/>
                <w:right w:val="none" w:sz="0" w:space="0" w:color="auto"/>
              </w:divBdr>
            </w:div>
            <w:div w:id="1581477740">
              <w:marLeft w:val="0"/>
              <w:marRight w:val="0"/>
              <w:marTop w:val="0"/>
              <w:marBottom w:val="0"/>
              <w:divBdr>
                <w:top w:val="none" w:sz="0" w:space="0" w:color="auto"/>
                <w:left w:val="none" w:sz="0" w:space="0" w:color="auto"/>
                <w:bottom w:val="none" w:sz="0" w:space="0" w:color="auto"/>
                <w:right w:val="none" w:sz="0" w:space="0" w:color="auto"/>
              </w:divBdr>
            </w:div>
            <w:div w:id="551580317">
              <w:marLeft w:val="0"/>
              <w:marRight w:val="0"/>
              <w:marTop w:val="0"/>
              <w:marBottom w:val="0"/>
              <w:divBdr>
                <w:top w:val="none" w:sz="0" w:space="0" w:color="auto"/>
                <w:left w:val="none" w:sz="0" w:space="0" w:color="auto"/>
                <w:bottom w:val="none" w:sz="0" w:space="0" w:color="auto"/>
                <w:right w:val="none" w:sz="0" w:space="0" w:color="auto"/>
              </w:divBdr>
            </w:div>
            <w:div w:id="174072866">
              <w:marLeft w:val="0"/>
              <w:marRight w:val="0"/>
              <w:marTop w:val="0"/>
              <w:marBottom w:val="0"/>
              <w:divBdr>
                <w:top w:val="none" w:sz="0" w:space="0" w:color="auto"/>
                <w:left w:val="none" w:sz="0" w:space="0" w:color="auto"/>
                <w:bottom w:val="none" w:sz="0" w:space="0" w:color="auto"/>
                <w:right w:val="none" w:sz="0" w:space="0" w:color="auto"/>
              </w:divBdr>
            </w:div>
            <w:div w:id="1059279696">
              <w:marLeft w:val="0"/>
              <w:marRight w:val="0"/>
              <w:marTop w:val="0"/>
              <w:marBottom w:val="0"/>
              <w:divBdr>
                <w:top w:val="none" w:sz="0" w:space="0" w:color="auto"/>
                <w:left w:val="none" w:sz="0" w:space="0" w:color="auto"/>
                <w:bottom w:val="none" w:sz="0" w:space="0" w:color="auto"/>
                <w:right w:val="none" w:sz="0" w:space="0" w:color="auto"/>
              </w:divBdr>
            </w:div>
            <w:div w:id="1013528548">
              <w:marLeft w:val="0"/>
              <w:marRight w:val="0"/>
              <w:marTop w:val="0"/>
              <w:marBottom w:val="0"/>
              <w:divBdr>
                <w:top w:val="none" w:sz="0" w:space="0" w:color="auto"/>
                <w:left w:val="none" w:sz="0" w:space="0" w:color="auto"/>
                <w:bottom w:val="none" w:sz="0" w:space="0" w:color="auto"/>
                <w:right w:val="none" w:sz="0" w:space="0" w:color="auto"/>
              </w:divBdr>
            </w:div>
            <w:div w:id="1053390119">
              <w:marLeft w:val="0"/>
              <w:marRight w:val="0"/>
              <w:marTop w:val="0"/>
              <w:marBottom w:val="0"/>
              <w:divBdr>
                <w:top w:val="none" w:sz="0" w:space="0" w:color="auto"/>
                <w:left w:val="none" w:sz="0" w:space="0" w:color="auto"/>
                <w:bottom w:val="none" w:sz="0" w:space="0" w:color="auto"/>
                <w:right w:val="none" w:sz="0" w:space="0" w:color="auto"/>
              </w:divBdr>
            </w:div>
            <w:div w:id="1938908000">
              <w:marLeft w:val="0"/>
              <w:marRight w:val="0"/>
              <w:marTop w:val="0"/>
              <w:marBottom w:val="0"/>
              <w:divBdr>
                <w:top w:val="none" w:sz="0" w:space="0" w:color="auto"/>
                <w:left w:val="none" w:sz="0" w:space="0" w:color="auto"/>
                <w:bottom w:val="none" w:sz="0" w:space="0" w:color="auto"/>
                <w:right w:val="none" w:sz="0" w:space="0" w:color="auto"/>
              </w:divBdr>
            </w:div>
            <w:div w:id="1994142007">
              <w:marLeft w:val="0"/>
              <w:marRight w:val="0"/>
              <w:marTop w:val="0"/>
              <w:marBottom w:val="0"/>
              <w:divBdr>
                <w:top w:val="none" w:sz="0" w:space="0" w:color="auto"/>
                <w:left w:val="none" w:sz="0" w:space="0" w:color="auto"/>
                <w:bottom w:val="none" w:sz="0" w:space="0" w:color="auto"/>
                <w:right w:val="none" w:sz="0" w:space="0" w:color="auto"/>
              </w:divBdr>
            </w:div>
            <w:div w:id="866408557">
              <w:marLeft w:val="0"/>
              <w:marRight w:val="0"/>
              <w:marTop w:val="0"/>
              <w:marBottom w:val="0"/>
              <w:divBdr>
                <w:top w:val="none" w:sz="0" w:space="0" w:color="auto"/>
                <w:left w:val="none" w:sz="0" w:space="0" w:color="auto"/>
                <w:bottom w:val="none" w:sz="0" w:space="0" w:color="auto"/>
                <w:right w:val="none" w:sz="0" w:space="0" w:color="auto"/>
              </w:divBdr>
            </w:div>
            <w:div w:id="1871259192">
              <w:marLeft w:val="0"/>
              <w:marRight w:val="0"/>
              <w:marTop w:val="0"/>
              <w:marBottom w:val="0"/>
              <w:divBdr>
                <w:top w:val="none" w:sz="0" w:space="0" w:color="auto"/>
                <w:left w:val="none" w:sz="0" w:space="0" w:color="auto"/>
                <w:bottom w:val="none" w:sz="0" w:space="0" w:color="auto"/>
                <w:right w:val="none" w:sz="0" w:space="0" w:color="auto"/>
              </w:divBdr>
            </w:div>
            <w:div w:id="1141190302">
              <w:marLeft w:val="0"/>
              <w:marRight w:val="0"/>
              <w:marTop w:val="0"/>
              <w:marBottom w:val="0"/>
              <w:divBdr>
                <w:top w:val="none" w:sz="0" w:space="0" w:color="auto"/>
                <w:left w:val="none" w:sz="0" w:space="0" w:color="auto"/>
                <w:bottom w:val="none" w:sz="0" w:space="0" w:color="auto"/>
                <w:right w:val="none" w:sz="0" w:space="0" w:color="auto"/>
              </w:divBdr>
            </w:div>
            <w:div w:id="1846743951">
              <w:marLeft w:val="0"/>
              <w:marRight w:val="0"/>
              <w:marTop w:val="0"/>
              <w:marBottom w:val="0"/>
              <w:divBdr>
                <w:top w:val="none" w:sz="0" w:space="0" w:color="auto"/>
                <w:left w:val="none" w:sz="0" w:space="0" w:color="auto"/>
                <w:bottom w:val="none" w:sz="0" w:space="0" w:color="auto"/>
                <w:right w:val="none" w:sz="0" w:space="0" w:color="auto"/>
              </w:divBdr>
            </w:div>
            <w:div w:id="1791051870">
              <w:marLeft w:val="0"/>
              <w:marRight w:val="0"/>
              <w:marTop w:val="0"/>
              <w:marBottom w:val="0"/>
              <w:divBdr>
                <w:top w:val="none" w:sz="0" w:space="0" w:color="auto"/>
                <w:left w:val="none" w:sz="0" w:space="0" w:color="auto"/>
                <w:bottom w:val="none" w:sz="0" w:space="0" w:color="auto"/>
                <w:right w:val="none" w:sz="0" w:space="0" w:color="auto"/>
              </w:divBdr>
            </w:div>
            <w:div w:id="1677271490">
              <w:marLeft w:val="0"/>
              <w:marRight w:val="0"/>
              <w:marTop w:val="0"/>
              <w:marBottom w:val="0"/>
              <w:divBdr>
                <w:top w:val="none" w:sz="0" w:space="0" w:color="auto"/>
                <w:left w:val="none" w:sz="0" w:space="0" w:color="auto"/>
                <w:bottom w:val="none" w:sz="0" w:space="0" w:color="auto"/>
                <w:right w:val="none" w:sz="0" w:space="0" w:color="auto"/>
              </w:divBdr>
            </w:div>
            <w:div w:id="534657967">
              <w:marLeft w:val="0"/>
              <w:marRight w:val="0"/>
              <w:marTop w:val="0"/>
              <w:marBottom w:val="0"/>
              <w:divBdr>
                <w:top w:val="none" w:sz="0" w:space="0" w:color="auto"/>
                <w:left w:val="none" w:sz="0" w:space="0" w:color="auto"/>
                <w:bottom w:val="none" w:sz="0" w:space="0" w:color="auto"/>
                <w:right w:val="none" w:sz="0" w:space="0" w:color="auto"/>
              </w:divBdr>
            </w:div>
            <w:div w:id="960770109">
              <w:marLeft w:val="0"/>
              <w:marRight w:val="0"/>
              <w:marTop w:val="0"/>
              <w:marBottom w:val="0"/>
              <w:divBdr>
                <w:top w:val="none" w:sz="0" w:space="0" w:color="auto"/>
                <w:left w:val="none" w:sz="0" w:space="0" w:color="auto"/>
                <w:bottom w:val="none" w:sz="0" w:space="0" w:color="auto"/>
                <w:right w:val="none" w:sz="0" w:space="0" w:color="auto"/>
              </w:divBdr>
            </w:div>
            <w:div w:id="512839770">
              <w:marLeft w:val="0"/>
              <w:marRight w:val="0"/>
              <w:marTop w:val="0"/>
              <w:marBottom w:val="0"/>
              <w:divBdr>
                <w:top w:val="none" w:sz="0" w:space="0" w:color="auto"/>
                <w:left w:val="none" w:sz="0" w:space="0" w:color="auto"/>
                <w:bottom w:val="none" w:sz="0" w:space="0" w:color="auto"/>
                <w:right w:val="none" w:sz="0" w:space="0" w:color="auto"/>
              </w:divBdr>
            </w:div>
            <w:div w:id="442194363">
              <w:marLeft w:val="0"/>
              <w:marRight w:val="0"/>
              <w:marTop w:val="0"/>
              <w:marBottom w:val="0"/>
              <w:divBdr>
                <w:top w:val="none" w:sz="0" w:space="0" w:color="auto"/>
                <w:left w:val="none" w:sz="0" w:space="0" w:color="auto"/>
                <w:bottom w:val="none" w:sz="0" w:space="0" w:color="auto"/>
                <w:right w:val="none" w:sz="0" w:space="0" w:color="auto"/>
              </w:divBdr>
            </w:div>
            <w:div w:id="1787774303">
              <w:marLeft w:val="0"/>
              <w:marRight w:val="0"/>
              <w:marTop w:val="0"/>
              <w:marBottom w:val="0"/>
              <w:divBdr>
                <w:top w:val="none" w:sz="0" w:space="0" w:color="auto"/>
                <w:left w:val="none" w:sz="0" w:space="0" w:color="auto"/>
                <w:bottom w:val="none" w:sz="0" w:space="0" w:color="auto"/>
                <w:right w:val="none" w:sz="0" w:space="0" w:color="auto"/>
              </w:divBdr>
            </w:div>
            <w:div w:id="2090735876">
              <w:marLeft w:val="0"/>
              <w:marRight w:val="0"/>
              <w:marTop w:val="0"/>
              <w:marBottom w:val="0"/>
              <w:divBdr>
                <w:top w:val="none" w:sz="0" w:space="0" w:color="auto"/>
                <w:left w:val="none" w:sz="0" w:space="0" w:color="auto"/>
                <w:bottom w:val="none" w:sz="0" w:space="0" w:color="auto"/>
                <w:right w:val="none" w:sz="0" w:space="0" w:color="auto"/>
              </w:divBdr>
            </w:div>
            <w:div w:id="1244729532">
              <w:marLeft w:val="0"/>
              <w:marRight w:val="0"/>
              <w:marTop w:val="0"/>
              <w:marBottom w:val="0"/>
              <w:divBdr>
                <w:top w:val="none" w:sz="0" w:space="0" w:color="auto"/>
                <w:left w:val="none" w:sz="0" w:space="0" w:color="auto"/>
                <w:bottom w:val="none" w:sz="0" w:space="0" w:color="auto"/>
                <w:right w:val="none" w:sz="0" w:space="0" w:color="auto"/>
              </w:divBdr>
            </w:div>
            <w:div w:id="162285298">
              <w:marLeft w:val="0"/>
              <w:marRight w:val="0"/>
              <w:marTop w:val="0"/>
              <w:marBottom w:val="0"/>
              <w:divBdr>
                <w:top w:val="none" w:sz="0" w:space="0" w:color="auto"/>
                <w:left w:val="none" w:sz="0" w:space="0" w:color="auto"/>
                <w:bottom w:val="none" w:sz="0" w:space="0" w:color="auto"/>
                <w:right w:val="none" w:sz="0" w:space="0" w:color="auto"/>
              </w:divBdr>
            </w:div>
            <w:div w:id="1364818309">
              <w:marLeft w:val="0"/>
              <w:marRight w:val="0"/>
              <w:marTop w:val="0"/>
              <w:marBottom w:val="0"/>
              <w:divBdr>
                <w:top w:val="none" w:sz="0" w:space="0" w:color="auto"/>
                <w:left w:val="none" w:sz="0" w:space="0" w:color="auto"/>
                <w:bottom w:val="none" w:sz="0" w:space="0" w:color="auto"/>
                <w:right w:val="none" w:sz="0" w:space="0" w:color="auto"/>
              </w:divBdr>
            </w:div>
            <w:div w:id="503663951">
              <w:marLeft w:val="0"/>
              <w:marRight w:val="0"/>
              <w:marTop w:val="0"/>
              <w:marBottom w:val="0"/>
              <w:divBdr>
                <w:top w:val="none" w:sz="0" w:space="0" w:color="auto"/>
                <w:left w:val="none" w:sz="0" w:space="0" w:color="auto"/>
                <w:bottom w:val="none" w:sz="0" w:space="0" w:color="auto"/>
                <w:right w:val="none" w:sz="0" w:space="0" w:color="auto"/>
              </w:divBdr>
            </w:div>
            <w:div w:id="1831676505">
              <w:marLeft w:val="0"/>
              <w:marRight w:val="0"/>
              <w:marTop w:val="0"/>
              <w:marBottom w:val="0"/>
              <w:divBdr>
                <w:top w:val="none" w:sz="0" w:space="0" w:color="auto"/>
                <w:left w:val="none" w:sz="0" w:space="0" w:color="auto"/>
                <w:bottom w:val="none" w:sz="0" w:space="0" w:color="auto"/>
                <w:right w:val="none" w:sz="0" w:space="0" w:color="auto"/>
              </w:divBdr>
            </w:div>
            <w:div w:id="944117092">
              <w:marLeft w:val="0"/>
              <w:marRight w:val="0"/>
              <w:marTop w:val="0"/>
              <w:marBottom w:val="0"/>
              <w:divBdr>
                <w:top w:val="none" w:sz="0" w:space="0" w:color="auto"/>
                <w:left w:val="none" w:sz="0" w:space="0" w:color="auto"/>
                <w:bottom w:val="none" w:sz="0" w:space="0" w:color="auto"/>
                <w:right w:val="none" w:sz="0" w:space="0" w:color="auto"/>
              </w:divBdr>
            </w:div>
            <w:div w:id="628049846">
              <w:marLeft w:val="0"/>
              <w:marRight w:val="0"/>
              <w:marTop w:val="0"/>
              <w:marBottom w:val="0"/>
              <w:divBdr>
                <w:top w:val="none" w:sz="0" w:space="0" w:color="auto"/>
                <w:left w:val="none" w:sz="0" w:space="0" w:color="auto"/>
                <w:bottom w:val="none" w:sz="0" w:space="0" w:color="auto"/>
                <w:right w:val="none" w:sz="0" w:space="0" w:color="auto"/>
              </w:divBdr>
            </w:div>
            <w:div w:id="612445007">
              <w:marLeft w:val="0"/>
              <w:marRight w:val="0"/>
              <w:marTop w:val="0"/>
              <w:marBottom w:val="0"/>
              <w:divBdr>
                <w:top w:val="none" w:sz="0" w:space="0" w:color="auto"/>
                <w:left w:val="none" w:sz="0" w:space="0" w:color="auto"/>
                <w:bottom w:val="none" w:sz="0" w:space="0" w:color="auto"/>
                <w:right w:val="none" w:sz="0" w:space="0" w:color="auto"/>
              </w:divBdr>
            </w:div>
            <w:div w:id="437532835">
              <w:marLeft w:val="0"/>
              <w:marRight w:val="0"/>
              <w:marTop w:val="0"/>
              <w:marBottom w:val="0"/>
              <w:divBdr>
                <w:top w:val="none" w:sz="0" w:space="0" w:color="auto"/>
                <w:left w:val="none" w:sz="0" w:space="0" w:color="auto"/>
                <w:bottom w:val="none" w:sz="0" w:space="0" w:color="auto"/>
                <w:right w:val="none" w:sz="0" w:space="0" w:color="auto"/>
              </w:divBdr>
            </w:div>
            <w:div w:id="1416826786">
              <w:marLeft w:val="0"/>
              <w:marRight w:val="0"/>
              <w:marTop w:val="0"/>
              <w:marBottom w:val="0"/>
              <w:divBdr>
                <w:top w:val="none" w:sz="0" w:space="0" w:color="auto"/>
                <w:left w:val="none" w:sz="0" w:space="0" w:color="auto"/>
                <w:bottom w:val="none" w:sz="0" w:space="0" w:color="auto"/>
                <w:right w:val="none" w:sz="0" w:space="0" w:color="auto"/>
              </w:divBdr>
            </w:div>
            <w:div w:id="1342659617">
              <w:marLeft w:val="0"/>
              <w:marRight w:val="0"/>
              <w:marTop w:val="0"/>
              <w:marBottom w:val="0"/>
              <w:divBdr>
                <w:top w:val="none" w:sz="0" w:space="0" w:color="auto"/>
                <w:left w:val="none" w:sz="0" w:space="0" w:color="auto"/>
                <w:bottom w:val="none" w:sz="0" w:space="0" w:color="auto"/>
                <w:right w:val="none" w:sz="0" w:space="0" w:color="auto"/>
              </w:divBdr>
            </w:div>
            <w:div w:id="51318860">
              <w:marLeft w:val="0"/>
              <w:marRight w:val="0"/>
              <w:marTop w:val="0"/>
              <w:marBottom w:val="0"/>
              <w:divBdr>
                <w:top w:val="none" w:sz="0" w:space="0" w:color="auto"/>
                <w:left w:val="none" w:sz="0" w:space="0" w:color="auto"/>
                <w:bottom w:val="none" w:sz="0" w:space="0" w:color="auto"/>
                <w:right w:val="none" w:sz="0" w:space="0" w:color="auto"/>
              </w:divBdr>
            </w:div>
            <w:div w:id="1351375830">
              <w:marLeft w:val="0"/>
              <w:marRight w:val="0"/>
              <w:marTop w:val="0"/>
              <w:marBottom w:val="0"/>
              <w:divBdr>
                <w:top w:val="none" w:sz="0" w:space="0" w:color="auto"/>
                <w:left w:val="none" w:sz="0" w:space="0" w:color="auto"/>
                <w:bottom w:val="none" w:sz="0" w:space="0" w:color="auto"/>
                <w:right w:val="none" w:sz="0" w:space="0" w:color="auto"/>
              </w:divBdr>
            </w:div>
            <w:div w:id="1241787856">
              <w:marLeft w:val="0"/>
              <w:marRight w:val="0"/>
              <w:marTop w:val="0"/>
              <w:marBottom w:val="0"/>
              <w:divBdr>
                <w:top w:val="none" w:sz="0" w:space="0" w:color="auto"/>
                <w:left w:val="none" w:sz="0" w:space="0" w:color="auto"/>
                <w:bottom w:val="none" w:sz="0" w:space="0" w:color="auto"/>
                <w:right w:val="none" w:sz="0" w:space="0" w:color="auto"/>
              </w:divBdr>
            </w:div>
            <w:div w:id="427580686">
              <w:marLeft w:val="0"/>
              <w:marRight w:val="0"/>
              <w:marTop w:val="0"/>
              <w:marBottom w:val="0"/>
              <w:divBdr>
                <w:top w:val="none" w:sz="0" w:space="0" w:color="auto"/>
                <w:left w:val="none" w:sz="0" w:space="0" w:color="auto"/>
                <w:bottom w:val="none" w:sz="0" w:space="0" w:color="auto"/>
                <w:right w:val="none" w:sz="0" w:space="0" w:color="auto"/>
              </w:divBdr>
            </w:div>
            <w:div w:id="2097244002">
              <w:marLeft w:val="0"/>
              <w:marRight w:val="0"/>
              <w:marTop w:val="0"/>
              <w:marBottom w:val="0"/>
              <w:divBdr>
                <w:top w:val="none" w:sz="0" w:space="0" w:color="auto"/>
                <w:left w:val="none" w:sz="0" w:space="0" w:color="auto"/>
                <w:bottom w:val="none" w:sz="0" w:space="0" w:color="auto"/>
                <w:right w:val="none" w:sz="0" w:space="0" w:color="auto"/>
              </w:divBdr>
            </w:div>
            <w:div w:id="1336808787">
              <w:marLeft w:val="0"/>
              <w:marRight w:val="0"/>
              <w:marTop w:val="0"/>
              <w:marBottom w:val="0"/>
              <w:divBdr>
                <w:top w:val="none" w:sz="0" w:space="0" w:color="auto"/>
                <w:left w:val="none" w:sz="0" w:space="0" w:color="auto"/>
                <w:bottom w:val="none" w:sz="0" w:space="0" w:color="auto"/>
                <w:right w:val="none" w:sz="0" w:space="0" w:color="auto"/>
              </w:divBdr>
            </w:div>
            <w:div w:id="557396666">
              <w:marLeft w:val="0"/>
              <w:marRight w:val="0"/>
              <w:marTop w:val="0"/>
              <w:marBottom w:val="0"/>
              <w:divBdr>
                <w:top w:val="none" w:sz="0" w:space="0" w:color="auto"/>
                <w:left w:val="none" w:sz="0" w:space="0" w:color="auto"/>
                <w:bottom w:val="none" w:sz="0" w:space="0" w:color="auto"/>
                <w:right w:val="none" w:sz="0" w:space="0" w:color="auto"/>
              </w:divBdr>
            </w:div>
            <w:div w:id="722020758">
              <w:marLeft w:val="0"/>
              <w:marRight w:val="0"/>
              <w:marTop w:val="0"/>
              <w:marBottom w:val="0"/>
              <w:divBdr>
                <w:top w:val="none" w:sz="0" w:space="0" w:color="auto"/>
                <w:left w:val="none" w:sz="0" w:space="0" w:color="auto"/>
                <w:bottom w:val="none" w:sz="0" w:space="0" w:color="auto"/>
                <w:right w:val="none" w:sz="0" w:space="0" w:color="auto"/>
              </w:divBdr>
            </w:div>
            <w:div w:id="19122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31966">
      <w:bodyDiv w:val="1"/>
      <w:marLeft w:val="0"/>
      <w:marRight w:val="0"/>
      <w:marTop w:val="0"/>
      <w:marBottom w:val="0"/>
      <w:divBdr>
        <w:top w:val="none" w:sz="0" w:space="0" w:color="auto"/>
        <w:left w:val="none" w:sz="0" w:space="0" w:color="auto"/>
        <w:bottom w:val="none" w:sz="0" w:space="0" w:color="auto"/>
        <w:right w:val="none" w:sz="0" w:space="0" w:color="auto"/>
      </w:divBdr>
      <w:divsChild>
        <w:div w:id="346836983">
          <w:marLeft w:val="0"/>
          <w:marRight w:val="0"/>
          <w:marTop w:val="0"/>
          <w:marBottom w:val="0"/>
          <w:divBdr>
            <w:top w:val="none" w:sz="0" w:space="0" w:color="auto"/>
            <w:left w:val="none" w:sz="0" w:space="0" w:color="auto"/>
            <w:bottom w:val="none" w:sz="0" w:space="0" w:color="auto"/>
            <w:right w:val="none" w:sz="0" w:space="0" w:color="auto"/>
          </w:divBdr>
          <w:divsChild>
            <w:div w:id="603466429">
              <w:marLeft w:val="0"/>
              <w:marRight w:val="0"/>
              <w:marTop w:val="0"/>
              <w:marBottom w:val="0"/>
              <w:divBdr>
                <w:top w:val="none" w:sz="0" w:space="0" w:color="auto"/>
                <w:left w:val="none" w:sz="0" w:space="0" w:color="auto"/>
                <w:bottom w:val="none" w:sz="0" w:space="0" w:color="auto"/>
                <w:right w:val="none" w:sz="0" w:space="0" w:color="auto"/>
              </w:divBdr>
            </w:div>
            <w:div w:id="708995514">
              <w:marLeft w:val="0"/>
              <w:marRight w:val="0"/>
              <w:marTop w:val="0"/>
              <w:marBottom w:val="0"/>
              <w:divBdr>
                <w:top w:val="none" w:sz="0" w:space="0" w:color="auto"/>
                <w:left w:val="none" w:sz="0" w:space="0" w:color="auto"/>
                <w:bottom w:val="none" w:sz="0" w:space="0" w:color="auto"/>
                <w:right w:val="none" w:sz="0" w:space="0" w:color="auto"/>
              </w:divBdr>
            </w:div>
            <w:div w:id="705059633">
              <w:marLeft w:val="0"/>
              <w:marRight w:val="0"/>
              <w:marTop w:val="0"/>
              <w:marBottom w:val="0"/>
              <w:divBdr>
                <w:top w:val="none" w:sz="0" w:space="0" w:color="auto"/>
                <w:left w:val="none" w:sz="0" w:space="0" w:color="auto"/>
                <w:bottom w:val="none" w:sz="0" w:space="0" w:color="auto"/>
                <w:right w:val="none" w:sz="0" w:space="0" w:color="auto"/>
              </w:divBdr>
            </w:div>
            <w:div w:id="4870331">
              <w:marLeft w:val="0"/>
              <w:marRight w:val="0"/>
              <w:marTop w:val="0"/>
              <w:marBottom w:val="0"/>
              <w:divBdr>
                <w:top w:val="none" w:sz="0" w:space="0" w:color="auto"/>
                <w:left w:val="none" w:sz="0" w:space="0" w:color="auto"/>
                <w:bottom w:val="none" w:sz="0" w:space="0" w:color="auto"/>
                <w:right w:val="none" w:sz="0" w:space="0" w:color="auto"/>
              </w:divBdr>
            </w:div>
            <w:div w:id="902522241">
              <w:marLeft w:val="0"/>
              <w:marRight w:val="0"/>
              <w:marTop w:val="0"/>
              <w:marBottom w:val="0"/>
              <w:divBdr>
                <w:top w:val="none" w:sz="0" w:space="0" w:color="auto"/>
                <w:left w:val="none" w:sz="0" w:space="0" w:color="auto"/>
                <w:bottom w:val="none" w:sz="0" w:space="0" w:color="auto"/>
                <w:right w:val="none" w:sz="0" w:space="0" w:color="auto"/>
              </w:divBdr>
            </w:div>
            <w:div w:id="476455720">
              <w:marLeft w:val="0"/>
              <w:marRight w:val="0"/>
              <w:marTop w:val="0"/>
              <w:marBottom w:val="0"/>
              <w:divBdr>
                <w:top w:val="none" w:sz="0" w:space="0" w:color="auto"/>
                <w:left w:val="none" w:sz="0" w:space="0" w:color="auto"/>
                <w:bottom w:val="none" w:sz="0" w:space="0" w:color="auto"/>
                <w:right w:val="none" w:sz="0" w:space="0" w:color="auto"/>
              </w:divBdr>
            </w:div>
            <w:div w:id="1355964087">
              <w:marLeft w:val="0"/>
              <w:marRight w:val="0"/>
              <w:marTop w:val="0"/>
              <w:marBottom w:val="0"/>
              <w:divBdr>
                <w:top w:val="none" w:sz="0" w:space="0" w:color="auto"/>
                <w:left w:val="none" w:sz="0" w:space="0" w:color="auto"/>
                <w:bottom w:val="none" w:sz="0" w:space="0" w:color="auto"/>
                <w:right w:val="none" w:sz="0" w:space="0" w:color="auto"/>
              </w:divBdr>
            </w:div>
            <w:div w:id="1024985401">
              <w:marLeft w:val="0"/>
              <w:marRight w:val="0"/>
              <w:marTop w:val="0"/>
              <w:marBottom w:val="0"/>
              <w:divBdr>
                <w:top w:val="none" w:sz="0" w:space="0" w:color="auto"/>
                <w:left w:val="none" w:sz="0" w:space="0" w:color="auto"/>
                <w:bottom w:val="none" w:sz="0" w:space="0" w:color="auto"/>
                <w:right w:val="none" w:sz="0" w:space="0" w:color="auto"/>
              </w:divBdr>
            </w:div>
            <w:div w:id="1628585538">
              <w:marLeft w:val="0"/>
              <w:marRight w:val="0"/>
              <w:marTop w:val="0"/>
              <w:marBottom w:val="0"/>
              <w:divBdr>
                <w:top w:val="none" w:sz="0" w:space="0" w:color="auto"/>
                <w:left w:val="none" w:sz="0" w:space="0" w:color="auto"/>
                <w:bottom w:val="none" w:sz="0" w:space="0" w:color="auto"/>
                <w:right w:val="none" w:sz="0" w:space="0" w:color="auto"/>
              </w:divBdr>
            </w:div>
            <w:div w:id="88625780">
              <w:marLeft w:val="0"/>
              <w:marRight w:val="0"/>
              <w:marTop w:val="0"/>
              <w:marBottom w:val="0"/>
              <w:divBdr>
                <w:top w:val="none" w:sz="0" w:space="0" w:color="auto"/>
                <w:left w:val="none" w:sz="0" w:space="0" w:color="auto"/>
                <w:bottom w:val="none" w:sz="0" w:space="0" w:color="auto"/>
                <w:right w:val="none" w:sz="0" w:space="0" w:color="auto"/>
              </w:divBdr>
            </w:div>
            <w:div w:id="1292400879">
              <w:marLeft w:val="0"/>
              <w:marRight w:val="0"/>
              <w:marTop w:val="0"/>
              <w:marBottom w:val="0"/>
              <w:divBdr>
                <w:top w:val="none" w:sz="0" w:space="0" w:color="auto"/>
                <w:left w:val="none" w:sz="0" w:space="0" w:color="auto"/>
                <w:bottom w:val="none" w:sz="0" w:space="0" w:color="auto"/>
                <w:right w:val="none" w:sz="0" w:space="0" w:color="auto"/>
              </w:divBdr>
            </w:div>
            <w:div w:id="548565887">
              <w:marLeft w:val="0"/>
              <w:marRight w:val="0"/>
              <w:marTop w:val="0"/>
              <w:marBottom w:val="0"/>
              <w:divBdr>
                <w:top w:val="none" w:sz="0" w:space="0" w:color="auto"/>
                <w:left w:val="none" w:sz="0" w:space="0" w:color="auto"/>
                <w:bottom w:val="none" w:sz="0" w:space="0" w:color="auto"/>
                <w:right w:val="none" w:sz="0" w:space="0" w:color="auto"/>
              </w:divBdr>
            </w:div>
            <w:div w:id="1903522085">
              <w:marLeft w:val="0"/>
              <w:marRight w:val="0"/>
              <w:marTop w:val="0"/>
              <w:marBottom w:val="0"/>
              <w:divBdr>
                <w:top w:val="none" w:sz="0" w:space="0" w:color="auto"/>
                <w:left w:val="none" w:sz="0" w:space="0" w:color="auto"/>
                <w:bottom w:val="none" w:sz="0" w:space="0" w:color="auto"/>
                <w:right w:val="none" w:sz="0" w:space="0" w:color="auto"/>
              </w:divBdr>
            </w:div>
            <w:div w:id="1028070210">
              <w:marLeft w:val="0"/>
              <w:marRight w:val="0"/>
              <w:marTop w:val="0"/>
              <w:marBottom w:val="0"/>
              <w:divBdr>
                <w:top w:val="none" w:sz="0" w:space="0" w:color="auto"/>
                <w:left w:val="none" w:sz="0" w:space="0" w:color="auto"/>
                <w:bottom w:val="none" w:sz="0" w:space="0" w:color="auto"/>
                <w:right w:val="none" w:sz="0" w:space="0" w:color="auto"/>
              </w:divBdr>
            </w:div>
            <w:div w:id="1104229536">
              <w:marLeft w:val="0"/>
              <w:marRight w:val="0"/>
              <w:marTop w:val="0"/>
              <w:marBottom w:val="0"/>
              <w:divBdr>
                <w:top w:val="none" w:sz="0" w:space="0" w:color="auto"/>
                <w:left w:val="none" w:sz="0" w:space="0" w:color="auto"/>
                <w:bottom w:val="none" w:sz="0" w:space="0" w:color="auto"/>
                <w:right w:val="none" w:sz="0" w:space="0" w:color="auto"/>
              </w:divBdr>
            </w:div>
            <w:div w:id="65929580">
              <w:marLeft w:val="0"/>
              <w:marRight w:val="0"/>
              <w:marTop w:val="0"/>
              <w:marBottom w:val="0"/>
              <w:divBdr>
                <w:top w:val="none" w:sz="0" w:space="0" w:color="auto"/>
                <w:left w:val="none" w:sz="0" w:space="0" w:color="auto"/>
                <w:bottom w:val="none" w:sz="0" w:space="0" w:color="auto"/>
                <w:right w:val="none" w:sz="0" w:space="0" w:color="auto"/>
              </w:divBdr>
            </w:div>
            <w:div w:id="119954638">
              <w:marLeft w:val="0"/>
              <w:marRight w:val="0"/>
              <w:marTop w:val="0"/>
              <w:marBottom w:val="0"/>
              <w:divBdr>
                <w:top w:val="none" w:sz="0" w:space="0" w:color="auto"/>
                <w:left w:val="none" w:sz="0" w:space="0" w:color="auto"/>
                <w:bottom w:val="none" w:sz="0" w:space="0" w:color="auto"/>
                <w:right w:val="none" w:sz="0" w:space="0" w:color="auto"/>
              </w:divBdr>
            </w:div>
            <w:div w:id="1566911316">
              <w:marLeft w:val="0"/>
              <w:marRight w:val="0"/>
              <w:marTop w:val="0"/>
              <w:marBottom w:val="0"/>
              <w:divBdr>
                <w:top w:val="none" w:sz="0" w:space="0" w:color="auto"/>
                <w:left w:val="none" w:sz="0" w:space="0" w:color="auto"/>
                <w:bottom w:val="none" w:sz="0" w:space="0" w:color="auto"/>
                <w:right w:val="none" w:sz="0" w:space="0" w:color="auto"/>
              </w:divBdr>
            </w:div>
            <w:div w:id="1331059787">
              <w:marLeft w:val="0"/>
              <w:marRight w:val="0"/>
              <w:marTop w:val="0"/>
              <w:marBottom w:val="0"/>
              <w:divBdr>
                <w:top w:val="none" w:sz="0" w:space="0" w:color="auto"/>
                <w:left w:val="none" w:sz="0" w:space="0" w:color="auto"/>
                <w:bottom w:val="none" w:sz="0" w:space="0" w:color="auto"/>
                <w:right w:val="none" w:sz="0" w:space="0" w:color="auto"/>
              </w:divBdr>
            </w:div>
            <w:div w:id="1542673480">
              <w:marLeft w:val="0"/>
              <w:marRight w:val="0"/>
              <w:marTop w:val="0"/>
              <w:marBottom w:val="0"/>
              <w:divBdr>
                <w:top w:val="none" w:sz="0" w:space="0" w:color="auto"/>
                <w:left w:val="none" w:sz="0" w:space="0" w:color="auto"/>
                <w:bottom w:val="none" w:sz="0" w:space="0" w:color="auto"/>
                <w:right w:val="none" w:sz="0" w:space="0" w:color="auto"/>
              </w:divBdr>
            </w:div>
            <w:div w:id="1658149655">
              <w:marLeft w:val="0"/>
              <w:marRight w:val="0"/>
              <w:marTop w:val="0"/>
              <w:marBottom w:val="0"/>
              <w:divBdr>
                <w:top w:val="none" w:sz="0" w:space="0" w:color="auto"/>
                <w:left w:val="none" w:sz="0" w:space="0" w:color="auto"/>
                <w:bottom w:val="none" w:sz="0" w:space="0" w:color="auto"/>
                <w:right w:val="none" w:sz="0" w:space="0" w:color="auto"/>
              </w:divBdr>
            </w:div>
            <w:div w:id="829250356">
              <w:marLeft w:val="0"/>
              <w:marRight w:val="0"/>
              <w:marTop w:val="0"/>
              <w:marBottom w:val="0"/>
              <w:divBdr>
                <w:top w:val="none" w:sz="0" w:space="0" w:color="auto"/>
                <w:left w:val="none" w:sz="0" w:space="0" w:color="auto"/>
                <w:bottom w:val="none" w:sz="0" w:space="0" w:color="auto"/>
                <w:right w:val="none" w:sz="0" w:space="0" w:color="auto"/>
              </w:divBdr>
            </w:div>
            <w:div w:id="2092119023">
              <w:marLeft w:val="0"/>
              <w:marRight w:val="0"/>
              <w:marTop w:val="0"/>
              <w:marBottom w:val="0"/>
              <w:divBdr>
                <w:top w:val="none" w:sz="0" w:space="0" w:color="auto"/>
                <w:left w:val="none" w:sz="0" w:space="0" w:color="auto"/>
                <w:bottom w:val="none" w:sz="0" w:space="0" w:color="auto"/>
                <w:right w:val="none" w:sz="0" w:space="0" w:color="auto"/>
              </w:divBdr>
            </w:div>
            <w:div w:id="1562515751">
              <w:marLeft w:val="0"/>
              <w:marRight w:val="0"/>
              <w:marTop w:val="0"/>
              <w:marBottom w:val="0"/>
              <w:divBdr>
                <w:top w:val="none" w:sz="0" w:space="0" w:color="auto"/>
                <w:left w:val="none" w:sz="0" w:space="0" w:color="auto"/>
                <w:bottom w:val="none" w:sz="0" w:space="0" w:color="auto"/>
                <w:right w:val="none" w:sz="0" w:space="0" w:color="auto"/>
              </w:divBdr>
            </w:div>
            <w:div w:id="1776514431">
              <w:marLeft w:val="0"/>
              <w:marRight w:val="0"/>
              <w:marTop w:val="0"/>
              <w:marBottom w:val="0"/>
              <w:divBdr>
                <w:top w:val="none" w:sz="0" w:space="0" w:color="auto"/>
                <w:left w:val="none" w:sz="0" w:space="0" w:color="auto"/>
                <w:bottom w:val="none" w:sz="0" w:space="0" w:color="auto"/>
                <w:right w:val="none" w:sz="0" w:space="0" w:color="auto"/>
              </w:divBdr>
            </w:div>
            <w:div w:id="937101345">
              <w:marLeft w:val="0"/>
              <w:marRight w:val="0"/>
              <w:marTop w:val="0"/>
              <w:marBottom w:val="0"/>
              <w:divBdr>
                <w:top w:val="none" w:sz="0" w:space="0" w:color="auto"/>
                <w:left w:val="none" w:sz="0" w:space="0" w:color="auto"/>
                <w:bottom w:val="none" w:sz="0" w:space="0" w:color="auto"/>
                <w:right w:val="none" w:sz="0" w:space="0" w:color="auto"/>
              </w:divBdr>
            </w:div>
            <w:div w:id="1489708059">
              <w:marLeft w:val="0"/>
              <w:marRight w:val="0"/>
              <w:marTop w:val="0"/>
              <w:marBottom w:val="0"/>
              <w:divBdr>
                <w:top w:val="none" w:sz="0" w:space="0" w:color="auto"/>
                <w:left w:val="none" w:sz="0" w:space="0" w:color="auto"/>
                <w:bottom w:val="none" w:sz="0" w:space="0" w:color="auto"/>
                <w:right w:val="none" w:sz="0" w:space="0" w:color="auto"/>
              </w:divBdr>
            </w:div>
            <w:div w:id="1136411655">
              <w:marLeft w:val="0"/>
              <w:marRight w:val="0"/>
              <w:marTop w:val="0"/>
              <w:marBottom w:val="0"/>
              <w:divBdr>
                <w:top w:val="none" w:sz="0" w:space="0" w:color="auto"/>
                <w:left w:val="none" w:sz="0" w:space="0" w:color="auto"/>
                <w:bottom w:val="none" w:sz="0" w:space="0" w:color="auto"/>
                <w:right w:val="none" w:sz="0" w:space="0" w:color="auto"/>
              </w:divBdr>
            </w:div>
            <w:div w:id="1428042419">
              <w:marLeft w:val="0"/>
              <w:marRight w:val="0"/>
              <w:marTop w:val="0"/>
              <w:marBottom w:val="0"/>
              <w:divBdr>
                <w:top w:val="none" w:sz="0" w:space="0" w:color="auto"/>
                <w:left w:val="none" w:sz="0" w:space="0" w:color="auto"/>
                <w:bottom w:val="none" w:sz="0" w:space="0" w:color="auto"/>
                <w:right w:val="none" w:sz="0" w:space="0" w:color="auto"/>
              </w:divBdr>
            </w:div>
            <w:div w:id="358819896">
              <w:marLeft w:val="0"/>
              <w:marRight w:val="0"/>
              <w:marTop w:val="0"/>
              <w:marBottom w:val="0"/>
              <w:divBdr>
                <w:top w:val="none" w:sz="0" w:space="0" w:color="auto"/>
                <w:left w:val="none" w:sz="0" w:space="0" w:color="auto"/>
                <w:bottom w:val="none" w:sz="0" w:space="0" w:color="auto"/>
                <w:right w:val="none" w:sz="0" w:space="0" w:color="auto"/>
              </w:divBdr>
            </w:div>
            <w:div w:id="2078241135">
              <w:marLeft w:val="0"/>
              <w:marRight w:val="0"/>
              <w:marTop w:val="0"/>
              <w:marBottom w:val="0"/>
              <w:divBdr>
                <w:top w:val="none" w:sz="0" w:space="0" w:color="auto"/>
                <w:left w:val="none" w:sz="0" w:space="0" w:color="auto"/>
                <w:bottom w:val="none" w:sz="0" w:space="0" w:color="auto"/>
                <w:right w:val="none" w:sz="0" w:space="0" w:color="auto"/>
              </w:divBdr>
            </w:div>
            <w:div w:id="1381586952">
              <w:marLeft w:val="0"/>
              <w:marRight w:val="0"/>
              <w:marTop w:val="0"/>
              <w:marBottom w:val="0"/>
              <w:divBdr>
                <w:top w:val="none" w:sz="0" w:space="0" w:color="auto"/>
                <w:left w:val="none" w:sz="0" w:space="0" w:color="auto"/>
                <w:bottom w:val="none" w:sz="0" w:space="0" w:color="auto"/>
                <w:right w:val="none" w:sz="0" w:space="0" w:color="auto"/>
              </w:divBdr>
            </w:div>
            <w:div w:id="1056396256">
              <w:marLeft w:val="0"/>
              <w:marRight w:val="0"/>
              <w:marTop w:val="0"/>
              <w:marBottom w:val="0"/>
              <w:divBdr>
                <w:top w:val="none" w:sz="0" w:space="0" w:color="auto"/>
                <w:left w:val="none" w:sz="0" w:space="0" w:color="auto"/>
                <w:bottom w:val="none" w:sz="0" w:space="0" w:color="auto"/>
                <w:right w:val="none" w:sz="0" w:space="0" w:color="auto"/>
              </w:divBdr>
            </w:div>
            <w:div w:id="1657487443">
              <w:marLeft w:val="0"/>
              <w:marRight w:val="0"/>
              <w:marTop w:val="0"/>
              <w:marBottom w:val="0"/>
              <w:divBdr>
                <w:top w:val="none" w:sz="0" w:space="0" w:color="auto"/>
                <w:left w:val="none" w:sz="0" w:space="0" w:color="auto"/>
                <w:bottom w:val="none" w:sz="0" w:space="0" w:color="auto"/>
                <w:right w:val="none" w:sz="0" w:space="0" w:color="auto"/>
              </w:divBdr>
            </w:div>
            <w:div w:id="1425029479">
              <w:marLeft w:val="0"/>
              <w:marRight w:val="0"/>
              <w:marTop w:val="0"/>
              <w:marBottom w:val="0"/>
              <w:divBdr>
                <w:top w:val="none" w:sz="0" w:space="0" w:color="auto"/>
                <w:left w:val="none" w:sz="0" w:space="0" w:color="auto"/>
                <w:bottom w:val="none" w:sz="0" w:space="0" w:color="auto"/>
                <w:right w:val="none" w:sz="0" w:space="0" w:color="auto"/>
              </w:divBdr>
            </w:div>
            <w:div w:id="888148020">
              <w:marLeft w:val="0"/>
              <w:marRight w:val="0"/>
              <w:marTop w:val="0"/>
              <w:marBottom w:val="0"/>
              <w:divBdr>
                <w:top w:val="none" w:sz="0" w:space="0" w:color="auto"/>
                <w:left w:val="none" w:sz="0" w:space="0" w:color="auto"/>
                <w:bottom w:val="none" w:sz="0" w:space="0" w:color="auto"/>
                <w:right w:val="none" w:sz="0" w:space="0" w:color="auto"/>
              </w:divBdr>
            </w:div>
            <w:div w:id="488639980">
              <w:marLeft w:val="0"/>
              <w:marRight w:val="0"/>
              <w:marTop w:val="0"/>
              <w:marBottom w:val="0"/>
              <w:divBdr>
                <w:top w:val="none" w:sz="0" w:space="0" w:color="auto"/>
                <w:left w:val="none" w:sz="0" w:space="0" w:color="auto"/>
                <w:bottom w:val="none" w:sz="0" w:space="0" w:color="auto"/>
                <w:right w:val="none" w:sz="0" w:space="0" w:color="auto"/>
              </w:divBdr>
            </w:div>
            <w:div w:id="754980955">
              <w:marLeft w:val="0"/>
              <w:marRight w:val="0"/>
              <w:marTop w:val="0"/>
              <w:marBottom w:val="0"/>
              <w:divBdr>
                <w:top w:val="none" w:sz="0" w:space="0" w:color="auto"/>
                <w:left w:val="none" w:sz="0" w:space="0" w:color="auto"/>
                <w:bottom w:val="none" w:sz="0" w:space="0" w:color="auto"/>
                <w:right w:val="none" w:sz="0" w:space="0" w:color="auto"/>
              </w:divBdr>
            </w:div>
            <w:div w:id="1626738343">
              <w:marLeft w:val="0"/>
              <w:marRight w:val="0"/>
              <w:marTop w:val="0"/>
              <w:marBottom w:val="0"/>
              <w:divBdr>
                <w:top w:val="none" w:sz="0" w:space="0" w:color="auto"/>
                <w:left w:val="none" w:sz="0" w:space="0" w:color="auto"/>
                <w:bottom w:val="none" w:sz="0" w:space="0" w:color="auto"/>
                <w:right w:val="none" w:sz="0" w:space="0" w:color="auto"/>
              </w:divBdr>
            </w:div>
            <w:div w:id="668675819">
              <w:marLeft w:val="0"/>
              <w:marRight w:val="0"/>
              <w:marTop w:val="0"/>
              <w:marBottom w:val="0"/>
              <w:divBdr>
                <w:top w:val="none" w:sz="0" w:space="0" w:color="auto"/>
                <w:left w:val="none" w:sz="0" w:space="0" w:color="auto"/>
                <w:bottom w:val="none" w:sz="0" w:space="0" w:color="auto"/>
                <w:right w:val="none" w:sz="0" w:space="0" w:color="auto"/>
              </w:divBdr>
            </w:div>
            <w:div w:id="1938751843">
              <w:marLeft w:val="0"/>
              <w:marRight w:val="0"/>
              <w:marTop w:val="0"/>
              <w:marBottom w:val="0"/>
              <w:divBdr>
                <w:top w:val="none" w:sz="0" w:space="0" w:color="auto"/>
                <w:left w:val="none" w:sz="0" w:space="0" w:color="auto"/>
                <w:bottom w:val="none" w:sz="0" w:space="0" w:color="auto"/>
                <w:right w:val="none" w:sz="0" w:space="0" w:color="auto"/>
              </w:divBdr>
            </w:div>
            <w:div w:id="862860065">
              <w:marLeft w:val="0"/>
              <w:marRight w:val="0"/>
              <w:marTop w:val="0"/>
              <w:marBottom w:val="0"/>
              <w:divBdr>
                <w:top w:val="none" w:sz="0" w:space="0" w:color="auto"/>
                <w:left w:val="none" w:sz="0" w:space="0" w:color="auto"/>
                <w:bottom w:val="none" w:sz="0" w:space="0" w:color="auto"/>
                <w:right w:val="none" w:sz="0" w:space="0" w:color="auto"/>
              </w:divBdr>
            </w:div>
            <w:div w:id="19905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1436</Words>
  <Characters>7900</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BEDECARRATS</dc:creator>
  <cp:keywords/>
  <dc:description/>
  <cp:lastModifiedBy>Florent BEDECARRATS</cp:lastModifiedBy>
  <cp:revision>4</cp:revision>
  <dcterms:created xsi:type="dcterms:W3CDTF">2026-07-16T17:04:00Z</dcterms:created>
  <dcterms:modified xsi:type="dcterms:W3CDTF">2026-07-16T17:31:00Z</dcterms:modified>
</cp:coreProperties>
</file>