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FF014" w14:textId="3D0DBB22" w:rsidR="008B3C6F" w:rsidRPr="008B3C6F" w:rsidRDefault="008B3C6F">
      <w:pPr>
        <w:rPr>
          <w:b/>
          <w:bCs/>
          <w:lang w:val="en-US"/>
        </w:rPr>
      </w:pPr>
      <w:r w:rsidRPr="008B3C6F">
        <w:rPr>
          <w:b/>
          <w:bCs/>
          <w:lang w:val="en-US"/>
        </w:rPr>
        <w:t>How Many People Live Near Protected Areas in Developing Countries? Estimates from Gridded Population Data (2000–2020)</w:t>
      </w:r>
    </w:p>
    <w:p w14:paraId="2FE0A30E" w14:textId="77777777" w:rsidR="008B3C6F" w:rsidRPr="008B3C6F" w:rsidRDefault="008B3C6F" w:rsidP="008B3C6F">
      <w:pPr>
        <w:rPr>
          <w:i/>
          <w:iCs/>
          <w:lang w:val="en-US"/>
        </w:rPr>
      </w:pPr>
      <w:r w:rsidRPr="008B3C6F">
        <w:rPr>
          <w:i/>
          <w:iCs/>
          <w:lang w:val="en-US"/>
        </w:rPr>
        <w:t>Justification Statement</w:t>
      </w:r>
    </w:p>
    <w:p w14:paraId="13C195A7" w14:textId="201AFA59" w:rsidR="00FD5029" w:rsidRPr="00FD5029" w:rsidRDefault="00FD5029" w:rsidP="00FD5029">
      <w:pPr>
        <w:rPr>
          <w:lang w:val="en-US"/>
        </w:rPr>
      </w:pPr>
      <w:r w:rsidRPr="00FD5029">
        <w:rPr>
          <w:lang w:val="en-US"/>
        </w:rPr>
        <w:t xml:space="preserve">This manuscript quantifies the demographic scale implied by spatial exposure definitions widely used in the protected area (PA) impact evaluation literature. Many empirical studies assess social or environmental outcomes by comparing populations located inside or near </w:t>
      </w:r>
      <w:r>
        <w:rPr>
          <w:lang w:val="en-US"/>
        </w:rPr>
        <w:t>PAs</w:t>
      </w:r>
      <w:r w:rsidRPr="00FD5029">
        <w:rPr>
          <w:lang w:val="en-US"/>
        </w:rPr>
        <w:t xml:space="preserve"> with those living farther away, yet the size of the populations implicitly defined by these exposure criteria has rarely been quantified at the global scale.</w:t>
      </w:r>
      <w:r>
        <w:rPr>
          <w:lang w:val="en-US"/>
        </w:rPr>
        <w:t xml:space="preserve"> </w:t>
      </w:r>
      <w:r w:rsidRPr="00FD5029">
        <w:rPr>
          <w:lang w:val="en-US"/>
        </w:rPr>
        <w:t xml:space="preserve">Using the World Database on </w:t>
      </w:r>
      <w:r>
        <w:rPr>
          <w:lang w:val="en-US"/>
        </w:rPr>
        <w:t>PA</w:t>
      </w:r>
      <w:r w:rsidRPr="00FD5029">
        <w:rPr>
          <w:lang w:val="en-US"/>
        </w:rPr>
        <w:t xml:space="preserve">s together with high-resolution gridded population datasets, we estimate the share of national populations living inside </w:t>
      </w:r>
      <w:r>
        <w:rPr>
          <w:lang w:val="en-US"/>
        </w:rPr>
        <w:t>PAs</w:t>
      </w:r>
      <w:r w:rsidRPr="00FD5029">
        <w:rPr>
          <w:lang w:val="en-US"/>
        </w:rPr>
        <w:t xml:space="preserve"> or within a commonly used 10 km buffer across 75 low- and lower-middle-income countries between 2000 and 2020. We show that these exposure definitions encompass populations on the order of hundreds of millions of people and that their demographic scale has increased substantially over the last two decades as both protected area networks and rural populations expanded.</w:t>
      </w:r>
    </w:p>
    <w:p w14:paraId="2B7BCD43" w14:textId="4602E6D2" w:rsidR="00CB6B98" w:rsidRPr="008B3C6F" w:rsidRDefault="00FD5029" w:rsidP="00FD5029">
      <w:pPr>
        <w:rPr>
          <w:lang w:val="en-US"/>
        </w:rPr>
      </w:pPr>
      <w:r w:rsidRPr="00FD5029">
        <w:rPr>
          <w:lang w:val="en-US"/>
        </w:rPr>
        <w:t xml:space="preserve">These estimates are timely in the context of rapidly expanding global conservation commitments, including the Kunming–Montreal Global Biodiversity Framework’s 30×30 target. By documenting the demographic scale of populations located near </w:t>
      </w:r>
      <w:r>
        <w:rPr>
          <w:lang w:val="en-US"/>
        </w:rPr>
        <w:t>PAs</w:t>
      </w:r>
      <w:r w:rsidRPr="00FD5029">
        <w:rPr>
          <w:lang w:val="en-US"/>
        </w:rPr>
        <w:t xml:space="preserve"> in developing countries, the paper provides a quantitative baseline for interpreting conservation impact studies and for understanding the potential societal scope of future conservation expansion. The interdisciplinary </w:t>
      </w:r>
      <w:r>
        <w:rPr>
          <w:lang w:val="en-US"/>
        </w:rPr>
        <w:t>scope</w:t>
      </w:r>
      <w:r w:rsidRPr="00FD5029">
        <w:rPr>
          <w:lang w:val="en-US"/>
        </w:rPr>
        <w:t xml:space="preserve"> of Environmental Research Letters makes it a</w:t>
      </w:r>
      <w:r>
        <w:rPr>
          <w:lang w:val="en-US"/>
        </w:rPr>
        <w:t xml:space="preserve">n appropriate </w:t>
      </w:r>
      <w:r w:rsidRPr="00FD5029">
        <w:rPr>
          <w:lang w:val="en-US"/>
        </w:rPr>
        <w:t>venue to reach researchers working on conservation science, development, environmental policy, and spatial analysis</w:t>
      </w:r>
      <w:r w:rsidR="008B3C6F" w:rsidRPr="008B3C6F">
        <w:rPr>
          <w:lang w:val="en-US"/>
        </w:rPr>
        <w:t>.</w:t>
      </w:r>
    </w:p>
    <w:sectPr w:rsidR="00CB6B98" w:rsidRPr="008B3C6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DF1AD" w14:textId="77777777" w:rsidR="00A053A4" w:rsidRDefault="00A053A4" w:rsidP="00876531">
      <w:pPr>
        <w:spacing w:before="0" w:line="240" w:lineRule="auto"/>
      </w:pPr>
      <w:r>
        <w:separator/>
      </w:r>
    </w:p>
  </w:endnote>
  <w:endnote w:type="continuationSeparator" w:id="0">
    <w:p w14:paraId="0CB6C4A5" w14:textId="77777777" w:rsidR="00A053A4" w:rsidRDefault="00A053A4" w:rsidP="0087653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72A28" w14:textId="77777777" w:rsidR="00A053A4" w:rsidRDefault="00A053A4" w:rsidP="00876531">
      <w:pPr>
        <w:spacing w:before="0" w:line="240" w:lineRule="auto"/>
      </w:pPr>
      <w:r>
        <w:separator/>
      </w:r>
    </w:p>
  </w:footnote>
  <w:footnote w:type="continuationSeparator" w:id="0">
    <w:p w14:paraId="498DF89D" w14:textId="77777777" w:rsidR="00A053A4" w:rsidRDefault="00A053A4" w:rsidP="0087653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276F"/>
    <w:multiLevelType w:val="multilevel"/>
    <w:tmpl w:val="0B480FFE"/>
    <w:lvl w:ilvl="0">
      <w:start w:val="5"/>
      <w:numFmt w:val="decimal"/>
      <w:pStyle w:val="Titre1"/>
      <w:lvlText w:val="%1."/>
      <w:lvlJc w:val="left"/>
      <w:pPr>
        <w:ind w:left="720" w:hanging="360"/>
      </w:pPr>
      <w:rPr>
        <w:rFonts w:hint="default"/>
      </w:rPr>
    </w:lvl>
    <w:lvl w:ilvl="1">
      <w:start w:val="1"/>
      <w:numFmt w:val="decimal"/>
      <w:pStyle w:val="Titre2"/>
      <w:isLgl/>
      <w:lvlText w:val="%1.%2."/>
      <w:lvlJc w:val="left"/>
      <w:pPr>
        <w:ind w:left="1080" w:hanging="360"/>
      </w:pPr>
      <w:rPr>
        <w:rFonts w:hint="default"/>
        <w:color w:val="000091"/>
      </w:rPr>
    </w:lvl>
    <w:lvl w:ilvl="2">
      <w:start w:val="1"/>
      <w:numFmt w:val="decimal"/>
      <w:pStyle w:val="Titre3"/>
      <w:isLgl/>
      <w:lvlText w:val="%1.%2.%3."/>
      <w:lvlJc w:val="left"/>
      <w:pPr>
        <w:ind w:left="1080" w:hanging="720"/>
      </w:pPr>
      <w:rPr>
        <w:rFonts w:hint="default"/>
      </w:rPr>
    </w:lvl>
    <w:lvl w:ilvl="3">
      <w:start w:val="1"/>
      <w:numFmt w:val="decimal"/>
      <w:pStyle w:val="Titre4"/>
      <w:isLgl/>
      <w:lvlText w:val="%1.%2.%3.%4."/>
      <w:lvlJc w:val="left"/>
      <w:pPr>
        <w:ind w:left="1080" w:hanging="720"/>
      </w:pPr>
      <w:rPr>
        <w:rFonts w:hint="default"/>
      </w:rPr>
    </w:lvl>
    <w:lvl w:ilvl="4">
      <w:start w:val="1"/>
      <w:numFmt w:val="decimal"/>
      <w:pStyle w:val="Titre5"/>
      <w:isLgl/>
      <w:lvlText w:val="%1.%2.%3.%4.%5."/>
      <w:lvlJc w:val="left"/>
      <w:pPr>
        <w:ind w:left="1440" w:hanging="1080"/>
      </w:pPr>
      <w:rPr>
        <w:rFonts w:hint="default"/>
      </w:rPr>
    </w:lvl>
    <w:lvl w:ilvl="5">
      <w:start w:val="1"/>
      <w:numFmt w:val="decimal"/>
      <w:pStyle w:val="Titre6"/>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73965341">
    <w:abstractNumId w:val="0"/>
  </w:num>
  <w:num w:numId="2" w16cid:durableId="191118569">
    <w:abstractNumId w:val="0"/>
  </w:num>
  <w:num w:numId="3" w16cid:durableId="1081176338">
    <w:abstractNumId w:val="0"/>
  </w:num>
  <w:num w:numId="4" w16cid:durableId="1045787603">
    <w:abstractNumId w:val="0"/>
  </w:num>
  <w:num w:numId="5" w16cid:durableId="2039113089">
    <w:abstractNumId w:val="0"/>
  </w:num>
  <w:num w:numId="6" w16cid:durableId="144927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C6F"/>
    <w:rsid w:val="00057E04"/>
    <w:rsid w:val="000D150B"/>
    <w:rsid w:val="00236BBD"/>
    <w:rsid w:val="00876531"/>
    <w:rsid w:val="008B3C6F"/>
    <w:rsid w:val="00A053A4"/>
    <w:rsid w:val="00C034FB"/>
    <w:rsid w:val="00CB6B98"/>
    <w:rsid w:val="00FD50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A48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0B"/>
    <w:pPr>
      <w:spacing w:before="120" w:after="0"/>
      <w:jc w:val="both"/>
    </w:pPr>
  </w:style>
  <w:style w:type="paragraph" w:styleId="Titre1">
    <w:name w:val="heading 1"/>
    <w:basedOn w:val="Normal"/>
    <w:next w:val="Normal"/>
    <w:link w:val="Titre1Car"/>
    <w:uiPriority w:val="9"/>
    <w:qFormat/>
    <w:rsid w:val="000D150B"/>
    <w:pPr>
      <w:keepNext/>
      <w:keepLines/>
      <w:numPr>
        <w:numId w:val="6"/>
      </w:numPr>
      <w:spacing w:before="36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150B"/>
    <w:pPr>
      <w:keepNext/>
      <w:keepLines/>
      <w:numPr>
        <w:ilvl w:val="1"/>
        <w:numId w:val="6"/>
      </w:numPr>
      <w:spacing w:before="48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D150B"/>
    <w:pPr>
      <w:keepNext/>
      <w:keepLines/>
      <w:numPr>
        <w:ilvl w:val="2"/>
        <w:numId w:val="6"/>
      </w:numPr>
      <w:spacing w:before="36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D150B"/>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0D150B"/>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0D150B"/>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uiPriority w:val="99"/>
    <w:semiHidden/>
    <w:unhideWhenUsed/>
    <w:rsid w:val="000D150B"/>
    <w:rPr>
      <w:vertAlign w:val="superscript"/>
    </w:rPr>
  </w:style>
  <w:style w:type="paragraph" w:styleId="En-tte">
    <w:name w:val="header"/>
    <w:basedOn w:val="Normal"/>
    <w:link w:val="En-tteCar"/>
    <w:uiPriority w:val="99"/>
    <w:unhideWhenUsed/>
    <w:rsid w:val="000D150B"/>
    <w:pPr>
      <w:tabs>
        <w:tab w:val="center" w:pos="4536"/>
        <w:tab w:val="right" w:pos="9072"/>
      </w:tabs>
      <w:spacing w:before="0" w:line="240" w:lineRule="auto"/>
    </w:pPr>
  </w:style>
  <w:style w:type="character" w:customStyle="1" w:styleId="En-tteCar">
    <w:name w:val="En-tête Car"/>
    <w:basedOn w:val="Policepardfaut"/>
    <w:link w:val="En-tte"/>
    <w:uiPriority w:val="99"/>
    <w:rsid w:val="000D150B"/>
  </w:style>
  <w:style w:type="table" w:styleId="Grilledutableau">
    <w:name w:val="Table Grid"/>
    <w:basedOn w:val="TableauNormal"/>
    <w:uiPriority w:val="39"/>
    <w:rsid w:val="000D1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D150B"/>
    <w:rPr>
      <w:color w:val="0563C1" w:themeColor="hyperlink"/>
      <w:u w:val="single"/>
    </w:rPr>
  </w:style>
  <w:style w:type="character" w:styleId="Lienhypertextesuivivisit">
    <w:name w:val="FollowedHyperlink"/>
    <w:basedOn w:val="Policepardfaut"/>
    <w:uiPriority w:val="99"/>
    <w:semiHidden/>
    <w:unhideWhenUsed/>
    <w:rsid w:val="000D150B"/>
    <w:rPr>
      <w:color w:val="954F72" w:themeColor="followedHyperlink"/>
      <w:u w:val="single"/>
    </w:rPr>
  </w:style>
  <w:style w:type="character" w:styleId="Mentionnonrsolue">
    <w:name w:val="Unresolved Mention"/>
    <w:basedOn w:val="Policepardfaut"/>
    <w:uiPriority w:val="99"/>
    <w:semiHidden/>
    <w:unhideWhenUsed/>
    <w:rsid w:val="000D150B"/>
    <w:rPr>
      <w:color w:val="605E5C"/>
      <w:shd w:val="clear" w:color="auto" w:fill="E1DFDD"/>
    </w:rPr>
  </w:style>
  <w:style w:type="paragraph" w:styleId="Notedebasdepage">
    <w:name w:val="footnote text"/>
    <w:basedOn w:val="Normal"/>
    <w:link w:val="NotedebasdepageCar"/>
    <w:uiPriority w:val="99"/>
    <w:semiHidden/>
    <w:unhideWhenUsed/>
    <w:rsid w:val="000D150B"/>
    <w:pPr>
      <w:spacing w:before="0" w:line="240" w:lineRule="auto"/>
    </w:pPr>
    <w:rPr>
      <w:sz w:val="20"/>
      <w:szCs w:val="20"/>
    </w:rPr>
  </w:style>
  <w:style w:type="character" w:customStyle="1" w:styleId="NotedebasdepageCar">
    <w:name w:val="Note de bas de page Car"/>
    <w:basedOn w:val="Policepardfaut"/>
    <w:link w:val="Notedebasdepage"/>
    <w:uiPriority w:val="99"/>
    <w:semiHidden/>
    <w:rsid w:val="000D150B"/>
    <w:rPr>
      <w:sz w:val="20"/>
      <w:szCs w:val="20"/>
    </w:rPr>
  </w:style>
  <w:style w:type="paragraph" w:styleId="Paragraphedeliste">
    <w:name w:val="List Paragraph"/>
    <w:basedOn w:val="Normal"/>
    <w:uiPriority w:val="34"/>
    <w:qFormat/>
    <w:rsid w:val="000D150B"/>
    <w:pPr>
      <w:ind w:left="720"/>
      <w:contextualSpacing/>
    </w:pPr>
  </w:style>
  <w:style w:type="paragraph" w:styleId="Pieddepage">
    <w:name w:val="footer"/>
    <w:basedOn w:val="Normal"/>
    <w:link w:val="PieddepageCar"/>
    <w:uiPriority w:val="99"/>
    <w:unhideWhenUsed/>
    <w:rsid w:val="000D150B"/>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0D150B"/>
  </w:style>
  <w:style w:type="character" w:customStyle="1" w:styleId="Titre1Car">
    <w:name w:val="Titre 1 Car"/>
    <w:basedOn w:val="Policepardfaut"/>
    <w:link w:val="Titre1"/>
    <w:uiPriority w:val="9"/>
    <w:rsid w:val="000D150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150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0D150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0D150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0D150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0D150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11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1474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2026-03-05T00:27:00Z</dcterms:created>
  <dcterms:modified xsi:type="dcterms:W3CDTF">2026-03-05T00:39:00Z</dcterms:modified>
</cp:coreProperties>
</file>