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 (IRD, Université Paris-Saclay, UMI SOURCE, Guyancourt, France; ORCID 0000-0003-1001-5540; corresponding author: florent.bedecarrats@ird.fr)</w:t>
      </w:r>
    </w:p>
    <w:p>
      <w:pPr>
        <w:pStyle w:val="AbstractTitle"/>
      </w:pPr>
      <w:r>
        <w:t xml:space="preserve">Abstract</w:t>
      </w:r>
    </w:p>
    <w:p>
      <w:pPr>
        <w:pStyle w:val="Abstract"/>
      </w:pPr>
      <w:r>
        <w:t xml:space="preserve">Impact evaluations of protected areas routinely define</w:t>
      </w:r>
      <w:r>
        <w:t xml:space="preserve"> </w:t>
      </w:r>
      <w:r>
        <w:t xml:space="preserve">“local populations”</w:t>
      </w:r>
      <w:r>
        <w:t xml:space="preserve"> </w:t>
      </w:r>
      <w:r>
        <w:t xml:space="preserve">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bookmarkStart w:id="16" w:name="introduction"/>
    <w:p>
      <w:pPr>
        <w:pStyle w:val="Titre1"/>
      </w:pPr>
      <w:r>
        <w:t xml:space="preserve">Introduction</w:t>
      </w:r>
    </w:p>
    <w:p>
      <w:pPr>
        <w:pStyle w:val="FirstParagraph"/>
      </w:pPr>
      <w:r>
        <w:t xml:space="preserve">Protected areas (PAs) were primarily established to achieve ecological purposes</w:t>
      </w:r>
      <w:r>
        <w:t xml:space="preserve"> </w:t>
      </w:r>
      <w:r>
        <w:t xml:space="preserve">(Maxwell et al. 2020)</w:t>
      </w:r>
      <w:r>
        <w:t xml:space="preserve">. Their implications for human populations have nevertheless been a persistent concern in conservation research</w:t>
      </w:r>
      <w:r>
        <w:t xml:space="preserve"> </w:t>
      </w:r>
      <w:r>
        <w:t xml:space="preserve">(Adams et al. 2004)</w:t>
      </w:r>
      <w:r>
        <w:t xml:space="preserve">, particularly in low and lower middle income countries where rural households account for a large share of the population and global poverty</w:t>
      </w:r>
      <w:r>
        <w:t xml:space="preserve"> </w:t>
      </w:r>
      <w:r>
        <w:t xml:space="preserve">(Castañeda et al. 2018; Byerlee and Janvry 2008)</w:t>
      </w:r>
      <w:r>
        <w:t xml:space="preserve">. The expansion of PAs makes this issue increasingly salient: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w:t>
      </w:r>
      <w:r>
        <w:t xml:space="preserve"> </w:t>
      </w:r>
      <w:r>
        <w:t xml:space="preserve">(2022)</w:t>
      </w:r>
      <w:r>
        <w:t xml:space="preserve">.</w:t>
      </w:r>
    </w:p>
    <w:p>
      <w:pPr>
        <w:pStyle w:val="Corpsdetexte"/>
      </w:pPr>
      <w:r>
        <w:t xml:space="preserve">In the literature assessing the social and economic implications of protected areas, the effects of conservation are consistently framed as local in nature. Yet what constitutes a</w:t>
      </w:r>
      <w:r>
        <w:t xml:space="preserve"> </w:t>
      </w:r>
      <w:r>
        <w:t xml:space="preserve">“local population”</w:t>
      </w:r>
      <w:r>
        <w:t xml:space="preserve"> </w:t>
      </w:r>
      <w:r>
        <w:t xml:space="preserve">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w:t>
      </w:r>
      <w:r>
        <w:t xml:space="preserve"> </w:t>
      </w:r>
      <w:r>
        <w:t xml:space="preserve">(West et al. 2006)</w:t>
      </w:r>
      <w:r>
        <w:t xml:space="preserve">.</w:t>
      </w:r>
    </w:p>
    <w:p>
      <w:pPr>
        <w:pStyle w:val="Corpsdetexte"/>
      </w:pPr>
      <w:r>
        <w:t xml:space="preserve">A 10 km buffer around PA boundaries has emerged as a frequently used threshold. It was the inclusion criteria in the widely cited systematic review on of conservation outcomes by Oldekop et al.</w:t>
      </w:r>
      <w:r>
        <w:t xml:space="preserve"> </w:t>
      </w:r>
      <w:r>
        <w:t xml:space="preserve">(2016)</w:t>
      </w:r>
      <w:r>
        <w:t xml:space="preserve">. It is also pervasive in individual empirical studies. In one of the few global-scale assessments, Naidoo et al.</w:t>
      </w:r>
      <w:r>
        <w:t xml:space="preserve"> </w:t>
      </w:r>
      <w:r>
        <w:t xml:space="preserve">(2019)</w:t>
      </w:r>
      <w:r>
        <w:t xml:space="preserve"> </w:t>
      </w:r>
      <w:r>
        <w:t xml:space="preserve">analyzed conservation wellbeing outcomes across 34 low- and middle-income countries with Demographic and Health Surveys, defining exposure to protected areas as residing at 10 km or less from PAs. Fisher et al.</w:t>
      </w:r>
      <w:r>
        <w:t xml:space="preserve"> </w:t>
      </w:r>
      <w:r>
        <w:t xml:space="preserve">(2024)</w:t>
      </w:r>
      <w:r>
        <w:t xml:space="preserve"> </w:t>
      </w:r>
      <w:r>
        <w:t xml:space="preserve">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w:t>
      </w:r>
      <w:r>
        <w:t xml:space="preserve"> </w:t>
      </w:r>
      <w:r>
        <w:t xml:space="preserve">(Kandel et al. 2022)</w:t>
      </w:r>
      <w:r>
        <w:t xml:space="preserve"> </w:t>
      </w:r>
      <w:r>
        <w:t xml:space="preserve">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pPr>
        <w:pStyle w:val="Corpsdetexte"/>
      </w:pPr>
      <w:r>
        <w:t xml:space="preserve">This paper addresses this gap by quantifying the demographic scale of conservation exposure definitions. Rather than assessing conservation impacts or making claims about them, it asks a simpler and different question: when studies of PA social impacts define</w:t>
      </w:r>
      <w:r>
        <w:t xml:space="preserve"> </w:t>
      </w:r>
      <w:r>
        <w:t xml:space="preserve">“local populations”</w:t>
      </w:r>
      <w:r>
        <w:t xml:space="preserve"> </w:t>
      </w:r>
      <w:r>
        <w:t xml:space="preserve">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bookmarkEnd w:id="16"/>
    <w:bookmarkStart w:id="20" w:name="methods"/>
    <w:p>
      <w:pPr>
        <w:pStyle w:val="Titre1"/>
      </w:pPr>
      <w:r>
        <w:t xml:space="preserve">Methods</w:t>
      </w:r>
    </w:p>
    <w:bookmarkStart w:id="17" w:name="study-area"/>
    <w:p>
      <w:pPr>
        <w:pStyle w:val="Titre2"/>
      </w:pPr>
      <w:r>
        <w:t xml:space="preserve">Study Area</w:t>
      </w:r>
    </w:p>
    <w:p>
      <w:pPr>
        <w:pStyle w:val="FirstParagraph"/>
      </w:pPr>
      <w:r>
        <w:t xml:space="preserve">The analysis focuses on countries classified by the World Bank as low-income or lower-middle-income economies in 2020</w:t>
      </w:r>
      <w:r>
        <w:t xml:space="preserve"> </w:t>
      </w:r>
      <w:r>
        <w:t xml:space="preserve">(Vaggi 2017)</w:t>
      </w:r>
      <w:r>
        <w:t xml:space="preserve">. South Sudan and Timor-Leste did not exist as sovereign states at the beginning of our analysis period (2000), so we did not include them in the analysis.</w:t>
      </w:r>
    </w:p>
    <w:p>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w:t>
      </w:r>
      <w:r>
        <w:t xml:space="preserve"> </w:t>
      </w:r>
      <w:r>
        <w:t xml:space="preserve">(UNEP-WCMC 2026)</w:t>
      </w:r>
      <w:r>
        <w:t xml:space="preserve">. Including these restricted sites, India’s terrestrial PA coverage reaches approximately 7.7%. India has stated that the process of making its data publicly accessible is in progress</w:t>
      </w:r>
      <w:r>
        <w:t xml:space="preserve"> </w:t>
      </w:r>
      <w:r>
        <w:t xml:space="preserve">(Wani et al. 2025)</w:t>
      </w:r>
      <w:r>
        <w:t xml:space="preserve">, and this data gap has been noted in global assessments</w:t>
      </w:r>
      <w:r>
        <w:t xml:space="preserve"> </w:t>
      </w:r>
      <w:r>
        <w:t xml:space="preserve">(Zhang et al. 2025)</w:t>
      </w:r>
      <w:r>
        <w:t xml:space="preserve">. Because India accounts for approximately 36% of the total LMIC population, including it with incomplete spatial data would mechanically depress aggregate PA coverage and exposure statistics. The analysis therefore covers 75 LMICs.</w:t>
      </w:r>
    </w:p>
    <w:p>
      <w:pPr>
        <w:pStyle w:val="Corpsdetexte"/>
      </w:pPr>
      <w:r>
        <w:t xml:space="preserve">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w:t>
      </w:r>
      <w:r>
        <w:t xml:space="preserve"> </w:t>
      </w:r>
      <w:r>
        <w:t xml:space="preserve">“local populations”</w:t>
      </w:r>
      <w:r>
        <w:t xml:space="preserve"> </w:t>
      </w:r>
      <w:r>
        <w:t xml:space="preserve">in conservation impact studies, not as claims about the spatial extent or magnitude of actual conservation impacts.</w:t>
      </w:r>
    </w:p>
    <w:bookmarkEnd w:id="17"/>
    <w:bookmarkStart w:id="18" w:name="data-sources"/>
    <w:p>
      <w:pPr>
        <w:pStyle w:val="Titre2"/>
      </w:pPr>
      <w:r>
        <w:t xml:space="preserve">Data Sources</w:t>
      </w:r>
    </w:p>
    <w:p>
      <w:pPr>
        <w:pStyle w:val="FirstParagraph"/>
      </w:pPr>
      <w:r>
        <w:t xml:space="preserve">National boundaries were drawn from geoBoundaries version 6.0.0, a standardized and openly available global dataset designed for cross-country comparative analysis</w:t>
      </w:r>
      <w:r>
        <w:t xml:space="preserve"> </w:t>
      </w:r>
      <w:r>
        <w:t xml:space="preserve">(Runfola et al. 2020)</w:t>
      </w:r>
      <w:r>
        <w:t xml:space="preserve">.</w:t>
      </w:r>
    </w:p>
    <w:p>
      <w:pPr>
        <w:pStyle w:val="Corpsdetexte"/>
      </w:pPr>
      <w:r>
        <w:t xml:space="preserve">Protected area boundaries, status, and designation year are obtained from the World Database on Protected Areas (WDPA), compiled by UNEP-WCMC in collaboration with IUCN</w:t>
      </w:r>
      <w:r>
        <w:t xml:space="preserve"> </w:t>
      </w:r>
      <w:r>
        <w:t xml:space="preserve">(Bingham et al. 2019; UNEP-WCMC and IUCN 2023)</w:t>
      </w:r>
      <w:r>
        <w:t xml:space="preserve">. We use the May 2021 WDPA release, which underpinned the final assessment of Aichi Target 11 under the Convention on Biological Diversity (CBD) Strategic Plan for Biodiversity 2011–2020</w:t>
      </w:r>
      <w:r>
        <w:t xml:space="preserve"> </w:t>
      </w:r>
      <w:r>
        <w:t xml:space="preserve">(UNEP-WCMC and IUCN 2021)</w:t>
      </w:r>
      <w:r>
        <w:t xml:space="preserve">. This snapshot reflects the culmination of reporting efforts by CBD member countries for the 2020 milestones, and is therefore more likely to be complete, while limiting the inclusion of post-2020 designations recorded with missing status years.</w:t>
      </w:r>
    </w:p>
    <w:p>
      <w:pPr>
        <w:pStyle w:val="Corpsdetexte"/>
      </w:pPr>
      <w:r>
        <w:t xml:space="preserve">Population estimates are drawn from two globally harmonized gridded datasets. The Global Human Settlement Layer (GHSL) combines census-based population counts with remote sensing and ancillary data to produce gridded estimates at 250 m resolution</w:t>
      </w:r>
      <w:r>
        <w:t xml:space="preserve"> </w:t>
      </w:r>
      <w:r>
        <w:t xml:space="preserve">(Freire et al. 2016)</w:t>
      </w:r>
      <w:r>
        <w:t xml:space="preserve">. WorldPop applies a machine-learning approach trained on census data and spatial covariates to generate population estimates at 100 m resolution</w:t>
      </w:r>
      <w:r>
        <w:t xml:space="preserve"> </w:t>
      </w:r>
      <w:r>
        <w:t xml:space="preserve">(Stevens et al. 2015)</w:t>
      </w:r>
      <w:r>
        <w:t xml:space="preserve">. Both datasets have been evaluated against geolocated census data in contexts where such data are available</w:t>
      </w:r>
      <w:r>
        <w:t xml:space="preserve"> </w:t>
      </w:r>
      <w:r>
        <w:t xml:space="preserve">(Leyk et al. 2019; Chen et al. 2020; Thomson et al. 2022)</w:t>
      </w:r>
      <w:r>
        <w:t xml:space="preserve">. GHSL is used as the main reference dataset, while WorldPop is used to assess the robustness of population orders of magnitude.</w:t>
      </w:r>
    </w:p>
    <w:bookmarkEnd w:id="18"/>
    <w:bookmarkStart w:id="19" w:name="analytical-approach"/>
    <w:p>
      <w:pPr>
        <w:pStyle w:val="Titre2"/>
      </w:pPr>
      <w:r>
        <w:t xml:space="preserve">Analytical approach</w:t>
      </w:r>
    </w:p>
    <w:p>
      <w:pPr>
        <w:pStyle w:val="FirstParagraph"/>
      </w:pPr>
      <w:r>
        <w:t xml:space="preserve">We processed high-resolution population estimates within and around protected areas across the 75 countries in 2000 and 2020 entirely in R</w:t>
      </w:r>
      <w:r>
        <w:t xml:space="preserve"> </w:t>
      </w:r>
      <w:r>
        <w:t xml:space="preserve">(R Core Team 2023)</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This pipeline reimplements in R an earlier version that relied on Google Earth Engine</w:t>
      </w:r>
      <w:r>
        <w:t xml:space="preserve"> </w:t>
      </w:r>
      <w:r>
        <w:t xml:space="preserve">(Gorelick et al. 2017)</w:t>
      </w:r>
      <w:r>
        <w:t xml:space="preserve">, both to improve reproducibility and to 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w:t>
      </w:r>
      <w:r>
        <w:t xml:space="preserve"> </w:t>
      </w:r>
      <w:r>
        <w:t xml:space="preserve">(Avouac et al. 2025)</w:t>
      </w:r>
      <w:r>
        <w:t xml:space="preserve">. All geometries were processed in an equal-area projection (EPSG:6933), and protected areas were filtered to each country’s own boundaries by ISO3 code, so that populations near protected areas located in neighbouring countries are not attributed across borders.</w:t>
      </w:r>
    </w:p>
    <w:p>
      <w:pPr>
        <w:pStyle w:val="Corpsdetexte"/>
      </w:pPr>
      <w:r>
        <w:t xml:space="preserve">Protected areas were filtered to retain only designated, established, or inscribed sites, excluding UNESCO-MAB Biosphere Reserves – as is common practice in conservation analyses due to their often limited legal protection</w:t>
      </w:r>
      <w:r>
        <w:t xml:space="preserve"> </w:t>
      </w:r>
      <w:r>
        <w:t xml:space="preserve">(Hanson 2022; Coetzer et al. 2014)</w:t>
      </w:r>
      <w:r>
        <w:t xml:space="preserve"> </w:t>
      </w:r>
      <w:r>
        <w:t xml:space="preserve">– and purely marine protected areas, since this study focuses on terrestrial populations. Protected areas were classified into three groups based on reported IUCN management categories, following Lebergers et al.</w:t>
      </w:r>
      <w:r>
        <w:t xml:space="preserve"> </w:t>
      </w:r>
      <w:r>
        <w:t xml:space="preserve">(2020)</w:t>
      </w:r>
      <w:r>
        <w:t xml:space="preserve">: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pPr>
        <w:pStyle w:val="Corpsdetexte"/>
      </w:pPr>
      <w:r>
        <w:t xml:space="preserve">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pPr>
        <w:pStyle w:val="Corpsdetexte"/>
      </w:pPr>
      <w:r>
        <w:t xml:space="preserve">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bookmarkEnd w:id="19"/>
    <w:bookmarkEnd w:id="20"/>
    <w:bookmarkStart w:id="38" w:name="results"/>
    <w:p>
      <w:pPr>
        <w:pStyle w:val="Titre1"/>
      </w:pPr>
      <w:r>
        <w:t xml:space="preserve">Results</w:t>
      </w:r>
    </w:p>
    <w:bookmarkStart w:id="21" w:name="population-magnitudes"/>
    <w:p>
      <w:pPr>
        <w:pStyle w:val="Titre2"/>
      </w:pPr>
      <w:r>
        <w:t xml:space="preserve">Population magnitudes</w:t>
      </w:r>
    </w:p>
    <w:p>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2000 (restricted to PAs with recorded designation years), 18.8 million people (1.1%) lived inside PAs and 257.6 million inside or within 10 km (15.4% of the population).</w:t>
      </w:r>
    </w:p>
    <w:p>
      <w:pPr>
        <w:pStyle w:val="Corpsdetexte"/>
      </w:pPr>
      <w:r>
        <w:t xml:space="preserve">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pPr>
        <w:pStyle w:val="Corpsdetexte"/>
      </w:pPr>
      <w:r>
        <w:t xml:space="preserve">Standardizing by PA area and by total boundary length clarifies the source of this difference. Non-strict PAs are both more numerous than strict PAs (2,564 versus 1,160 sites) and slightly more extensive (1.39 versus 1.35 million km²). Their combined boundary length is also larger: 206,921 km for non-strict PAs versus 178,109 km for strict PAs. After dividing nearby population by PA area, the gap narrows but does not disappear: non-strict PAs are associated with 149 people inside or within 10 km per km² of PA, compared with 118 for strict PAs. The same conclusion holds when standardizing by total boundary length: non-strict PAs are associated with 999 people inside or within 10 km per km of boundary, compared with 891 for strict PAs. The larger raw population near non-strict PAs therefore reflects primarily their greater number, total area, and total boundary length, with only a modest additional contribution from higher nearby population density.</w:t>
      </w:r>
    </w:p>
    <w:p>
      <w:pPr>
        <w:pStyle w:val="Corpsdetexte"/>
      </w:pPr>
      <w:r>
        <w:t xml:space="preserve">To connect these magnitudes to the impact evaluation literature, Table 1 translates common spatial exposure definitions into population orders of magnitude.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Implied population magnitudes by exposure definition</w:t>
      </w:r>
    </w:p>
    <w:p>
      <w:pPr>
        <w:spacing w:before="0" w:after="60"/>
        <w:keepNext/>
        <w:jc w:val="start"/>
        <w:pStyle w:val="caption"/>
      </w:pPr>
      <w:r>
        <w:rPr>
          <w:rFonts w:ascii="Calibri" w:hAnsi="Calibri"/>
          <w:sz w:val="20"/>
          <w:color w:val="333333"/>
        </w:rPr>
        <w:t xml:space="default">All PAs in 2020 (including missing designation year), 75 LMICs excluding India, GHSL population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Exposure definition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Population (millions)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of 75-country GHSL population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only,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non-strict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unknown-category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or within 10 km,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non-strict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unknown-category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r>
      <w:tr>
        <w:trPr>
          <w:cantSplit/>
        </w:trPr>
        <w:tc>
          <w:tcPr>
            <w:gridSpan w:val="3"/>
          </w:tcPr>
          <w:p>
            <w:pPr>
              <w:spacing w:before="0" w:after="60"/>
              <w:keepNext/>
            </w:pPr>
            <w:r>
              <w:rPr>
                <w:rFonts w:ascii="Calibri" w:hAnsi="Calibri"/>
                <w:sz w:val="20"/>
              </w:rPr>
              <w:t xml:space="default">Source: WDPA May 2021 and GHSL 2020. 'Inside or within 10 km' includes populations inside PAs plus the exclusive 10 km buffer ring.</w:t>
            </w:r>
          </w:p>
        </w:tc>
      </w:tr>
    </w:tbl>
    <w:p>
      <w:pPr>
        <w:pStyle w:val="Corpsdetexte"/>
      </w:pPr>
      <w:r>
        <w:t xml:space="preserve">An in-out comparison – where</w:t>
      </w:r>
      <w:r>
        <w:t xml:space="preserve"> </w:t>
      </w:r>
      <w:r>
        <w:t xml:space="preserve">“treated”</w:t>
      </w:r>
      <w:r>
        <w:t xml:space="preserve"> </w:t>
      </w:r>
      <w:r>
        <w:t xml:space="preserve">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numbers do not appear in the studies reviewed by Kandel et al.</w:t>
      </w:r>
      <w:r>
        <w:t xml:space="preserve"> </w:t>
      </w:r>
      <w:r>
        <w:t xml:space="preserve">(2022)</w:t>
      </w:r>
      <w:r>
        <w:t xml:space="preserve">, yet they define the implicit scope to which estimated impacts apply.</w:t>
      </w:r>
    </w:p>
    <w:bookmarkEnd w:id="21"/>
    <w:bookmarkStart w:id="26" w:name="change-over-time-by-pa-category"/>
    <w:p>
      <w:pPr>
        <w:pStyle w:val="Titre2"/>
      </w:pPr>
      <w:r>
        <w:t xml:space="preserve">Change over time by PA category</w:t>
      </w:r>
    </w:p>
    <w:p>
      <w:pPr>
        <w:pStyle w:val="FirstParagraph"/>
      </w:pPr>
      <w:r>
        <w:t xml:space="preserve">Comparing 2020 with 2000 is subject to an important caveat: designation years are missing for 2,912 out of 9,170 PAs in the WDPA (31.8%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pPr>
        <w:pStyle w:val="Corpsdetexte"/>
      </w:pPr>
      <w:r>
        <w:t xml:space="preserve">With this caveat in mind, Figure 1 shows how PA-adjacent populations evolved between 2000 and 2020 across PA categories, separately for populations inside PAs and within the 10 km buffer.</w:t>
      </w:r>
    </w:p>
    <w:tbl>
      <w:tblPr>
        <w:tblStyle w:val="Table"/>
        <w:tblW w:type="pct" w:w="5000"/>
        <w:tblLayout w:type="fixed"/>
        <w:tblLook w:firstRow="0" w:lastRow="0" w:firstColumn="0" w:lastColumn="0" w:noHBand="0" w:noVBand="0" w:val="0000"/>
      </w:tblPr>
      <w:tblGrid>
        <w:gridCol w:w="7920"/>
      </w:tblGrid>
      <w:tr>
        <w:tc>
          <w:tcPr/>
          <w:bookmarkStart w:id="25" w:name="fig-pa-category-trends"/>
          <w:p>
            <w:pPr>
              <w:pStyle w:val="Compact"/>
              <w:jc w:val="center"/>
            </w:pPr>
            <w:r>
              <w:drawing>
                <wp:inline>
                  <wp:extent cx="5969000" cy="3730624"/>
                  <wp:effectExtent b="0" l="0" r="0" t="0"/>
                  <wp:docPr descr="" title="" id="23" name="Picture"/>
                  <a:graphic>
                    <a:graphicData uri="http://schemas.openxmlformats.org/drawingml/2006/picture">
                      <pic:pic>
                        <pic:nvPicPr>
                          <pic:cNvPr descr="results/figure_1.png" id="24" name="Picture"/>
                          <pic:cNvPicPr>
                            <a:picLocks noChangeArrowheads="1" noChangeAspect="1"/>
                          </pic:cNvPicPr>
                        </pic:nvPicPr>
                        <pic:blipFill>
                          <a:blip r:embed="rId22"/>
                          <a:stretch>
                            <a:fillRect/>
                          </a:stretch>
                        </pic:blipFill>
                        <pic:spPr bwMode="auto">
                          <a:xfrm>
                            <a:off x="0" y="0"/>
                            <a:ext cx="5969000" cy="373062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inside protected areas and within 10 km of protected area boundaries by IUCN category, 2000 versus 2020. Estimates are for 75 low- and lower-middle-income countries excluding India, using GHSL and restricted to protected areas with recorded designation year.</w:t>
            </w:r>
          </w:p>
          <w:bookmarkEnd w:id="25"/>
        </w:tc>
      </w:tr>
    </w:tbl>
    <w:p>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94 million, that inside or within 10 km of PAs with unrecorded IUCN category by 101 million, and that near strict PAs by 63 million.</w:t>
      </w:r>
    </w:p>
    <w:p>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bookmarkEnd w:id="26"/>
    <w:bookmarkStart w:id="27" w:name="X36c7847bfc23ec1f29bec0a1a382b6d5952c46d"/>
    <w:p>
      <w:pPr>
        <w:pStyle w:val="Titre2"/>
      </w:pPr>
      <w:r>
        <w:t xml:space="preserve">Uncertainty from missing designation years</w:t>
      </w:r>
    </w:p>
    <w:p>
      <w:pPr>
        <w:pStyle w:val="FirstParagraph"/>
      </w:pPr>
      <w:r>
        <w:t xml:space="preserve">The WDPA records a designation year for each protected area, but this field is not reported for 2,912 of the 9,170 PAs in our 75 LMICs (31.8%;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pPr>
        <w:pStyle w:val="Corpsdetexte"/>
      </w:pPr>
      <w:r>
        <w:t xml:space="preserve">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bookmarkEnd w:id="27"/>
    <w:bookmarkStart w:id="32" w:name="cross-country-variation"/>
    <w:p>
      <w:pPr>
        <w:pStyle w:val="Titre2"/>
      </w:pPr>
      <w:r>
        <w:t xml:space="preserve">Cross-country variation</w:t>
      </w:r>
    </w:p>
    <w:p>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tbl>
      <w:tblPr>
        <w:tblStyle w:val="Table"/>
        <w:tblW w:type="pct" w:w="5000"/>
        <w:tblLayout w:type="fixed"/>
        <w:tblLook w:firstRow="0" w:lastRow="0" w:firstColumn="0" w:lastColumn="0" w:noHBand="0" w:noVBand="0" w:val="0000"/>
      </w:tblPr>
      <w:tblGrid>
        <w:gridCol w:w="7920"/>
      </w:tblGrid>
      <w:tr>
        <w:tc>
          <w:tcPr/>
          <w:bookmarkStart w:id="31" w:name="fig-country-variation"/>
          <w:p>
            <w:pPr>
              <w:pStyle w:val="Compact"/>
              <w:jc w:val="center"/>
            </w:pPr>
            <w:r>
              <w:drawing>
                <wp:inline>
                  <wp:extent cx="5969000" cy="8953499"/>
                  <wp:effectExtent b="0" l="0" r="0" t="0"/>
                  <wp:docPr descr="" title="" id="29" name="Picture"/>
                  <a:graphic>
                    <a:graphicData uri="http://schemas.openxmlformats.org/drawingml/2006/picture">
                      <pic:pic>
                        <pic:nvPicPr>
                          <pic:cNvPr descr="results/figure_2.png" id="30" name="Picture"/>
                          <pic:cNvPicPr>
                            <a:picLocks noChangeArrowheads="1" noChangeAspect="1"/>
                          </pic:cNvPicPr>
                        </pic:nvPicPr>
                        <pic:blipFill>
                          <a:blip r:embed="rId28"/>
                          <a:stretch>
                            <a:fillRect/>
                          </a:stretch>
                        </pic:blipFill>
                        <pic:spPr bwMode="auto">
                          <a:xfrm>
                            <a:off x="0" y="0"/>
                            <a:ext cx="5969000" cy="8953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the national population living inside protected areas or within 10 km of their boundaries, by country, in 2000 and 2020. Estimates are for 75 low- and lower-middle-income countries excluding India, using GHSL and restricted to protected areas with recorded designation year.</w:t>
            </w:r>
          </w:p>
          <w:bookmarkEnd w:id="31"/>
        </w:tc>
      </w:tr>
    </w:tbl>
    <w:bookmarkEnd w:id="32"/>
    <w:bookmarkStart w:id="37" w:name="robustness-ghsl-vs-worldpop"/>
    <w:p>
      <w:pPr>
        <w:pStyle w:val="Titre2"/>
      </w:pPr>
      <w:r>
        <w:t xml:space="preserve">Robustness: GHSL vs WorldPop</w:t>
      </w:r>
    </w:p>
    <w:p>
      <w:pPr>
        <w:pStyle w:val="FirstParagraph"/>
      </w:pPr>
      <w:r>
        <w:t xml:space="preserve">Figure 3 compares GHSL and WorldPop estimates of the percentage of national population inside PAs and within 10 km, for all PAs present in the 2020 WDPA release. Agreement is close for the broader 10 km perimeter, whereas the inside-PA panel shows a systematic tendency for WorldPop estimates to exceed GHSL.</w:t>
      </w:r>
    </w:p>
    <w:tbl>
      <w:tblPr>
        <w:tblStyle w:val="Table"/>
        <w:tblW w:type="pct" w:w="5000"/>
        <w:tblLayout w:type="fixed"/>
        <w:tblLook w:firstRow="0" w:lastRow="0" w:firstColumn="0" w:lastColumn="0" w:noHBand="0" w:noVBand="0" w:val="0000"/>
      </w:tblPr>
      <w:tblGrid>
        <w:gridCol w:w="7920"/>
      </w:tblGrid>
      <w:tr>
        <w:tc>
          <w:tcPr/>
          <w:bookmarkStart w:id="36" w:name="fig-ghsl-worldpop"/>
          <w:p>
            <w:pPr>
              <w:pStyle w:val="Compact"/>
              <w:jc w:val="center"/>
            </w:pPr>
            <w:r>
              <w:drawing>
                <wp:inline>
                  <wp:extent cx="5969000" cy="2984500"/>
                  <wp:effectExtent b="0" l="0" r="0" t="0"/>
                  <wp:docPr descr="" title="" id="34" name="Picture"/>
                  <a:graphic>
                    <a:graphicData uri="http://schemas.openxmlformats.org/drawingml/2006/picture">
                      <pic:pic>
                        <pic:nvPicPr>
                          <pic:cNvPr descr="results/figure_3.png" id="35" name="Picture"/>
                          <pic:cNvPicPr>
                            <a:picLocks noChangeArrowheads="1" noChangeAspect="1"/>
                          </pic:cNvPicPr>
                        </pic:nvPicPr>
                        <pic:blipFill>
                          <a:blip r:embed="rId33"/>
                          <a:stretch>
                            <a:fillRect/>
                          </a:stretch>
                        </pic:blipFill>
                        <pic:spPr bwMode="auto">
                          <a:xfrm>
                            <a:off x="0" y="0"/>
                            <a:ext cx="5969000" cy="2984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Comparison of GHSL and WorldPop estimates of the share of national population living inside protected areas and inside or within 10 km of protected areas in 2020. Estimates are for 75 low- and lower-middle-income countries excluding India. The dashed line indicates 1:1 agreement. The inside-PA panel is systematically shifted upward relative to that line, whereas the broader 10 km perimeter is closer to parity.</w:t>
            </w:r>
          </w:p>
          <w:bookmarkEnd w:id="36"/>
        </w:tc>
      </w:tr>
    </w:tbl>
    <w:p>
      <w:pPr>
        <w:pStyle w:val="Corpsdetexte"/>
      </w:pPr>
      <w:r>
        <w:t xml:space="preserve">For populations inside PAs, 64 of 75 country estimates lie above the 1:1 line, with a median WorldPop-to-GHSL ratio of 1.87 and a median difference of 0.77 percentage points. For the broader 10 km buffer perimeter, the asymmetry is weaker: 43 of 75 estimates lie above the line, the median ratio is 1.01, and the median difference is 0.2 percentage points. The likely reason is that the very small absolute population counts inside PAs amplify relative differences between the two datasets’ spatial allocation models.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bookmarkEnd w:id="37"/>
    <w:bookmarkEnd w:id="38"/>
    <w:bookmarkStart w:id="43" w:name="discussion"/>
    <w:p>
      <w:pPr>
        <w:pStyle w:val="Titre1"/>
      </w:pPr>
      <w:r>
        <w:t xml:space="preserve">Discussion</w:t>
      </w:r>
    </w:p>
    <w:bookmarkStart w:id="39" w:name="X23fae57bef187af3632e76b5956525c1b434363"/>
    <w:p>
      <w:pPr>
        <w:pStyle w:val="Titre2"/>
      </w:pPr>
      <w:r>
        <w:t xml:space="preserve">Demographic scale and the impact evaluation literature</w:t>
      </w:r>
    </w:p>
    <w:p>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pPr>
        <w:pStyle w:val="Corpsdetexte"/>
      </w:pPr>
      <w:r>
        <w:t xml:space="preserve">These population orders of magnitude are absent from the impact evaluation literature – whether in meta-analyses such as Kandel et al.</w:t>
      </w:r>
      <w:r>
        <w:t xml:space="preserve"> </w:t>
      </w:r>
      <w:r>
        <w:t xml:space="preserve">(2022)</w:t>
      </w:r>
      <w:r>
        <w:t xml:space="preserve"> </w:t>
      </w:r>
      <w:r>
        <w:t xml:space="preserve">or in large-scale assessments such as Naidoo et al.</w:t>
      </w:r>
      <w:r>
        <w:t xml:space="preserve"> </w:t>
      </w:r>
      <w:r>
        <w:t xml:space="preserve">(2019)</w:t>
      </w:r>
      <w:r>
        <w:t xml:space="preserve"> </w:t>
      </w:r>
      <w:r>
        <w:t xml:space="preserve">and Fisher et al.</w:t>
      </w:r>
      <w:r>
        <w:t xml:space="preserve"> </w:t>
      </w:r>
      <w:r>
        <w:t xml:space="preserve">(2024)</w:t>
      </w:r>
      <w:r>
        <w:t xml:space="preserve"> </w:t>
      </w:r>
      <w:r>
        <w:t xml:space="preserve">–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pPr>
        <w:pStyle w:val="Corpsdetexte"/>
      </w:pPr>
      <w:r>
        <w:t xml:space="preserve">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w:t>
      </w:r>
      <w:r>
        <w:t xml:space="preserve"> </w:t>
      </w:r>
      <w:r>
        <w:t xml:space="preserve">“local population”</w:t>
      </w:r>
      <w:r>
        <w:t xml:space="preserve"> </w:t>
      </w:r>
      <w:r>
        <w:t xml:space="preserve">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bookmarkEnd w:id="39"/>
    <w:bookmarkStart w:id="40" w:name="Xad345af1928c08f50fdd1e93684be9043fa7711"/>
    <w:p>
      <w:pPr>
        <w:pStyle w:val="Titre2"/>
      </w:pPr>
      <w:r>
        <w:t xml:space="preserve">PA categories matter for interpreting impacts</w:t>
      </w:r>
    </w:p>
    <w:p>
      <w:pPr>
        <w:pStyle w:val="FirstParagraph"/>
      </w:pPr>
      <w:r>
        <w:t xml:space="preserve">The decomposition by IUCN management category reveals that populations adjacent to non-strict PAs (IUCN IV-VI) exceed those adjacent to strict protection regimes (IUCN I-III). This pattern held in both 2000 and 2020.</w:t>
      </w:r>
    </w:p>
    <w:p>
      <w:pPr>
        <w:pStyle w:val="Corpsdetexte"/>
      </w:pPr>
      <w:r>
        <w:t xml:space="preserve">This has direct relevance for interpreting impact evaluation results. The term</w:t>
      </w:r>
      <w:r>
        <w:t xml:space="preserve"> </w:t>
      </w:r>
      <w:r>
        <w:t xml:space="preserve">“protected area”</w:t>
      </w:r>
      <w:r>
        <w:t xml:space="preserve"> </w:t>
      </w:r>
      <w:r>
        <w:t xml:space="preserve">encompasses management regimes with vastly different implications for local populations – from national parks that prohibit entry to community conservation areas that allow resource extraction – yet comparisons of impacts across management categories remain rare</w:t>
      </w:r>
      <w:r>
        <w:t xml:space="preserve"> </w:t>
      </w:r>
      <w:r>
        <w:t xml:space="preserve">(Kandel et al. 2022; Oldekop et al. 2016)</w:t>
      </w:r>
      <w:r>
        <w:t xml:space="preserve">.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w:t>
      </w:r>
      <w:r>
        <w:t xml:space="preserve"> </w:t>
      </w:r>
      <w:r>
        <w:rPr>
          <w:i/>
          <w:iCs/>
        </w:rPr>
        <w:t xml:space="preserve">inside</w:t>
      </w:r>
      <w:r>
        <w:t xml:space="preserve"> </w:t>
      </w:r>
      <w:r>
        <w:t xml:space="preserve">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w:t>
      </w:r>
      <w:r>
        <w:t xml:space="preserve"> </w:t>
      </w:r>
      <w:r>
        <w:t xml:space="preserve">(Kittle et al. 2018)</w:t>
      </w:r>
      <w:r>
        <w:t xml:space="preserve">.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pPr>
        <w:pStyle w:val="Corpsdetexte"/>
      </w:pPr>
      <w:r>
        <w:t xml:space="preserve">Assessing what these different management regimes imply for local welfare is the domain of impact evaluation studies, not the purpose of this paper. What we document is that the population living near PAs is larger around non-strict protection regimes.</w:t>
      </w:r>
    </w:p>
    <w:bookmarkEnd w:id="40"/>
    <w:bookmarkStart w:id="41" w:name="data-limitations"/>
    <w:p>
      <w:pPr>
        <w:pStyle w:val="Titre2"/>
      </w:pPr>
      <w:r>
        <w:t xml:space="preserve">Data limitations</w:t>
      </w:r>
    </w:p>
    <w:p>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w:t>
      </w:r>
      <w:r>
        <w:t xml:space="preserve"> </w:t>
      </w:r>
      <w:r>
        <w:t xml:space="preserve">(2020)</w:t>
      </w:r>
      <w:r>
        <w:t xml:space="preserve"> </w:t>
      </w:r>
      <w:r>
        <w:t xml:space="preserve">evaluated four global gridded datasets and found that GHSL exhibited the closest correspondence to administrative census totals, while WorldPop showed larger deviations from census totals but high spatial consistency with other datasets. We use GHSL as our primary dataset and WorldPop as a robustness check. Figure 3 shows that the two datasets remain close for the broader 10 km zone, but that WorldPop tends to produce higher population shares inside PAs than GHSL. We cannot identify the precise cause from our data alone, but this pattern is consistent with documented differences in the products’ spatial-allocation methods and in their treatment of sparse populations</w:t>
      </w:r>
      <w:r>
        <w:t xml:space="preserve"> </w:t>
      </w:r>
      <w:r>
        <w:t xml:space="preserve">(Leyk et al. 2019; Thomson et al. 2022)</w:t>
      </w:r>
      <w:r>
        <w:t xml:space="preserve">. This asymmetry does not alter the order-of-magnitude conclusion that protected areas in LMICs are adjacent to populations numbering in the hundreds of millions, even if point estimates for individual countries may differ.</w:t>
      </w:r>
    </w:p>
    <w:p>
      <w:pPr>
        <w:pStyle w:val="Corpsdetexte"/>
      </w:pPr>
      <w:r>
        <w:t xml:space="preserve">The exclusion of India deserves further comment. India accounts for approximately 36% of the total LMIC population, and its actual PA network – 900 nationally designated sites, for a terrestrial coverage of approximately 7.7%</w:t>
      </w:r>
      <w:r>
        <w:t xml:space="preserve"> </w:t>
      </w:r>
      <w:r>
        <w:t xml:space="preserve">(UNEP-WCMC 2026)</w:t>
      </w:r>
      <w:r>
        <w:t xml:space="preserve"> </w:t>
      </w:r>
      <w:r>
        <w:t xml:space="preserve">– is substantial. However, India has restricted public access to these data in the WDPA, making only internationally designated sites (Ramsar wetlands, World Heritage sites) available, covering less than 1% of Indian territory. This data restriction has been documented: Wani et al.</w:t>
      </w:r>
      <w:r>
        <w:t xml:space="preserve"> </w:t>
      </w:r>
      <w:r>
        <w:t xml:space="preserve">(2025)</w:t>
      </w:r>
      <w:r>
        <w:t xml:space="preserve"> </w:t>
      </w:r>
      <w:r>
        <w:t xml:space="preserve">note that India has stated the process of making its data publicly accessible is in progress, and Zhang et al.</w:t>
      </w:r>
      <w:r>
        <w:t xml:space="preserve"> </w:t>
      </w:r>
      <w:r>
        <w:t xml:space="preserve">(2025)</w:t>
      </w:r>
      <w:r>
        <w:t xml:space="preserve"> </w:t>
      </w:r>
      <w:r>
        <w:t xml:space="preserve">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pPr>
        <w:pStyle w:val="Corpsdetexte"/>
      </w:pPr>
      <w:r>
        <w:t xml:space="preserve">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bookmarkEnd w:id="41"/>
    <w:bookmarkStart w:id="42" w:name="scope-and-interpretive-boundaries"/>
    <w:p>
      <w:pPr>
        <w:pStyle w:val="Titre2"/>
      </w:pPr>
      <w:r>
        <w:t xml:space="preserve">Scope and interpretive boundaries</w:t>
      </w:r>
    </w:p>
    <w:p>
      <w:pPr>
        <w:pStyle w:val="FirstParagraph"/>
      </w:pPr>
      <w:r>
        <w:t xml:space="preserve">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pPr>
        <w:pStyle w:val="Corpsdetexte"/>
      </w:pPr>
      <w:r>
        <w:t xml:space="preserve">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pPr>
        <w:pStyle w:val="Corpsdetexte"/>
      </w:pPr>
      <w:r>
        <w:t xml:space="preserve">The paper does not claim that spatial proximity constitutes</w:t>
      </w:r>
      <w:r>
        <w:t xml:space="preserve"> </w:t>
      </w:r>
      <w:r>
        <w:t xml:space="preserve">“being affected by”</w:t>
      </w:r>
      <w:r>
        <w:t xml:space="preserve"> </w:t>
      </w:r>
      <w:r>
        <w:t xml:space="preserve">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pPr>
        <w:pStyle w:val="Corpsdetexte"/>
      </w:pPr>
      <w:r>
        <w:t xml:space="preserve">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w:t>
      </w:r>
      <w:r>
        <w:t xml:space="preserve"> </w:t>
      </w:r>
      <w:r>
        <w:t xml:space="preserve">(United Nations Department of Economic and Social Affairs 2021)</w:t>
      </w:r>
      <w:r>
        <w:t xml:space="preserve"> </w:t>
      </w:r>
      <w:r>
        <w:t xml:space="preserve">- are disproportionately represented among populations living within or adjacent to protected areas, and often bear the most direct consequences of conservation management</w:t>
      </w:r>
      <w:r>
        <w:t xml:space="preserve"> </w:t>
      </w:r>
      <w:r>
        <w:t xml:space="preserve">(Schleicher et al. 2019)</w:t>
      </w:r>
      <w:r>
        <w:t xml:space="preserve">.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bookmarkEnd w:id="42"/>
    <w:bookmarkEnd w:id="43"/>
    <w:bookmarkStart w:id="44" w:name="conclusion"/>
    <w:p>
      <w:pPr>
        <w:pStyle w:val="Titre1"/>
      </w:pPr>
      <w:r>
        <w:t xml:space="preserve">Conclusion</w:t>
      </w:r>
    </w:p>
    <w:p>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pPr>
        <w:pStyle w:val="Corpsdetexte"/>
      </w:pPr>
      <w:r>
        <w:t xml:space="preserve">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r>
        <w:br w:type="page"/>
      </w:r>
    </w:p>
    <w:bookmarkEnd w:id="44"/>
    <w:bookmarkStart w:id="111" w:name="bibliography"/>
    <w:p>
      <w:pPr>
        <w:pStyle w:val="Titre1"/>
      </w:pPr>
      <w:r>
        <w:t xml:space="preserve">Bibliography</w:t>
      </w:r>
    </w:p>
    <w:bookmarkStart w:id="110" w:name="refs"/>
    <w:bookmarkStart w:id="46" w:name="ref-adams2004"/>
    <w:p>
      <w:pPr>
        <w:pStyle w:val="Bibliographie"/>
      </w:pPr>
      <w:r>
        <w:t xml:space="preserve">Adams, William. M., Ros Aveling, Dan Brockington, et al.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5">
        <w:r>
          <w:rPr>
            <w:rStyle w:val="Lienhypertexte"/>
          </w:rPr>
          <w:t xml:space="preserve">https://doi.org/10.1126/science.1097920</w:t>
        </w:r>
      </w:hyperlink>
      <w:r>
        <w:t xml:space="preserve">.</w:t>
      </w:r>
    </w:p>
    <w:bookmarkEnd w:id="46"/>
    <w:bookmarkStart w:id="48"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47">
        <w:r>
          <w:rPr>
            <w:rStyle w:val="Lienhypertexte"/>
          </w:rPr>
          <w:t xml:space="preserve">https://doi.org/10.1007/978-3-032-10004-7_8</w:t>
        </w:r>
      </w:hyperlink>
      <w:r>
        <w:t xml:space="preserve">.</w:t>
      </w:r>
    </w:p>
    <w:bookmarkEnd w:id="48"/>
    <w:bookmarkStart w:id="50"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49">
        <w:r>
          <w:rPr>
            <w:rStyle w:val="Lienhypertexte"/>
          </w:rPr>
          <w:t xml:space="preserve">https://isciences.gitlab.io/exactextractr/</w:t>
        </w:r>
      </w:hyperlink>
      <w:r>
        <w:t xml:space="preserve">.</w:t>
      </w:r>
    </w:p>
    <w:bookmarkEnd w:id="50"/>
    <w:bookmarkStart w:id="52" w:name="ref-bingham2019"/>
    <w:p>
      <w:pPr>
        <w:pStyle w:val="Bibliographie"/>
      </w:pPr>
      <w:r>
        <w:t xml:space="preserve">Bingham, Heather C., Diego Juffe Bignoli, Edward Lewis, et al.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51">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52"/>
    <w:bookmarkStart w:id="53"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World Bank.</w:t>
      </w:r>
    </w:p>
    <w:bookmarkEnd w:id="53"/>
    <w:bookmarkStart w:id="55"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4">
        <w:r>
          <w:rPr>
            <w:rStyle w:val="Lienhypertexte"/>
          </w:rPr>
          <w:t xml:space="preserve">https://doi.org/10.1016/j.worlddev.2017.08.002</w:t>
        </w:r>
      </w:hyperlink>
      <w:r>
        <w:t xml:space="preserve">.</w:t>
      </w:r>
    </w:p>
    <w:bookmarkEnd w:id="55"/>
    <w:bookmarkStart w:id="57"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6">
        <w:r>
          <w:rPr>
            <w:rStyle w:val="Lienhypertexte"/>
          </w:rPr>
          <w:t xml:space="preserve">https://doi.org/10.3390/ijgi9110637</w:t>
        </w:r>
      </w:hyperlink>
      <w:r>
        <w:t xml:space="preserve">.</w:t>
      </w:r>
    </w:p>
    <w:bookmarkEnd w:id="57"/>
    <w:bookmarkStart w:id="59"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8">
        <w:r>
          <w:rPr>
            <w:rStyle w:val="Lienhypertexte"/>
          </w:rPr>
          <w:t xml:space="preserve">https://doi.org/10.1111/brv.12044</w:t>
        </w:r>
      </w:hyperlink>
      <w:r>
        <w:t xml:space="preserve">.</w:t>
      </w:r>
    </w:p>
    <w:bookmarkEnd w:id="59"/>
    <w:bookmarkStart w:id="61" w:name="ref-cbd2022"/>
    <w:p>
      <w:pPr>
        <w:pStyle w:val="Bibliographie"/>
      </w:pPr>
      <w:r>
        <w:t xml:space="preserve">Convention on Biological Diversity. 2022.</w:t>
      </w:r>
      <w:r>
        <w:t xml:space="preserve"> </w:t>
      </w:r>
      <w:r>
        <w:t xml:space="preserve">“Kunming-</w:t>
      </w:r>
      <w:r>
        <w:t xml:space="preserve">Montreal</w:t>
      </w:r>
      <w:r>
        <w:t xml:space="preserve"> </w:t>
      </w:r>
      <w:r>
        <w:t xml:space="preserve">Global</w:t>
      </w:r>
      <w:r>
        <w:t xml:space="preserve"> </w:t>
      </w:r>
      <w:r>
        <w:t xml:space="preserve">Biodiversity</w:t>
      </w:r>
      <w:r>
        <w:t xml:space="preserve"> </w:t>
      </w:r>
      <w:r>
        <w:t xml:space="preserve">Framework</w:t>
      </w:r>
      <w:r>
        <w:t xml:space="preserve">.”</w:t>
      </w:r>
      <w:r>
        <w:t xml:space="preserve"> </w:t>
      </w:r>
      <w:r>
        <w:rPr>
          <w:i/>
          <w:iCs/>
        </w:rPr>
        <w:t xml:space="preserve">Convention</w:t>
      </w:r>
      <w:r>
        <w:rPr>
          <w:i/>
          <w:iCs/>
        </w:rPr>
        <w:t xml:space="preserve"> </w:t>
      </w:r>
      <w:r>
        <w:rPr>
          <w:i/>
          <w:iCs/>
        </w:rPr>
        <w:t xml:space="preserve">Biol</w:t>
      </w:r>
      <w:r>
        <w:rPr>
          <w:i/>
          <w:iCs/>
        </w:rPr>
        <w:t xml:space="preserve">.</w:t>
      </w:r>
      <w:r>
        <w:rPr>
          <w:i/>
          <w:iCs/>
        </w:rPr>
        <w:t xml:space="preserve"> </w:t>
      </w:r>
      <w:r>
        <w:rPr>
          <w:i/>
          <w:iCs/>
        </w:rPr>
        <w:t xml:space="preserve">Divers</w:t>
      </w:r>
      <w:r>
        <w:rPr>
          <w:i/>
          <w:iCs/>
        </w:rPr>
        <w:t xml:space="preserve">.</w:t>
      </w:r>
      <w:r>
        <w:rPr>
          <w:i/>
          <w:iCs/>
        </w:rPr>
        <w:t xml:space="preserve"> </w:t>
      </w:r>
      <w:r>
        <w:rPr>
          <w:i/>
          <w:iCs/>
        </w:rPr>
        <w:t xml:space="preserve">Kunming</w:t>
      </w:r>
      <w:r>
        <w:rPr>
          <w:i/>
          <w:iCs/>
        </w:rPr>
        <w:t xml:space="preserve">-</w:t>
      </w:r>
      <w:r>
        <w:rPr>
          <w:i/>
          <w:iCs/>
        </w:rPr>
        <w:t xml:space="preserve">Montreal</w:t>
      </w:r>
      <w:r>
        <w:rPr>
          <w:i/>
          <w:iCs/>
        </w:rPr>
        <w:t xml:space="preserve"> </w:t>
      </w:r>
      <w:r>
        <w:rPr>
          <w:i/>
          <w:iCs/>
        </w:rPr>
        <w:t xml:space="preserve">Glob</w:t>
      </w:r>
      <w:r>
        <w:rPr>
          <w:i/>
          <w:iCs/>
        </w:rPr>
        <w:t xml:space="preserve">.</w:t>
      </w:r>
      <w:r>
        <w:rPr>
          <w:i/>
          <w:iCs/>
        </w:rPr>
        <w:t xml:space="preserve"> </w:t>
      </w:r>
      <w:r>
        <w:rPr>
          <w:i/>
          <w:iCs/>
        </w:rPr>
        <w:t xml:space="preserve">Biodivers</w:t>
      </w:r>
      <w:r>
        <w:rPr>
          <w:i/>
          <w:iCs/>
        </w:rPr>
        <w:t xml:space="preserve">.</w:t>
      </w:r>
      <w:r>
        <w:rPr>
          <w:i/>
          <w:iCs/>
        </w:rPr>
        <w:t xml:space="preserve"> </w:t>
      </w:r>
      <w:r>
        <w:rPr>
          <w:i/>
          <w:iCs/>
        </w:rPr>
        <w:t xml:space="preserve">Framew</w:t>
      </w:r>
      <w:r>
        <w:rPr>
          <w:i/>
          <w:iCs/>
        </w:rPr>
        <w:t xml:space="preserve">.(cbd. Int)</w:t>
      </w:r>
      <w:r>
        <w:t xml:space="preserve"> </w:t>
      </w:r>
      <w:r>
        <w:t xml:space="preserve">CBD/COP/15/L.25.</w:t>
      </w:r>
      <w:r>
        <w:t xml:space="preserve"> </w:t>
      </w:r>
      <w:hyperlink r:id="rId60">
        <w:r>
          <w:rPr>
            <w:rStyle w:val="Lienhypertexte"/>
          </w:rPr>
          <w:t xml:space="preserve">https://seea.un.org/sites/seea.un.org/files/unsc_presentation_jillian_campbell_0.pdf</w:t>
        </w:r>
      </w:hyperlink>
      <w:r>
        <w:t xml:space="preserve">.</w:t>
      </w:r>
    </w:p>
    <w:bookmarkEnd w:id="61"/>
    <w:bookmarkStart w:id="63" w:name="ref-fisher2024"/>
    <w:p>
      <w:pPr>
        <w:pStyle w:val="Bibliographie"/>
      </w:pPr>
      <w:r>
        <w:t xml:space="preserve">Fisher, Joshua, Summer Allen, Greg Yetman, and Linda Pistolesi. 2024.</w:t>
      </w:r>
      <w:r>
        <w:t xml:space="preserve"> </w:t>
      </w:r>
      <w:r>
        <w:t xml:space="preserve">“Assessing the Influence of Landscape Conservation and Protected Areas on Social Wellbeing Using Random Forest Machine Learning.”</w:t>
      </w:r>
      <w:r>
        <w:t xml:space="preserve"> </w:t>
      </w:r>
      <w:r>
        <w:rPr>
          <w:i/>
          <w:iCs/>
        </w:rPr>
        <w:t xml:space="preserve">Scientific Reports</w:t>
      </w:r>
      <w:r>
        <w:t xml:space="preserve"> </w:t>
      </w:r>
      <w:r>
        <w:t xml:space="preserve">14 (1): 11357.</w:t>
      </w:r>
      <w:r>
        <w:t xml:space="preserve"> </w:t>
      </w:r>
      <w:hyperlink r:id="rId62">
        <w:r>
          <w:rPr>
            <w:rStyle w:val="Lienhypertexte"/>
          </w:rPr>
          <w:t xml:space="preserve">https://doi.org/10.1038/s41598-024-61924-4</w:t>
        </w:r>
      </w:hyperlink>
      <w:r>
        <w:t xml:space="preserve">.</w:t>
      </w:r>
    </w:p>
    <w:bookmarkEnd w:id="63"/>
    <w:bookmarkStart w:id="64"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4"/>
    <w:bookmarkStart w:id="66"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5">
        <w:r>
          <w:rPr>
            <w:rStyle w:val="Lienhypertexte"/>
          </w:rPr>
          <w:t xml:space="preserve">https://www.sciencedirect.com/science/article/pii/S0034425717302900</w:t>
        </w:r>
      </w:hyperlink>
      <w:r>
        <w:t xml:space="preserve">.</w:t>
      </w:r>
    </w:p>
    <w:bookmarkEnd w:id="66"/>
    <w:bookmarkStart w:id="68"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7">
        <w:r>
          <w:rPr>
            <w:rStyle w:val="Lienhypertexte"/>
          </w:rPr>
          <w:t xml:space="preserve">https://doi.org/10.21105/joss.04594</w:t>
        </w:r>
      </w:hyperlink>
      <w:r>
        <w:t xml:space="preserve">.</w:t>
      </w:r>
    </w:p>
    <w:bookmarkEnd w:id="68"/>
    <w:bookmarkStart w:id="70" w:name="ref-terra"/>
    <w:p>
      <w:pPr>
        <w:pStyle w:val="Bibliographie"/>
      </w:pPr>
      <w:r>
        <w:t xml:space="preserve">Hijmans, Robert J. 2025.</w:t>
      </w:r>
      <w:r>
        <w:t xml:space="preserve"> </w:t>
      </w:r>
      <w:r>
        <w:rPr>
          <w:i/>
          <w:iCs/>
        </w:rPr>
        <w:t xml:space="preserve">Terra: Spatial Data Analysis</w:t>
      </w:r>
      <w:r>
        <w:t xml:space="preserve">.</w:t>
      </w:r>
      <w:r>
        <w:t xml:space="preserve"> </w:t>
      </w:r>
      <w:hyperlink r:id="rId69">
        <w:r>
          <w:rPr>
            <w:rStyle w:val="Lienhypertexte"/>
          </w:rPr>
          <w:t xml:space="preserve">https://rspatial.org/</w:t>
        </w:r>
      </w:hyperlink>
      <w:r>
        <w:t xml:space="preserve">.</w:t>
      </w:r>
    </w:p>
    <w:bookmarkEnd w:id="70"/>
    <w:bookmarkStart w:id="72"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1">
        <w:r>
          <w:rPr>
            <w:rStyle w:val="Lienhypertexte"/>
          </w:rPr>
          <w:t xml:space="preserve">https://doi.org/10.1016/j.worlddev.2022.106024</w:t>
        </w:r>
      </w:hyperlink>
      <w:r>
        <w:t xml:space="preserve">.</w:t>
      </w:r>
    </w:p>
    <w:bookmarkEnd w:id="72"/>
    <w:bookmarkStart w:id="74" w:name="ref-kittle2018"/>
    <w:p>
      <w:pPr>
        <w:pStyle w:val="Bibliographie"/>
      </w:pPr>
      <w:r>
        <w:t xml:space="preserve">Kittle, Andrew M., Anjali C. Watson, Samuel A. Cushman, and David W. Macdonald. 2018.</w:t>
      </w:r>
      <w:r>
        <w:t xml:space="preserve"> </w:t>
      </w:r>
      <w:r>
        <w:t xml:space="preserve">“Forest Cover and Level of Protection Influence the Island-Wide Distribution of an Apex Carnivore and Umbrella Species, the</w:t>
      </w:r>
      <w:r>
        <w:t xml:space="preserve"> </w:t>
      </w:r>
      <w:r>
        <w:t xml:space="preserve">Sri Lankan</w:t>
      </w:r>
      <w:r>
        <w:t xml:space="preserve"> </w:t>
      </w:r>
      <w:r>
        <w:t xml:space="preserve">Leopard (</w:t>
      </w:r>
      <w:r>
        <w:t xml:space="preserve">Panthera pardus kotiya</w:t>
      </w:r>
      <w:r>
        <w:t xml:space="preserve">).”</w:t>
      </w:r>
      <w:r>
        <w:t xml:space="preserve"> </w:t>
      </w:r>
      <w:r>
        <w:rPr>
          <w:i/>
          <w:iCs/>
        </w:rPr>
        <w:t xml:space="preserve">Biodiversity and Conservation</w:t>
      </w:r>
      <w:r>
        <w:t xml:space="preserve"> </w:t>
      </w:r>
      <w:r>
        <w:t xml:space="preserve">27 (1): 235–63.</w:t>
      </w:r>
      <w:r>
        <w:t xml:space="preserve"> </w:t>
      </w:r>
      <w:hyperlink r:id="rId73">
        <w:r>
          <w:rPr>
            <w:rStyle w:val="Lienhypertexte"/>
          </w:rPr>
          <w:t xml:space="preserve">https://doi.org/10.1007/s10531-017-1431-8</w:t>
        </w:r>
      </w:hyperlink>
      <w:r>
        <w:t xml:space="preserve">.</w:t>
      </w:r>
    </w:p>
    <w:bookmarkEnd w:id="74"/>
    <w:bookmarkStart w:id="76" w:name="ref-leberger2020"/>
    <w:p>
      <w:pPr>
        <w:pStyle w:val="Bibliographie"/>
      </w:pPr>
      <w:r>
        <w:t xml:space="preserve">Leberger, Roxanne, Isabel M. D. Rosa, Carlos A. Guerra, Florian Wolf, and Henrique M. Pereira. 2020.</w:t>
      </w:r>
      <w:r>
        <w:t xml:space="preserve"> </w:t>
      </w:r>
      <w:r>
        <w:t xml:space="preserve">“Global Patterns of Forest Loss Across</w:t>
      </w:r>
      <w:r>
        <w:t xml:space="preserve"> </w:t>
      </w:r>
      <w:r>
        <w:t xml:space="preserve">IUCN</w:t>
      </w:r>
      <w:r>
        <w:t xml:space="preserve"> </w:t>
      </w:r>
      <w:r>
        <w:t xml:space="preserve">Categories of Protected Areas.”</w:t>
      </w:r>
      <w:r>
        <w:t xml:space="preserve"> </w:t>
      </w:r>
      <w:r>
        <w:rPr>
          <w:i/>
          <w:iCs/>
        </w:rPr>
        <w:t xml:space="preserve">Biological Conservation</w:t>
      </w:r>
      <w:r>
        <w:t xml:space="preserve"> </w:t>
      </w:r>
      <w:r>
        <w:t xml:space="preserve">241 (January): 108299.</w:t>
      </w:r>
      <w:r>
        <w:t xml:space="preserve"> </w:t>
      </w:r>
      <w:hyperlink r:id="rId75">
        <w:r>
          <w:rPr>
            <w:rStyle w:val="Lienhypertexte"/>
          </w:rPr>
          <w:t xml:space="preserve">https://doi.org/10.1016/j.biocon.2019.108299</w:t>
        </w:r>
      </w:hyperlink>
      <w:r>
        <w:t xml:space="preserve">.</w:t>
      </w:r>
    </w:p>
    <w:bookmarkEnd w:id="76"/>
    <w:bookmarkStart w:id="78" w:name="ref-leyk2019"/>
    <w:p>
      <w:pPr>
        <w:pStyle w:val="Bibliographie"/>
      </w:pPr>
      <w:r>
        <w:t xml:space="preserve">Leyk, Stefan, Andrea E. Gaughan, Susana B. Adamo, et al. 2019.</w:t>
      </w:r>
      <w:r>
        <w:t xml:space="preserve"> </w:t>
      </w:r>
      <w:r>
        <w:t xml:space="preserve">“The Spatial Allocation of Population: A Review of Large-Scale Gridded Population Data Products and Their Fitness for Use.”</w:t>
      </w:r>
      <w:r>
        <w:t xml:space="preserve"> </w:t>
      </w:r>
      <w:r>
        <w:rPr>
          <w:i/>
          <w:iCs/>
        </w:rPr>
        <w:t xml:space="preserve">Earth System Science Data</w:t>
      </w:r>
      <w:r>
        <w:t xml:space="preserve"> </w:t>
      </w:r>
      <w:r>
        <w:t xml:space="preserve">11 (3): 1385–409.</w:t>
      </w:r>
      <w:r>
        <w:t xml:space="preserve"> </w:t>
      </w:r>
      <w:hyperlink r:id="rId77">
        <w:r>
          <w:rPr>
            <w:rStyle w:val="Lienhypertexte"/>
          </w:rPr>
          <w:t xml:space="preserve">https://essd.copernicus.org/articles/11/1385/2019/essd-11-1385-2019.html</w:t>
        </w:r>
      </w:hyperlink>
      <w:r>
        <w:t xml:space="preserve">.</w:t>
      </w:r>
    </w:p>
    <w:bookmarkEnd w:id="78"/>
    <w:bookmarkStart w:id="79" w:name="ref-maxwell2020"/>
    <w:p>
      <w:pPr>
        <w:pStyle w:val="Bibliographie"/>
      </w:pPr>
      <w:r>
        <w:t xml:space="preserve">Maxwell, Sean L., Victor Cazalis, Nigel Dudley, et al.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79"/>
    <w:bookmarkStart w:id="81" w:name="ref-naidoo2019"/>
    <w:p>
      <w:pPr>
        <w:pStyle w:val="Bibliographie"/>
      </w:pPr>
      <w:r>
        <w:t xml:space="preserve">Naidoo, R., D. Gerkey, 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0">
        <w:r>
          <w:rPr>
            <w:rStyle w:val="Lienhypertexte"/>
          </w:rPr>
          <w:t xml:space="preserve">https://doi.org/10.1126/sciadv.aav3006</w:t>
        </w:r>
      </w:hyperlink>
      <w:r>
        <w:t xml:space="preserve">.</w:t>
      </w:r>
    </w:p>
    <w:bookmarkEnd w:id="81"/>
    <w:bookmarkStart w:id="82"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2"/>
    <w:bookmarkStart w:id="84"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83">
        <w:r>
          <w:rPr>
            <w:rStyle w:val="Lienhypertexte"/>
          </w:rPr>
          <w:t xml:space="preserve">https://doi.org/10.32614/RJ-2018-009</w:t>
        </w:r>
      </w:hyperlink>
      <w:r>
        <w:t xml:space="preserve">.</w:t>
      </w:r>
    </w:p>
    <w:bookmarkEnd w:id="84"/>
    <w:bookmarkStart w:id="86"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85">
        <w:r>
          <w:rPr>
            <w:rStyle w:val="Lienhypertexte"/>
          </w:rPr>
          <w:t xml:space="preserve">https://www.R-project.org/</w:t>
        </w:r>
      </w:hyperlink>
      <w:r>
        <w:t xml:space="preserve">.</w:t>
      </w:r>
    </w:p>
    <w:bookmarkEnd w:id="86"/>
    <w:bookmarkStart w:id="88"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7">
        <w:r>
          <w:rPr>
            <w:rStyle w:val="Lienhypertexte"/>
          </w:rPr>
          <w:t xml:space="preserve">https://doi.org/10.1371/journal.pone.0231866</w:t>
        </w:r>
      </w:hyperlink>
      <w:r>
        <w:t xml:space="preserve">.</w:t>
      </w:r>
    </w:p>
    <w:bookmarkEnd w:id="88"/>
    <w:bookmarkStart w:id="90" w:name="ref-schleicher2019"/>
    <w:p>
      <w:pPr>
        <w:pStyle w:val="Bibliographie"/>
      </w:pPr>
      <w:r>
        <w:t xml:space="preserve">Schleicher, Judith, Julie G. Zaehringer, Carine Fastré, Bhaskar Vira, and Terry C. H. Sunderland. 2019.</w:t>
      </w:r>
      <w:r>
        <w:t xml:space="preserve"> </w:t>
      </w:r>
      <w:r>
        <w:t xml:space="preserve">“Protecting Half of the Planet Could Directly Affect over One Billion People.”</w:t>
      </w:r>
      <w:r>
        <w:t xml:space="preserve"> </w:t>
      </w:r>
      <w:r>
        <w:rPr>
          <w:i/>
          <w:iCs/>
        </w:rPr>
        <w:t xml:space="preserve">Nature Sustainability</w:t>
      </w:r>
      <w:r>
        <w:t xml:space="preserve"> </w:t>
      </w:r>
      <w:r>
        <w:t xml:space="preserve">2: 1094–96.</w:t>
      </w:r>
      <w:r>
        <w:t xml:space="preserve"> </w:t>
      </w:r>
      <w:hyperlink r:id="rId89">
        <w:r>
          <w:rPr>
            <w:rStyle w:val="Lienhypertexte"/>
          </w:rPr>
          <w:t xml:space="preserve">https://doi.org/10.1038/s41893-019-0423-y</w:t>
        </w:r>
      </w:hyperlink>
      <w:r>
        <w:t xml:space="preserve">.</w:t>
      </w:r>
    </w:p>
    <w:bookmarkEnd w:id="90"/>
    <w:bookmarkStart w:id="92"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1">
        <w:r>
          <w:rPr>
            <w:rStyle w:val="Lienhypertexte"/>
          </w:rPr>
          <w:t xml:space="preserve">https://journals.plos.org/plosone/article?id=10.1371/journal.pone.0107042</w:t>
        </w:r>
      </w:hyperlink>
      <w:r>
        <w:t xml:space="preserve">.</w:t>
      </w:r>
    </w:p>
    <w:bookmarkEnd w:id="92"/>
    <w:bookmarkStart w:id="93" w:name="ref-thomson2022"/>
    <w:p>
      <w:pPr>
        <w:pStyle w:val="Bibliographie"/>
      </w:pPr>
      <w:r>
        <w:t xml:space="preserve">Thomson, Dana R, Douglas R Leasure, Tomas Bird, Nikos Tzavidis, and Andrew J Tatem. 2022.</w:t>
      </w:r>
      <w:r>
        <w:t xml:space="preserve"> </w:t>
      </w:r>
      <w:r>
        <w:t xml:space="preserve">“How Accurate Are WorldPop-Global-Unconstrained Gridded Population Data at the Cell-Level?: A Simulation Analysis in Urban Namibia.”</w:t>
      </w:r>
      <w:r>
        <w:t xml:space="preserve"> </w:t>
      </w:r>
      <w:r>
        <w:rPr>
          <w:i/>
          <w:iCs/>
        </w:rPr>
        <w:t xml:space="preserve">Plos One</w:t>
      </w:r>
      <w:r>
        <w:t xml:space="preserve"> </w:t>
      </w:r>
      <w:r>
        <w:t xml:space="preserve">17 (7): e0271504.</w:t>
      </w:r>
    </w:p>
    <w:bookmarkEnd w:id="93"/>
    <w:bookmarkStart w:id="95" w:name="ref-protectedplanet_india"/>
    <w:p>
      <w:pPr>
        <w:pStyle w:val="Bibliographie"/>
      </w:pPr>
      <w:r>
        <w:t xml:space="preserve">UNEP-WCMC. 2026.</w:t>
      </w:r>
      <w:r>
        <w:t xml:space="preserve"> </w:t>
      </w:r>
      <w:r>
        <w:rPr>
          <w:i/>
          <w:iCs/>
        </w:rPr>
        <w:t xml:space="preserve">Protected Area Profile for</w:t>
      </w:r>
      <w:r>
        <w:rPr>
          <w:i/>
          <w:iCs/>
        </w:rPr>
        <w:t xml:space="preserve"> </w:t>
      </w:r>
      <w:r>
        <w:rPr>
          <w:i/>
          <w:iCs/>
        </w:rPr>
        <w:t xml:space="preserve">India</w:t>
      </w:r>
      <w:r>
        <w:t xml:space="preserve">.</w:t>
      </w:r>
      <w:r>
        <w:t xml:space="preserve"> </w:t>
      </w:r>
      <w:hyperlink r:id="rId94">
        <w:r>
          <w:rPr>
            <w:rStyle w:val="Lienhypertexte"/>
          </w:rPr>
          <w:t xml:space="preserve">https://www.protectedplanet.net/country/IND</w:t>
        </w:r>
      </w:hyperlink>
      <w:r>
        <w:t xml:space="preserve">.</w:t>
      </w:r>
    </w:p>
    <w:bookmarkEnd w:id="95"/>
    <w:bookmarkStart w:id="96" w:name="ref-unep2021"/>
    <w:p>
      <w:pPr>
        <w:pStyle w:val="Bibliographie"/>
      </w:pPr>
      <w:r>
        <w:t xml:space="preserve">UNEP-WCMC and IUCN. 2021.</w:t>
      </w:r>
      <w:r>
        <w:t xml:space="preserve"> </w:t>
      </w:r>
      <w:r>
        <w:rPr>
          <w:i/>
          <w:iCs/>
        </w:rPr>
        <w:t xml:space="preserve">Protected Planet Report 2021</w:t>
      </w:r>
      <w:r>
        <w:t xml:space="preserve">. UNEP-WCMC; IUCN.</w:t>
      </w:r>
    </w:p>
    <w:bookmarkEnd w:id="96"/>
    <w:bookmarkStart w:id="97" w:name="ref-unep2024"/>
    <w:p>
      <w:pPr>
        <w:pStyle w:val="Bibliographie"/>
      </w:pPr>
      <w:r>
        <w:t xml:space="preserve">UNEP-WCMC and IUCN. 2024.</w:t>
      </w:r>
      <w:r>
        <w:t xml:space="preserve"> </w:t>
      </w:r>
      <w:r>
        <w:rPr>
          <w:i/>
          <w:iCs/>
        </w:rPr>
        <w:t xml:space="preserve">Protected Planet Report 2024</w:t>
      </w:r>
      <w:r>
        <w:t xml:space="preserve">. UNEP-WCMC; IUCN.</w:t>
      </w:r>
    </w:p>
    <w:bookmarkEnd w:id="97"/>
    <w:bookmarkStart w:id="99"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98">
        <w:r>
          <w:rPr>
            <w:rStyle w:val="Lienhypertexte"/>
          </w:rPr>
          <w:t xml:space="preserve">www.protectedplanet.net</w:t>
        </w:r>
      </w:hyperlink>
      <w:r>
        <w:t xml:space="preserve">.</w:t>
      </w:r>
    </w:p>
    <w:bookmarkEnd w:id="99"/>
    <w:bookmarkStart w:id="101" w:name="ref-undesa2021"/>
    <w:p>
      <w:pPr>
        <w:pStyle w:val="Bibliographie"/>
      </w:pPr>
      <w:r>
        <w:t xml:space="preserve">United Nations Department of Economic and Social Affairs. 2021.</w:t>
      </w:r>
      <w:r>
        <w:t xml:space="preserve"> </w:t>
      </w:r>
      <w:r>
        <w:rPr>
          <w:i/>
          <w:iCs/>
        </w:rPr>
        <w:t xml:space="preserve">State of the World’s Indigenous Peoples</w:t>
      </w:r>
      <w:r>
        <w:t xml:space="preserve">. 5th ed. United Nations.</w:t>
      </w:r>
      <w:r>
        <w:t xml:space="preserve"> </w:t>
      </w:r>
      <w:hyperlink r:id="rId100">
        <w:r>
          <w:rPr>
            <w:rStyle w:val="Lienhypertexte"/>
          </w:rPr>
          <w:t xml:space="preserve">https://www.un.org/development/desa/indigenouspeoples/publications/state-of-the-worlds-indigenous-peoples.html</w:t>
        </w:r>
      </w:hyperlink>
      <w:r>
        <w:t xml:space="preserve">.</w:t>
      </w:r>
    </w:p>
    <w:bookmarkEnd w:id="101"/>
    <w:bookmarkStart w:id="103"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2">
        <w:r>
          <w:rPr>
            <w:rStyle w:val="Lienhypertexte"/>
          </w:rPr>
          <w:t xml:space="preserve">https://papers.ssrn.com/sol3/papers.cfm?abstract_id=3100742</w:t>
        </w:r>
      </w:hyperlink>
      <w:r>
        <w:t xml:space="preserve">.</w:t>
      </w:r>
    </w:p>
    <w:bookmarkEnd w:id="103"/>
    <w:bookmarkStart w:id="105" w:name="ref-wani2025"/>
    <w:p>
      <w:pPr>
        <w:pStyle w:val="Bibliographie"/>
      </w:pPr>
      <w:r>
        <w:t xml:space="preserve">Wani, Zubair A., Lal Singh, Sanjay Uniyal, Sunil Kumar Rana, Indra D. Bhatt, and Sunil Nautiyal. 2025.</w:t>
      </w:r>
      <w:r>
        <w:t xml:space="preserve"> </w:t>
      </w:r>
      <w:r>
        <w:t xml:space="preserve">“Improving Ecosystem Vitality in</w:t>
      </w:r>
      <w:r>
        <w:t xml:space="preserve"> </w:t>
      </w:r>
      <w:r>
        <w:t xml:space="preserve">India</w:t>
      </w:r>
      <w:r>
        <w:t xml:space="preserve">: Overcoming Barriers to Meet National and International Targets.”</w:t>
      </w:r>
      <w:r>
        <w:t xml:space="preserve"> </w:t>
      </w:r>
      <w:r>
        <w:rPr>
          <w:i/>
          <w:iCs/>
        </w:rPr>
        <w:t xml:space="preserve">Environmental Sustainability</w:t>
      </w:r>
      <w:r>
        <w:t xml:space="preserve"> </w:t>
      </w:r>
      <w:r>
        <w:t xml:space="preserve">8 (1): 17–29.</w:t>
      </w:r>
      <w:r>
        <w:t xml:space="preserve"> </w:t>
      </w:r>
      <w:hyperlink r:id="rId104">
        <w:r>
          <w:rPr>
            <w:rStyle w:val="Lienhypertexte"/>
          </w:rPr>
          <w:t xml:space="preserve">https://doi.org/10.1007/s42398-025-00339-x</w:t>
        </w:r>
      </w:hyperlink>
      <w:r>
        <w:t xml:space="preserve">.</w:t>
      </w:r>
    </w:p>
    <w:bookmarkEnd w:id="105"/>
    <w:bookmarkStart w:id="107" w:name="ref-west2006"/>
    <w:p>
      <w:pPr>
        <w:pStyle w:val="Bibliographie"/>
      </w:pPr>
      <w:r>
        <w:t xml:space="preserve">West, Paige, James Igoe, and Dan Brockington. 2006.</w:t>
      </w:r>
      <w:r>
        <w:t xml:space="preserve"> </w:t>
      </w:r>
      <w:r>
        <w:t xml:space="preserve">“Parks and</w:t>
      </w:r>
      <w:r>
        <w:t xml:space="preserve"> </w:t>
      </w:r>
      <w:r>
        <w:t xml:space="preserve">Peoples</w:t>
      </w:r>
      <w:r>
        <w:t xml:space="preserve">:</w:t>
      </w:r>
      <w:r>
        <w:t xml:space="preserve"> </w:t>
      </w:r>
      <w:r>
        <w:t xml:space="preserve">The Social Impact</w:t>
      </w:r>
      <w:r>
        <w:t xml:space="preserve"> </w:t>
      </w:r>
      <w:r>
        <w:t xml:space="preserve">of</w:t>
      </w:r>
      <w:r>
        <w:t xml:space="preserve"> </w:t>
      </w:r>
      <w:r>
        <w:t xml:space="preserve">Protected Areas</w:t>
      </w:r>
      <w:r>
        <w:t xml:space="preserve">.”</w:t>
      </w:r>
      <w:r>
        <w:t xml:space="preserve"> </w:t>
      </w:r>
      <w:r>
        <w:rPr>
          <w:i/>
          <w:iCs/>
        </w:rPr>
        <w:t xml:space="preserve">Annual Review of Anthropology</w:t>
      </w:r>
      <w:r>
        <w:t xml:space="preserve"> </w:t>
      </w:r>
      <w:r>
        <w:t xml:space="preserve">35 (1): 251–77.</w:t>
      </w:r>
      <w:r>
        <w:t xml:space="preserve"> </w:t>
      </w:r>
      <w:hyperlink r:id="rId106">
        <w:r>
          <w:rPr>
            <w:rStyle w:val="Lienhypertexte"/>
          </w:rPr>
          <w:t xml:space="preserve">https://doi.org/10.1146/annurev.anthro.35.081705.123308</w:t>
        </w:r>
      </w:hyperlink>
      <w:r>
        <w:t xml:space="preserve">.</w:t>
      </w:r>
    </w:p>
    <w:bookmarkEnd w:id="107"/>
    <w:bookmarkStart w:id="109" w:name="ref-zhang2025"/>
    <w:p>
      <w:pPr>
        <w:pStyle w:val="Bibliographie"/>
      </w:pPr>
      <w:r>
        <w:t xml:space="preserve">Zhang, Tong, Luke Gibson, Jianzhang Ma, Rachakonda Sreekar, and David Lindenmayer. 2025.</w:t>
      </w:r>
      <w:r>
        <w:t xml:space="preserve"> </w:t>
      </w:r>
      <w:r>
        <w:t xml:space="preserve">“Global Patterns of Border Protected Areas Reveal Gaps in Transboundary Conservation Efforts.”</w:t>
      </w:r>
      <w:r>
        <w:t xml:space="preserve"> </w:t>
      </w:r>
      <w:r>
        <w:rPr>
          <w:i/>
          <w:iCs/>
        </w:rPr>
        <w:t xml:space="preserve">One Earth</w:t>
      </w:r>
      <w:r>
        <w:t xml:space="preserve">, ahead of print.</w:t>
      </w:r>
      <w:r>
        <w:t xml:space="preserve"> </w:t>
      </w:r>
      <w:hyperlink r:id="rId108">
        <w:r>
          <w:rPr>
            <w:rStyle w:val="Lienhypertexte"/>
          </w:rPr>
          <w:t xml:space="preserve">https://doi.org/10.1016/j.oneear.2025.101206</w:t>
        </w:r>
      </w:hyperlink>
      <w:r>
        <w:t xml:space="preserve">.</w:t>
      </w:r>
    </w:p>
    <w:bookmarkEnd w:id="109"/>
    <w:bookmarkEnd w:id="110"/>
    <w:bookmarkEnd w:id="111"/>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 ORCID 0000-0003-1001-5540; corresponding author: florent.bedecarrats@ird.fr)</dc:creator>
  <cp:keywords/>
  <dcterms:created xsi:type="dcterms:W3CDTF">2026-08-18T17:13:02Z</dcterms:created>
  <dcterms:modified xsi:type="dcterms:W3CDTF">2026-08-18T17:13:02Z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