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bookmarkStart w:id="16"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et al. 2006)</w:t>
      </w:r>
      <w:r>
        <w:t xml:space="preserve">.</w:t>
      </w:r>
    </w:p>
    <w:p>
      <w:pPr>
        <w:pStyle w:val="Corpsdetexte"/>
      </w:pPr>
      <w:r>
        <w:t xml:space="preserve">A 10 km buffer around PA boundaries has emerged as a frequently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16"/>
    <w:bookmarkStart w:id="20" w:name="methods"/>
    <w:p>
      <w:pPr>
        <w:pStyle w:val="Titre1"/>
      </w:pPr>
      <w:r>
        <w:t xml:space="preserve">Methods</w:t>
      </w:r>
    </w:p>
    <w:bookmarkStart w:id="17"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17"/>
    <w:bookmarkStart w:id="18"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18"/>
    <w:bookmarkStart w:id="19" w:name="analytical-approach"/>
    <w:p>
      <w:pPr>
        <w:pStyle w:val="Titre2"/>
      </w:pPr>
      <w:r>
        <w:t xml:space="preserve">Analytical approach</w:t>
      </w:r>
    </w:p>
    <w:p>
      <w:pPr>
        <w:pStyle w:val="FirstParagraph"/>
      </w:pPr>
      <w:r>
        <w:t xml:space="preserve">We processed high-resolution population estimates within and around protected areas across the 75 countries in 2000 and 2020 entirely in R</w:t>
      </w:r>
      <w:r>
        <w:t xml:space="preserve"> </w:t>
      </w:r>
      <w:r>
        <w:t xml:space="preserve">(R Core Team 2023)</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This pipeline reimplements in R an earlier version that relied on Google Earth Engine</w:t>
      </w:r>
      <w:r>
        <w:t xml:space="preserve"> </w:t>
      </w:r>
      <w:r>
        <w:t xml:space="preserve">(Gorelick et al. 2017)</w:t>
      </w:r>
      <w:r>
        <w:t xml:space="preserve">, both to improve reproducibility and to 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w:t>
      </w:r>
      <w:r>
        <w:t xml:space="preserve"> </w:t>
      </w:r>
      <w:r>
        <w:t xml:space="preserve">(Avouac et al. 2025)</w:t>
      </w:r>
      <w:r>
        <w:t xml:space="preserve">. All geometries were processed in an equal-area projection (EPSG:6933), and protected areas were filtered to each country’s own boundaries by ISO3 code, so that populations near protected areas located in neighbouring countries are not attributed across borders.</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et al.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pPr>
        <w:pStyle w:val="Corpsdetexte"/>
      </w:pPr>
      <w:r>
        <w:t xml:space="preserve">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bookmarkEnd w:id="19"/>
    <w:bookmarkEnd w:id="20"/>
    <w:bookmarkStart w:id="38" w:name="results"/>
    <w:p>
      <w:pPr>
        <w:pStyle w:val="Titre1"/>
      </w:pPr>
      <w:r>
        <w:t xml:space="preserve">Results</w:t>
      </w:r>
    </w:p>
    <w:bookmarkStart w:id="21"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2000 (restricted to PAs with recorded designation years), 18.8 million people (1.1%) lived inside PAs and 257.6 million inside or within 10 km (15.4% of the population).</w:t>
      </w:r>
    </w:p>
    <w:p>
      <w:pPr>
        <w:pStyle w:val="Corpsdetexte"/>
      </w:pPr>
      <w:r>
        <w:t xml:space="preserve">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pPr>
        <w:pStyle w:val="Corpsdetexte"/>
      </w:pPr>
      <w:r>
        <w:t xml:space="preserve">Standardizing by PA area and by total boundary length clarifies the source of this difference. Non-strict PAs are both more numerous than strict PAs (2,564 versus 1,160 sites) and slightly more extensive (1.39 versus 1.35 million km²). Their combined boundary length is also larger: 206,921 km for non-strict PAs versus 178,109 km for strict PAs. After dividing nearby population by PA area, the gap narrows but does not disappear: non-strict PAs are associated with 149 people inside or within 10 km per km² of PA, compared with 118 for strict PAs. The same conclusion holds when standardizing by total boundary length: non-strict PAs are associated with 999 people inside or within 10 km per km of boundary, compared with 891 for strict PAs. The larger raw population near non-strict PAs therefore reflects primarily their greater number, total area, and total boundary length, with only a modest additional contribution from higher nearby population density.</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exposure definition</w:t>
      </w:r>
    </w:p>
    <w:p>
      <w:pPr>
        <w:spacing w:before="0" w:after="60"/>
        <w:keepNext/>
        <w:jc w:val="start"/>
        <w:pStyle w:val="caption"/>
      </w:pPr>
      <w:r>
        <w:rPr>
          <w:rFonts w:ascii="Calibri" w:hAnsi="Calibri"/>
          <w:sz w:val="20"/>
          <w:color w:val="333333"/>
        </w:rPr>
        <w:t xml:space="default">All PAs in 2020 (including missing designation year), 75 LMICs excluding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75-country GHSL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only,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non-strict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unknown-category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non-strict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unknown-category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r>
      <w:tr>
        <w:trPr>
          <w:cantSplit/>
        </w:trPr>
        <w:tc>
          <w:tcPr>
            <w:gridSpan w:val="3"/>
          </w:tcPr>
          <w:p>
            <w:pPr>
              <w:spacing w:before="0" w:after="60"/>
              <w:keepNext/>
            </w:pPr>
            <w:r>
              <w:rPr>
                <w:rFonts w:ascii="Calibri" w:hAnsi="Calibri"/>
                <w:sz w:val="20"/>
              </w:rPr>
              <w:t xml:space="default">Source: WDPA May 2021 and GHSL 2020. 'Inside or within 10 km' includes populations inside PAs plus the exclusive 10 km buffer ring.</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w:t>
      </w:r>
      <w:r>
        <w:t xml:space="preserve"> </w:t>
      </w:r>
      <w:r>
        <w:t xml:space="preserve">(2022)</w:t>
      </w:r>
      <w:r>
        <w:t xml:space="preserve">, yet they define the implicit scope to which estimated impacts apply.</w:t>
      </w:r>
    </w:p>
    <w:bookmarkEnd w:id="21"/>
    <w:bookmarkStart w:id="26"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2,912 out of 9,170 PAs in the WDPA (31.8%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tbl>
      <w:tblPr>
        <w:tblStyle w:val="Table"/>
        <w:tblW w:type="pct" w:w="5000"/>
        <w:tblLayout w:type="fixed"/>
        <w:tblLook w:firstRow="0" w:lastRow="0" w:firstColumn="0" w:lastColumn="0" w:noHBand="0" w:noVBand="0" w:val="0000"/>
      </w:tblPr>
      <w:tblGrid>
        <w:gridCol w:w="7920"/>
      </w:tblGrid>
      <w:tr>
        <w:tc>
          <w:tcPr/>
          <w:bookmarkStart w:id="25" w:name="fig-pa-category-trends"/>
          <w:p>
            <w:pPr>
              <w:pStyle w:val="Compact"/>
              <w:jc w:val="center"/>
            </w:pPr>
            <w:r>
              <w:drawing>
                <wp:inline>
                  <wp:extent cx="5969000" cy="3730624"/>
                  <wp:effectExtent b="0" l="0" r="0" t="0"/>
                  <wp:docPr descr="" title="" id="23" name="Picture"/>
                  <a:graphic>
                    <a:graphicData uri="http://schemas.openxmlformats.org/drawingml/2006/picture">
                      <pic:pic>
                        <pic:nvPicPr>
                          <pic:cNvPr descr="results/figure_1.png" id="24" name="Picture"/>
                          <pic:cNvPicPr>
                            <a:picLocks noChangeArrowheads="1" noChangeAspect="1"/>
                          </pic:cNvPicPr>
                        </pic:nvPicPr>
                        <pic:blipFill>
                          <a:blip r:embed="rId22"/>
                          <a:stretch>
                            <a:fillRect/>
                          </a:stretch>
                        </pic:blipFill>
                        <pic:spPr bwMode="auto">
                          <a:xfrm>
                            <a:off x="0" y="0"/>
                            <a:ext cx="5969000" cy="37306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inside protected areas and within 10 km of protected area boundaries by IUCN category, 2000 versus 2020. Estimates are for 75 low- and lower-middle-income countries excluding India, using GHSL and restricted to protected areas with recorded designation year.</w:t>
            </w:r>
          </w:p>
          <w:bookmarkEnd w:id="25"/>
        </w:tc>
      </w:tr>
    </w:tbl>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bookmarkEnd w:id="26"/>
    <w:bookmarkStart w:id="27"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2,912 of the 9,170 PAs in our 75 LMICs (31.8%;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27"/>
    <w:bookmarkStart w:id="32"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tbl>
      <w:tblPr>
        <w:tblStyle w:val="Table"/>
        <w:tblW w:type="pct" w:w="5000"/>
        <w:tblLayout w:type="fixed"/>
        <w:tblLook w:firstRow="0" w:lastRow="0" w:firstColumn="0" w:lastColumn="0" w:noHBand="0" w:noVBand="0" w:val="0000"/>
      </w:tblPr>
      <w:tblGrid>
        <w:gridCol w:w="7920"/>
      </w:tblGrid>
      <w:tr>
        <w:tc>
          <w:tcPr/>
          <w:bookmarkStart w:id="31" w:name="fig-country-variation"/>
          <w:p>
            <w:pPr>
              <w:pStyle w:val="Compact"/>
              <w:jc w:val="center"/>
            </w:pPr>
            <w:r>
              <w:drawing>
                <wp:inline>
                  <wp:extent cx="5969000" cy="8953499"/>
                  <wp:effectExtent b="0" l="0" r="0" t="0"/>
                  <wp:docPr descr="" title="" id="29" name="Picture"/>
                  <a:graphic>
                    <a:graphicData uri="http://schemas.openxmlformats.org/drawingml/2006/picture">
                      <pic:pic>
                        <pic:nvPicPr>
                          <pic:cNvPr descr="results/figure_2.png" id="30" name="Picture"/>
                          <pic:cNvPicPr>
                            <a:picLocks noChangeArrowheads="1" noChangeAspect="1"/>
                          </pic:cNvPicPr>
                        </pic:nvPicPr>
                        <pic:blipFill>
                          <a:blip r:embed="rId28"/>
                          <a:stretch>
                            <a:fillRect/>
                          </a:stretch>
                        </pic:blipFill>
                        <pic:spPr bwMode="auto">
                          <a:xfrm>
                            <a:off x="0" y="0"/>
                            <a:ext cx="5969000" cy="8953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the national population living inside protected areas or within 10 km of their boundaries, by country, in 2000 and 2020. Estimates are for 75 low- and lower-middle-income countries excluding India, using GHSL and restricted to protected areas with recorded designation year.</w:t>
            </w:r>
          </w:p>
          <w:bookmarkEnd w:id="31"/>
        </w:tc>
      </w:tr>
    </w:tbl>
    <w:bookmarkEnd w:id="32"/>
    <w:bookmarkStart w:id="37"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Agreement is close for the broader 10 km perimeter, whereas the inside-PA panel shows a systematic tendency for WorldPop estimates to exceed GHSL.</w:t>
      </w:r>
    </w:p>
    <w:tbl>
      <w:tblPr>
        <w:tblStyle w:val="Table"/>
        <w:tblW w:type="pct" w:w="5000"/>
        <w:tblLayout w:type="fixed"/>
        <w:tblLook w:firstRow="0" w:lastRow="0" w:firstColumn="0" w:lastColumn="0" w:noHBand="0" w:noVBand="0" w:val="0000"/>
      </w:tblPr>
      <w:tblGrid>
        <w:gridCol w:w="7920"/>
      </w:tblGrid>
      <w:tr>
        <w:tc>
          <w:tcPr/>
          <w:bookmarkStart w:id="36" w:name="fig-ghsl-worldpop"/>
          <w:p>
            <w:pPr>
              <w:pStyle w:val="Compact"/>
              <w:jc w:val="center"/>
            </w:pPr>
            <w:r>
              <w:drawing>
                <wp:inline>
                  <wp:extent cx="5969000" cy="2984500"/>
                  <wp:effectExtent b="0" l="0" r="0" t="0"/>
                  <wp:docPr descr="" title="" id="34" name="Picture"/>
                  <a:graphic>
                    <a:graphicData uri="http://schemas.openxmlformats.org/drawingml/2006/picture">
                      <pic:pic>
                        <pic:nvPicPr>
                          <pic:cNvPr descr="results/figure_3.png" id="35" name="Picture"/>
                          <pic:cNvPicPr>
                            <a:picLocks noChangeArrowheads="1" noChangeAspect="1"/>
                          </pic:cNvPicPr>
                        </pic:nvPicPr>
                        <pic:blipFill>
                          <a:blip r:embed="rId33"/>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Comparison of GHSL and WorldPop estimates of the share of national population living inside protected areas and inside or within 10 km of protected areas in 2020. Estimates are for 75 low- and lower-middle-income countries excluding India. The dashed line indicates 1:1 agreement. The inside-PA panel is systematically shifted upward relative to that line, whereas the broader 10 km perimeter is closer to parity.</w:t>
            </w:r>
          </w:p>
          <w:bookmarkEnd w:id="36"/>
        </w:tc>
      </w:tr>
    </w:tbl>
    <w:p>
      <w:pPr>
        <w:pStyle w:val="Corpsdetexte"/>
      </w:pPr>
      <w:r>
        <w:t xml:space="preserve">For populations inside PAs, 64 of 75 country estimates lie above the 1:1 line, with a median WorldPop-to-GHSL ratio of 1.87 and a median difference of 0.77 percentage points. For the broader 10 km buffer perimeter, the asymmetry is weaker: 43 of 75 estimates lie above the line, the median ratio is 1.01, and the median difference is 0.2 percentage points. The likely reason is that the very small absolute population counts inside PAs amplify relative differences between the two datasets’ spatial allocation models.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37"/>
    <w:bookmarkEnd w:id="38"/>
    <w:bookmarkStart w:id="43" w:name="discussion"/>
    <w:p>
      <w:pPr>
        <w:pStyle w:val="Titre1"/>
      </w:pPr>
      <w:r>
        <w:t xml:space="preserve">Discussion</w:t>
      </w:r>
    </w:p>
    <w:bookmarkStart w:id="39"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39"/>
    <w:bookmarkStart w:id="40"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w:t>
      </w:r>
      <w:r>
        <w:t xml:space="preserve"> </w:t>
      </w:r>
      <w:r>
        <w:rPr>
          <w:i/>
          <w:iCs/>
        </w:rPr>
        <w:t xml:space="preserve">inside</w:t>
      </w:r>
      <w:r>
        <w:t xml:space="preserve"> </w:t>
      </w:r>
      <w:r>
        <w:t xml:space="preserve">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w:t>
      </w:r>
      <w:r>
        <w:t xml:space="preserve"> </w:t>
      </w:r>
      <w:r>
        <w:t xml:space="preserve">(Kittle et al. 2018)</w:t>
      </w:r>
      <w:r>
        <w:t xml:space="preserve">.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larger around non-strict protection regimes.</w:t>
      </w:r>
    </w:p>
    <w:bookmarkEnd w:id="40"/>
    <w:bookmarkStart w:id="41"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We use GHSL as our primary dataset and WorldPop as a robustness check. Figure 3 shows that the two datasets remain close for the broader 10 km zone, but that WorldPop tends to produce higher population shares inside PAs than GHSL. We cannot identify the precise cause from our data alone, but this pattern is consistent with documented differences in the products’ spatial-allocation methods and in their treatment of sparse populations</w:t>
      </w:r>
      <w:r>
        <w:t xml:space="preserve"> </w:t>
      </w:r>
      <w:r>
        <w:t xml:space="preserve">(Leyk et al. 2019; Thomson et al. 2022)</w:t>
      </w:r>
      <w:r>
        <w:t xml:space="preserve">. This asymmetry does not alter the order-of-magnitude conclusion that protected areas in LMICs are adjacent to populations numbering in the hundreds of millions,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41"/>
    <w:bookmarkStart w:id="42"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42"/>
    <w:bookmarkEnd w:id="43"/>
    <w:bookmarkStart w:id="44"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4"/>
    <w:bookmarkStart w:id="111" w:name="bibliography"/>
    <w:p>
      <w:pPr>
        <w:pStyle w:val="Titre1"/>
      </w:pPr>
      <w:r>
        <w:t xml:space="preserve">Bibliography</w:t>
      </w:r>
    </w:p>
    <w:bookmarkStart w:id="110" w:name="refs"/>
    <w:bookmarkStart w:id="46" w:name="ref-adams2004"/>
    <w:p>
      <w:pPr>
        <w:pStyle w:val="Bibliographie"/>
      </w:pPr>
      <w:r>
        <w:t xml:space="preserve">Adams, William. M., Ros Aveling, Dan Brockington, et al.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5">
        <w:r>
          <w:rPr>
            <w:rStyle w:val="Lienhypertexte"/>
          </w:rPr>
          <w:t xml:space="preserve">https://doi.org/10.1126/science.1097920</w:t>
        </w:r>
      </w:hyperlink>
      <w:r>
        <w:t xml:space="preserve">.</w:t>
      </w:r>
    </w:p>
    <w:bookmarkEnd w:id="46"/>
    <w:bookmarkStart w:id="48"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47">
        <w:r>
          <w:rPr>
            <w:rStyle w:val="Lienhypertexte"/>
          </w:rPr>
          <w:t xml:space="preserve">https://doi.org/10.1007/978-3-032-10004-7_8</w:t>
        </w:r>
      </w:hyperlink>
      <w:r>
        <w:t xml:space="preserve">.</w:t>
      </w:r>
    </w:p>
    <w:bookmarkEnd w:id="48"/>
    <w:bookmarkStart w:id="50"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49">
        <w:r>
          <w:rPr>
            <w:rStyle w:val="Lienhypertexte"/>
          </w:rPr>
          <w:t xml:space="preserve">https://isciences.gitlab.io/exactextractr/</w:t>
        </w:r>
      </w:hyperlink>
      <w:r>
        <w:t xml:space="preserve">.</w:t>
      </w:r>
    </w:p>
    <w:bookmarkEnd w:id="50"/>
    <w:bookmarkStart w:id="52" w:name="ref-bingham2019"/>
    <w:p>
      <w:pPr>
        <w:pStyle w:val="Bibliographie"/>
      </w:pPr>
      <w:r>
        <w:t xml:space="preserve">Bingham, Heather C., Diego Juffe Bignoli, Edward Lewis, et al.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1">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2"/>
    <w:bookmarkStart w:id="53"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World Bank.</w:t>
      </w:r>
    </w:p>
    <w:bookmarkEnd w:id="53"/>
    <w:bookmarkStart w:id="55"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4">
        <w:r>
          <w:rPr>
            <w:rStyle w:val="Lienhypertexte"/>
          </w:rPr>
          <w:t xml:space="preserve">https://doi.org/10.1016/j.worlddev.2017.08.002</w:t>
        </w:r>
      </w:hyperlink>
      <w:r>
        <w:t xml:space="preserve">.</w:t>
      </w:r>
    </w:p>
    <w:bookmarkEnd w:id="55"/>
    <w:bookmarkStart w:id="57"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56">
        <w:r>
          <w:rPr>
            <w:rStyle w:val="Lienhypertexte"/>
          </w:rPr>
          <w:t xml:space="preserve">https://doi.org/10.3390/ijgi9110637</w:t>
        </w:r>
      </w:hyperlink>
      <w:r>
        <w:t xml:space="preserve">.</w:t>
      </w:r>
    </w:p>
    <w:bookmarkEnd w:id="57"/>
    <w:bookmarkStart w:id="59"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58">
        <w:r>
          <w:rPr>
            <w:rStyle w:val="Lienhypertexte"/>
          </w:rPr>
          <w:t xml:space="preserve">https://doi.org/10.1111/brv.12044</w:t>
        </w:r>
      </w:hyperlink>
      <w:r>
        <w:t xml:space="preserve">.</w:t>
      </w:r>
    </w:p>
    <w:bookmarkEnd w:id="59"/>
    <w:bookmarkStart w:id="61"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w:t>
      </w:r>
      <w:r>
        <w:t xml:space="preserve">CBD/COP/15/L.25.</w:t>
      </w:r>
      <w:r>
        <w:t xml:space="preserve"> </w:t>
      </w:r>
      <w:hyperlink r:id="rId60">
        <w:r>
          <w:rPr>
            <w:rStyle w:val="Lienhypertexte"/>
          </w:rPr>
          <w:t xml:space="preserve">https://seea.un.org/sites/seea.un.org/files/unsc_presentation_jillian_campbell_0.pdf</w:t>
        </w:r>
      </w:hyperlink>
      <w:r>
        <w:t xml:space="preserve">.</w:t>
      </w:r>
    </w:p>
    <w:bookmarkEnd w:id="61"/>
    <w:bookmarkStart w:id="63"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62">
        <w:r>
          <w:rPr>
            <w:rStyle w:val="Lienhypertexte"/>
          </w:rPr>
          <w:t xml:space="preserve">https://doi.org/10.1038/s41598-024-61924-4</w:t>
        </w:r>
      </w:hyperlink>
      <w:r>
        <w:t xml:space="preserve">.</w:t>
      </w:r>
    </w:p>
    <w:bookmarkEnd w:id="63"/>
    <w:bookmarkStart w:id="64"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4"/>
    <w:bookmarkStart w:id="66"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5">
        <w:r>
          <w:rPr>
            <w:rStyle w:val="Lienhypertexte"/>
          </w:rPr>
          <w:t xml:space="preserve">https://www.sciencedirect.com/science/article/pii/S0034425717302900</w:t>
        </w:r>
      </w:hyperlink>
      <w:r>
        <w:t xml:space="preserve">.</w:t>
      </w:r>
    </w:p>
    <w:bookmarkEnd w:id="66"/>
    <w:bookmarkStart w:id="68"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67">
        <w:r>
          <w:rPr>
            <w:rStyle w:val="Lienhypertexte"/>
          </w:rPr>
          <w:t xml:space="preserve">https://doi.org/10.21105/joss.04594</w:t>
        </w:r>
      </w:hyperlink>
      <w:r>
        <w:t xml:space="preserve">.</w:t>
      </w:r>
    </w:p>
    <w:bookmarkEnd w:id="68"/>
    <w:bookmarkStart w:id="70" w:name="ref-terra"/>
    <w:p>
      <w:pPr>
        <w:pStyle w:val="Bibliographie"/>
      </w:pPr>
      <w:r>
        <w:t xml:space="preserve">Hijmans, Robert J. 2025.</w:t>
      </w:r>
      <w:r>
        <w:t xml:space="preserve"> </w:t>
      </w:r>
      <w:r>
        <w:rPr>
          <w:i/>
          <w:iCs/>
        </w:rPr>
        <w:t xml:space="preserve">Terra: Spatial Data Analysis</w:t>
      </w:r>
      <w:r>
        <w:t xml:space="preserve">.</w:t>
      </w:r>
      <w:r>
        <w:t xml:space="preserve"> </w:t>
      </w:r>
      <w:hyperlink r:id="rId69">
        <w:r>
          <w:rPr>
            <w:rStyle w:val="Lienhypertexte"/>
          </w:rPr>
          <w:t xml:space="preserve">https://rspatial.org/</w:t>
        </w:r>
      </w:hyperlink>
      <w:r>
        <w:t xml:space="preserve">.</w:t>
      </w:r>
    </w:p>
    <w:bookmarkEnd w:id="70"/>
    <w:bookmarkStart w:id="72"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1">
        <w:r>
          <w:rPr>
            <w:rStyle w:val="Lienhypertexte"/>
          </w:rPr>
          <w:t xml:space="preserve">https://doi.org/10.1016/j.worlddev.2022.106024</w:t>
        </w:r>
      </w:hyperlink>
      <w:r>
        <w:t xml:space="preserve">.</w:t>
      </w:r>
    </w:p>
    <w:bookmarkEnd w:id="72"/>
    <w:bookmarkStart w:id="74" w:name="ref-kittle2018"/>
    <w:p>
      <w:pPr>
        <w:pStyle w:val="Bibliographie"/>
      </w:pPr>
      <w:r>
        <w:t xml:space="preserve">Kittle, Andrew M., Anjali C. Watson, Samuel A. Cushman, and David W. Macdonald. 2018.</w:t>
      </w:r>
      <w:r>
        <w:t xml:space="preserve"> </w:t>
      </w:r>
      <w:r>
        <w:t xml:space="preserve">“Forest Cover and Level of Protection Influence the Island-Wide Distribution of an Apex Carnivore and Umbrella Species, the</w:t>
      </w:r>
      <w:r>
        <w:t xml:space="preserve"> </w:t>
      </w:r>
      <w:r>
        <w:t xml:space="preserve">Sri Lankan</w:t>
      </w:r>
      <w:r>
        <w:t xml:space="preserve"> </w:t>
      </w:r>
      <w:r>
        <w:t xml:space="preserve">Leopard (</w:t>
      </w:r>
      <w:r>
        <w:t xml:space="preserve">Panthera pardus kotiya</w:t>
      </w:r>
      <w:r>
        <w:t xml:space="preserve">).”</w:t>
      </w:r>
      <w:r>
        <w:t xml:space="preserve"> </w:t>
      </w:r>
      <w:r>
        <w:rPr>
          <w:i/>
          <w:iCs/>
        </w:rPr>
        <w:t xml:space="preserve">Biodiversity and Conservation</w:t>
      </w:r>
      <w:r>
        <w:t xml:space="preserve"> </w:t>
      </w:r>
      <w:r>
        <w:t xml:space="preserve">27 (1): 235–63.</w:t>
      </w:r>
      <w:r>
        <w:t xml:space="preserve"> </w:t>
      </w:r>
      <w:hyperlink r:id="rId73">
        <w:r>
          <w:rPr>
            <w:rStyle w:val="Lienhypertexte"/>
          </w:rPr>
          <w:t xml:space="preserve">https://doi.org/10.1007/s10531-017-1431-8</w:t>
        </w:r>
      </w:hyperlink>
      <w:r>
        <w:t xml:space="preserve">.</w:t>
      </w:r>
    </w:p>
    <w:bookmarkEnd w:id="74"/>
    <w:bookmarkStart w:id="76"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5">
        <w:r>
          <w:rPr>
            <w:rStyle w:val="Lienhypertexte"/>
          </w:rPr>
          <w:t xml:space="preserve">https://doi.org/10.1016/j.biocon.2019.108299</w:t>
        </w:r>
      </w:hyperlink>
      <w:r>
        <w:t xml:space="preserve">.</w:t>
      </w:r>
    </w:p>
    <w:bookmarkEnd w:id="76"/>
    <w:bookmarkStart w:id="78" w:name="ref-leyk2019"/>
    <w:p>
      <w:pPr>
        <w:pStyle w:val="Bibliographie"/>
      </w:pPr>
      <w:r>
        <w:t xml:space="preserve">Leyk, Stefan, Andrea E. Gaughan, Susana B. Adamo, et al.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1385–409.</w:t>
      </w:r>
      <w:r>
        <w:t xml:space="preserve"> </w:t>
      </w:r>
      <w:hyperlink r:id="rId77">
        <w:r>
          <w:rPr>
            <w:rStyle w:val="Lienhypertexte"/>
          </w:rPr>
          <w:t xml:space="preserve">https://essd.copernicus.org/articles/11/1385/2019/essd-11-1385-2019.html</w:t>
        </w:r>
      </w:hyperlink>
      <w:r>
        <w:t xml:space="preserve">.</w:t>
      </w:r>
    </w:p>
    <w:bookmarkEnd w:id="78"/>
    <w:bookmarkStart w:id="79" w:name="ref-maxwell2020"/>
    <w:p>
      <w:pPr>
        <w:pStyle w:val="Bibliographie"/>
      </w:pPr>
      <w:r>
        <w:t xml:space="preserve">Maxwell, Sean L., Victor Cazalis, Nigel Dudley, et al.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79"/>
    <w:bookmarkStart w:id="81" w:name="ref-naidoo2019"/>
    <w:p>
      <w:pPr>
        <w:pStyle w:val="Bibliographie"/>
      </w:pPr>
      <w:r>
        <w:t xml:space="preserve">Naidoo, R., D. Gerkey, 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0">
        <w:r>
          <w:rPr>
            <w:rStyle w:val="Lienhypertexte"/>
          </w:rPr>
          <w:t xml:space="preserve">https://doi.org/10.1126/sciadv.aav3006</w:t>
        </w:r>
      </w:hyperlink>
      <w:r>
        <w:t xml:space="preserve">.</w:t>
      </w:r>
    </w:p>
    <w:bookmarkEnd w:id="81"/>
    <w:bookmarkStart w:id="82"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2"/>
    <w:bookmarkStart w:id="84"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83">
        <w:r>
          <w:rPr>
            <w:rStyle w:val="Lienhypertexte"/>
          </w:rPr>
          <w:t xml:space="preserve">https://doi.org/10.32614/RJ-2018-009</w:t>
        </w:r>
      </w:hyperlink>
      <w:r>
        <w:t xml:space="preserve">.</w:t>
      </w:r>
    </w:p>
    <w:bookmarkEnd w:id="84"/>
    <w:bookmarkStart w:id="86"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85">
        <w:r>
          <w:rPr>
            <w:rStyle w:val="Lienhypertexte"/>
          </w:rPr>
          <w:t xml:space="preserve">https://www.R-project.org/</w:t>
        </w:r>
      </w:hyperlink>
      <w:r>
        <w:t xml:space="preserve">.</w:t>
      </w:r>
    </w:p>
    <w:bookmarkEnd w:id="86"/>
    <w:bookmarkStart w:id="88"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87">
        <w:r>
          <w:rPr>
            <w:rStyle w:val="Lienhypertexte"/>
          </w:rPr>
          <w:t xml:space="preserve">https://doi.org/10.1371/journal.pone.0231866</w:t>
        </w:r>
      </w:hyperlink>
      <w:r>
        <w:t xml:space="preserve">.</w:t>
      </w:r>
    </w:p>
    <w:bookmarkEnd w:id="88"/>
    <w:bookmarkStart w:id="90"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89">
        <w:r>
          <w:rPr>
            <w:rStyle w:val="Lienhypertexte"/>
          </w:rPr>
          <w:t xml:space="preserve">https://doi.org/10.1038/s41893-019-0423-y</w:t>
        </w:r>
      </w:hyperlink>
      <w:r>
        <w:t xml:space="preserve">.</w:t>
      </w:r>
    </w:p>
    <w:bookmarkEnd w:id="90"/>
    <w:bookmarkStart w:id="92"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1">
        <w:r>
          <w:rPr>
            <w:rStyle w:val="Lienhypertexte"/>
          </w:rPr>
          <w:t xml:space="preserve">https://journals.plos.org/plosone/article?id=10.1371/journal.pone.0107042</w:t>
        </w:r>
      </w:hyperlink>
      <w:r>
        <w:t xml:space="preserve">.</w:t>
      </w:r>
    </w:p>
    <w:bookmarkEnd w:id="92"/>
    <w:bookmarkStart w:id="93"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93"/>
    <w:bookmarkStart w:id="95" w:name="ref-protectedplanet_india"/>
    <w:p>
      <w:pPr>
        <w:pStyle w:val="Bibliographie"/>
      </w:pPr>
      <w:r>
        <w:t xml:space="preserve">UNEP-WCMC. 2026.</w:t>
      </w:r>
      <w:r>
        <w:t xml:space="preserve"> </w:t>
      </w:r>
      <w:r>
        <w:rPr>
          <w:i/>
          <w:iCs/>
        </w:rPr>
        <w:t xml:space="preserve">Protected Area Profile for</w:t>
      </w:r>
      <w:r>
        <w:rPr>
          <w:i/>
          <w:iCs/>
        </w:rPr>
        <w:t xml:space="preserve"> </w:t>
      </w:r>
      <w:r>
        <w:rPr>
          <w:i/>
          <w:iCs/>
        </w:rPr>
        <w:t xml:space="preserve">India</w:t>
      </w:r>
      <w:r>
        <w:t xml:space="preserve">.</w:t>
      </w:r>
      <w:r>
        <w:t xml:space="preserve"> </w:t>
      </w:r>
      <w:hyperlink r:id="rId94">
        <w:r>
          <w:rPr>
            <w:rStyle w:val="Lienhypertexte"/>
          </w:rPr>
          <w:t xml:space="preserve">https://www.protectedplanet.net/country/IND</w:t>
        </w:r>
      </w:hyperlink>
      <w:r>
        <w:t xml:space="preserve">.</w:t>
      </w:r>
    </w:p>
    <w:bookmarkEnd w:id="95"/>
    <w:bookmarkStart w:id="96" w:name="ref-unep2021"/>
    <w:p>
      <w:pPr>
        <w:pStyle w:val="Bibliographie"/>
      </w:pPr>
      <w:r>
        <w:t xml:space="preserve">UNEP-WCMC and IUCN. 2021.</w:t>
      </w:r>
      <w:r>
        <w:t xml:space="preserve"> </w:t>
      </w:r>
      <w:r>
        <w:rPr>
          <w:i/>
          <w:iCs/>
        </w:rPr>
        <w:t xml:space="preserve">Protected Planet Report 2021</w:t>
      </w:r>
      <w:r>
        <w:t xml:space="preserve">. UNEP-WCMC; IUCN.</w:t>
      </w:r>
    </w:p>
    <w:bookmarkEnd w:id="96"/>
    <w:bookmarkStart w:id="97" w:name="ref-unep2024"/>
    <w:p>
      <w:pPr>
        <w:pStyle w:val="Bibliographie"/>
      </w:pPr>
      <w:r>
        <w:t xml:space="preserve">UNEP-WCMC and IUCN. 2024.</w:t>
      </w:r>
      <w:r>
        <w:t xml:space="preserve"> </w:t>
      </w:r>
      <w:r>
        <w:rPr>
          <w:i/>
          <w:iCs/>
        </w:rPr>
        <w:t xml:space="preserve">Protected Planet Report 2024</w:t>
      </w:r>
      <w:r>
        <w:t xml:space="preserve">. UNEP-WCMC; IUCN.</w:t>
      </w:r>
    </w:p>
    <w:bookmarkEnd w:id="97"/>
    <w:bookmarkStart w:id="99"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98">
        <w:r>
          <w:rPr>
            <w:rStyle w:val="Lienhypertexte"/>
          </w:rPr>
          <w:t xml:space="preserve">www.protectedplanet.net</w:t>
        </w:r>
      </w:hyperlink>
      <w:r>
        <w:t xml:space="preserve">.</w:t>
      </w:r>
    </w:p>
    <w:bookmarkEnd w:id="99"/>
    <w:bookmarkStart w:id="101"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United Nations.</w:t>
      </w:r>
      <w:r>
        <w:t xml:space="preserve"> </w:t>
      </w:r>
      <w:hyperlink r:id="rId100">
        <w:r>
          <w:rPr>
            <w:rStyle w:val="Lienhypertexte"/>
          </w:rPr>
          <w:t xml:space="preserve">https://www.un.org/development/desa/indigenouspeoples/publications/state-of-the-worlds-indigenous-peoples.html</w:t>
        </w:r>
      </w:hyperlink>
      <w:r>
        <w:t xml:space="preserve">.</w:t>
      </w:r>
    </w:p>
    <w:bookmarkEnd w:id="101"/>
    <w:bookmarkStart w:id="103"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2">
        <w:r>
          <w:rPr>
            <w:rStyle w:val="Lienhypertexte"/>
          </w:rPr>
          <w:t xml:space="preserve">https://papers.ssrn.com/sol3/papers.cfm?abstract_id=3100742</w:t>
        </w:r>
      </w:hyperlink>
      <w:r>
        <w:t xml:space="preserve">.</w:t>
      </w:r>
    </w:p>
    <w:bookmarkEnd w:id="103"/>
    <w:bookmarkStart w:id="105"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104">
        <w:r>
          <w:rPr>
            <w:rStyle w:val="Lienhypertexte"/>
          </w:rPr>
          <w:t xml:space="preserve">https://doi.org/10.1007/s42398-025-00339-x</w:t>
        </w:r>
      </w:hyperlink>
      <w:r>
        <w:t xml:space="preserve">.</w:t>
      </w:r>
    </w:p>
    <w:bookmarkEnd w:id="105"/>
    <w:bookmarkStart w:id="107"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106">
        <w:r>
          <w:rPr>
            <w:rStyle w:val="Lienhypertexte"/>
          </w:rPr>
          <w:t xml:space="preserve">https://doi.org/10.1146/annurev.anthro.35.081705.123308</w:t>
        </w:r>
      </w:hyperlink>
      <w:r>
        <w:t xml:space="preserve">.</w:t>
      </w:r>
    </w:p>
    <w:bookmarkEnd w:id="107"/>
    <w:bookmarkStart w:id="109"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 ahead of print.</w:t>
      </w:r>
      <w:r>
        <w:t xml:space="preserve"> </w:t>
      </w:r>
      <w:hyperlink r:id="rId108">
        <w:r>
          <w:rPr>
            <w:rStyle w:val="Lienhypertexte"/>
          </w:rPr>
          <w:t xml:space="preserve">https://doi.org/10.1016/j.oneear.2025.101206</w:t>
        </w:r>
      </w:hyperlink>
      <w:r>
        <w:t xml:space="preserve">.</w:t>
      </w:r>
    </w:p>
    <w:bookmarkEnd w:id="109"/>
    <w:bookmarkEnd w:id="110"/>
    <w:bookmarkEnd w:id="111"/>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_rels/footnotes.xml.rels><?xml version="1.0" encoding="UTF-8"?><Relationships xmlns="http://schemas.openxmlformats.org/package/2006/relationships"><Relationship Type="http://schemas.openxmlformats.org/officeDocument/2006/relationships/hyperlink" Id="rId47" Target="https://doi.org/10.1007/978-3-032-10004-7_8" TargetMode="External" /><Relationship Type="http://schemas.openxmlformats.org/officeDocument/2006/relationships/hyperlink" Id="rId73" Target="https://doi.org/10.1007/s10531-017-1431-8" TargetMode="External" /><Relationship Type="http://schemas.openxmlformats.org/officeDocument/2006/relationships/hyperlink" Id="rId104" Target="https://doi.org/10.1007/s42398-025-00339-x" TargetMode="External" /><Relationship Type="http://schemas.openxmlformats.org/officeDocument/2006/relationships/hyperlink" Id="rId75" Target="https://doi.org/10.1016/j.biocon.2019.108299" TargetMode="External" /><Relationship Type="http://schemas.openxmlformats.org/officeDocument/2006/relationships/hyperlink" Id="rId108" Target="https://doi.org/10.1016/j.oneear.2025.101206" TargetMode="External" /><Relationship Type="http://schemas.openxmlformats.org/officeDocument/2006/relationships/hyperlink" Id="rId54" Target="https://doi.org/10.1016/j.worlddev.2017.08.002" TargetMode="External" /><Relationship Type="http://schemas.openxmlformats.org/officeDocument/2006/relationships/hyperlink" Id="rId71" Target="https://doi.org/10.1016/j.worlddev.2022.106024" TargetMode="External" /><Relationship Type="http://schemas.openxmlformats.org/officeDocument/2006/relationships/hyperlink" Id="rId62" Target="https://doi.org/10.1038/s41598-024-61924-4" TargetMode="External" /><Relationship Type="http://schemas.openxmlformats.org/officeDocument/2006/relationships/hyperlink" Id="rId89" Target="https://doi.org/10.1038/s41893-019-0423-y" TargetMode="External" /><Relationship Type="http://schemas.openxmlformats.org/officeDocument/2006/relationships/hyperlink" Id="rId58" Target="https://doi.org/10.1111/brv.12044" TargetMode="External" /><Relationship Type="http://schemas.openxmlformats.org/officeDocument/2006/relationships/hyperlink" Id="rId80" Target="https://doi.org/10.1126/sciadv.aav3006" TargetMode="External" /><Relationship Type="http://schemas.openxmlformats.org/officeDocument/2006/relationships/hyperlink" Id="rId45" Target="https://doi.org/10.1126/science.1097920" TargetMode="External" /><Relationship Type="http://schemas.openxmlformats.org/officeDocument/2006/relationships/hyperlink" Id="rId106" Target="https://doi.org/10.1146/annurev.anthro.35.081705.123308" TargetMode="External" /><Relationship Type="http://schemas.openxmlformats.org/officeDocument/2006/relationships/hyperlink" Id="rId87" Target="https://doi.org/10.1371/journal.pone.0231866" TargetMode="External" /><Relationship Type="http://schemas.openxmlformats.org/officeDocument/2006/relationships/hyperlink" Id="rId67" Target="https://doi.org/10.21105/joss.04594" TargetMode="External" /><Relationship Type="http://schemas.openxmlformats.org/officeDocument/2006/relationships/hyperlink" Id="rId83" Target="https://doi.org/10.32614/RJ-2018-009" TargetMode="External" /><Relationship Type="http://schemas.openxmlformats.org/officeDocument/2006/relationships/hyperlink" Id="rId56" Target="https://doi.org/10.3390/ijgi9110637" TargetMode="External" /><Relationship Type="http://schemas.openxmlformats.org/officeDocument/2006/relationships/hyperlink" Id="rId77" Target="https://essd.copernicus.org/articles/11/1385/2019/essd-11-1385-2019.html" TargetMode="External" /><Relationship Type="http://schemas.openxmlformats.org/officeDocument/2006/relationships/hyperlink" Id="rId51"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49" Target="https://isciences.gitlab.io/exactextractr/" TargetMode="External" /><Relationship Type="http://schemas.openxmlformats.org/officeDocument/2006/relationships/hyperlink" Id="rId91" Target="https://journals.plos.org/plosone/article?id=10.1371/journal.pone.0107042" TargetMode="External" /><Relationship Type="http://schemas.openxmlformats.org/officeDocument/2006/relationships/hyperlink" Id="rId102" Target="https://papers.ssrn.com/sol3/papers.cfm?abstract_id=3100742" TargetMode="External" /><Relationship Type="http://schemas.openxmlformats.org/officeDocument/2006/relationships/hyperlink" Id="rId69" Target="https://rspatial.org/" TargetMode="External" /><Relationship Type="http://schemas.openxmlformats.org/officeDocument/2006/relationships/hyperlink" Id="rId60" Target="https://seea.un.org/sites/seea.un.org/files/unsc_presentation_jillian_campbell_0.pdf" TargetMode="External" /><Relationship Type="http://schemas.openxmlformats.org/officeDocument/2006/relationships/hyperlink" Id="rId85" Target="https://www.R-project.org/" TargetMode="External" /><Relationship Type="http://schemas.openxmlformats.org/officeDocument/2006/relationships/hyperlink" Id="rId98" Target="https://www.protectedplanet.net" TargetMode="External" /><Relationship Type="http://schemas.openxmlformats.org/officeDocument/2006/relationships/hyperlink" Id="rId94" Target="https://www.protectedplanet.net/country/IND" TargetMode="External" /><Relationship Type="http://schemas.openxmlformats.org/officeDocument/2006/relationships/hyperlink" Id="rId65" Target="https://www.sciencedirect.com/science/article/pii/S0034425717302900" TargetMode="External" /><Relationship Type="http://schemas.openxmlformats.org/officeDocument/2006/relationships/hyperlink" Id="rId100" Target="https://www.un.org/development/desa/indigenouspeoples/publications/state-of-the-worlds-indigenous-peopl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2026-08-18T17:46:00Z</dcterms:created>
  <dcterms:modified xsi:type="dcterms:W3CDTF">2026-08-18T17:46:00Z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