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59410" w14:textId="77777777" w:rsidR="00D20FDA" w:rsidRPr="00D20FDA" w:rsidRDefault="00D20FDA" w:rsidP="00D20FDA">
      <w:pPr>
        <w:rPr>
          <w:lang w:val="en-US"/>
        </w:rPr>
      </w:pPr>
      <w:r w:rsidRPr="00D20FDA">
        <w:rPr>
          <w:lang w:val="en-US"/>
        </w:rPr>
        <w:t>Dear Dr Radhika Khosla and Editorial Team,</w:t>
      </w:r>
    </w:p>
    <w:p w14:paraId="558E04B3" w14:textId="77777777" w:rsidR="00D20FDA" w:rsidRPr="00D20FDA" w:rsidRDefault="00D20FDA" w:rsidP="00D20FDA">
      <w:pPr>
        <w:rPr>
          <w:lang w:val="en-US"/>
        </w:rPr>
      </w:pPr>
    </w:p>
    <w:p w14:paraId="5F7A8076" w14:textId="7D69D076" w:rsidR="00D20FDA" w:rsidRDefault="00D20FDA" w:rsidP="00D20FDA">
      <w:pPr>
        <w:rPr>
          <w:lang w:val="en-US"/>
        </w:rPr>
      </w:pPr>
      <w:r w:rsidRPr="00D20FDA">
        <w:rPr>
          <w:lang w:val="en-US"/>
        </w:rPr>
        <w:t>Please find attached the revised version of our manuscript, “How Many People Live Near Protected Areas in Developing Countries? Estimates from Gridded Population Data (2000–2020)” (reference ERL-124325).</w:t>
      </w:r>
    </w:p>
    <w:p w14:paraId="5F6F44FD" w14:textId="77777777" w:rsidR="00D20FDA" w:rsidRPr="00D20FDA" w:rsidRDefault="00D20FDA" w:rsidP="00D20FDA">
      <w:pPr>
        <w:rPr>
          <w:lang w:val="en-US"/>
        </w:rPr>
      </w:pPr>
    </w:p>
    <w:p w14:paraId="69E94234" w14:textId="4AB67D25" w:rsidR="00D20FDA" w:rsidRDefault="00D20FDA" w:rsidP="00D20FDA">
      <w:pPr>
        <w:rPr>
          <w:lang w:val="en-US"/>
        </w:rPr>
      </w:pPr>
      <w:r w:rsidRPr="00D20FDA">
        <w:rPr>
          <w:lang w:val="en-US"/>
        </w:rPr>
        <w:t>We thank the referees for their constructive comments. In response, we have clarified the differences between strict and non-strict protected-area management regimes, added an area-standardized comparison of nearby populations across categories, expanded the reporting of population shares and category-specific estimates, and revised the structure and discussion accordingly.</w:t>
      </w:r>
    </w:p>
    <w:p w14:paraId="55EBC91C" w14:textId="77777777" w:rsidR="00D20FDA" w:rsidRPr="00D20FDA" w:rsidRDefault="00D20FDA" w:rsidP="00D20FDA">
      <w:pPr>
        <w:rPr>
          <w:lang w:val="en-US"/>
        </w:rPr>
      </w:pPr>
    </w:p>
    <w:p w14:paraId="349DA360" w14:textId="77777777" w:rsidR="00D20FDA" w:rsidRPr="00D20FDA" w:rsidRDefault="00D20FDA" w:rsidP="00D20FDA">
      <w:pPr>
        <w:rPr>
          <w:lang w:val="en-US"/>
        </w:rPr>
      </w:pPr>
      <w:r w:rsidRPr="00D20FDA">
        <w:rPr>
          <w:lang w:val="en-US"/>
        </w:rPr>
        <w:t>During this revision, we also identified and corrected a computational issue affecting the estimates for populations living within 10 km of protected areas. The issue arose from overlapping buffer zones and cross-border attribution in the original Google Earth Engine workflow. We therefore reimplemented the full extraction pipeline in R. The corrected estimates are lower for the 10 km perimeter, but the qualitative findings and conclusions remain unchanged. The revised workflow is fully documented and included in the replication package.</w:t>
      </w:r>
    </w:p>
    <w:p w14:paraId="1E917597" w14:textId="77777777" w:rsidR="00D20FDA" w:rsidRPr="00D20FDA" w:rsidRDefault="00D20FDA" w:rsidP="00D20FDA">
      <w:pPr>
        <w:rPr>
          <w:lang w:val="en-US"/>
        </w:rPr>
      </w:pPr>
    </w:p>
    <w:p w14:paraId="4D58E1EB" w14:textId="77777777" w:rsidR="00D20FDA" w:rsidRPr="00D20FDA" w:rsidRDefault="00D20FDA" w:rsidP="00D20FDA">
      <w:pPr>
        <w:rPr>
          <w:lang w:val="en-US"/>
        </w:rPr>
      </w:pPr>
      <w:r w:rsidRPr="00D20FDA">
        <w:rPr>
          <w:lang w:val="en-US"/>
        </w:rPr>
        <w:t>A detailed point-by-point response is provided in the accompanying response letter.</w:t>
      </w:r>
    </w:p>
    <w:p w14:paraId="65DFD9D2" w14:textId="77777777" w:rsidR="00D20FDA" w:rsidRPr="00D20FDA" w:rsidRDefault="00D20FDA" w:rsidP="00D20FDA">
      <w:pPr>
        <w:rPr>
          <w:lang w:val="en-US"/>
        </w:rPr>
      </w:pPr>
    </w:p>
    <w:p w14:paraId="3D383978" w14:textId="57B44B3E" w:rsidR="00CB6B98" w:rsidRPr="00D20FDA" w:rsidRDefault="00D20FDA" w:rsidP="00D20FDA">
      <w:pPr>
        <w:rPr>
          <w:lang w:val="en-US"/>
        </w:rPr>
      </w:pPr>
      <w:r w:rsidRPr="00D20FDA">
        <w:rPr>
          <w:lang w:val="en-US"/>
        </w:rPr>
        <w:t xml:space="preserve">Thank you for considering our revised </w:t>
      </w:r>
      <w:proofErr w:type="spellStart"/>
      <w:r w:rsidRPr="00D20FDA">
        <w:rPr>
          <w:lang w:val="en-US"/>
        </w:rPr>
        <w:t>manuscript.F</w:t>
      </w:r>
      <w:proofErr w:type="spellEnd"/>
      <w:r w:rsidRPr="00D20FDA">
        <w:rPr>
          <w:lang w:val="en-US"/>
        </w:rPr>
        <w:t xml:space="preserve">. </w:t>
      </w:r>
      <w:proofErr w:type="spellStart"/>
      <w:r w:rsidRPr="00D20FDA">
        <w:rPr>
          <w:lang w:val="en-US"/>
        </w:rPr>
        <w:t>Bédécarrats</w:t>
      </w:r>
      <w:proofErr w:type="spellEnd"/>
    </w:p>
    <w:sectPr w:rsidR="00CB6B98" w:rsidRPr="00D20F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76F"/>
    <w:multiLevelType w:val="multilevel"/>
    <w:tmpl w:val="0B480FFE"/>
    <w:lvl w:ilvl="0">
      <w:start w:val="5"/>
      <w:numFmt w:val="decimal"/>
      <w:pStyle w:val="Titre1"/>
      <w:lvlText w:val="%1."/>
      <w:lvlJc w:val="left"/>
      <w:pPr>
        <w:ind w:left="720" w:hanging="360"/>
      </w:pPr>
      <w:rPr>
        <w:rFonts w:hint="default"/>
      </w:rPr>
    </w:lvl>
    <w:lvl w:ilvl="1">
      <w:start w:val="1"/>
      <w:numFmt w:val="decimal"/>
      <w:pStyle w:val="Titre2"/>
      <w:isLgl/>
      <w:lvlText w:val="%1.%2."/>
      <w:lvlJc w:val="left"/>
      <w:pPr>
        <w:ind w:left="1080" w:hanging="360"/>
      </w:pPr>
      <w:rPr>
        <w:rFonts w:hint="default"/>
        <w:color w:val="000091"/>
      </w:rPr>
    </w:lvl>
    <w:lvl w:ilvl="2">
      <w:start w:val="1"/>
      <w:numFmt w:val="decimal"/>
      <w:pStyle w:val="Titre3"/>
      <w:isLgl/>
      <w:lvlText w:val="%1.%2.%3."/>
      <w:lvlJc w:val="left"/>
      <w:pPr>
        <w:ind w:left="1080" w:hanging="720"/>
      </w:pPr>
      <w:rPr>
        <w:rFonts w:hint="default"/>
      </w:rPr>
    </w:lvl>
    <w:lvl w:ilvl="3">
      <w:start w:val="1"/>
      <w:numFmt w:val="decimal"/>
      <w:pStyle w:val="Titre4"/>
      <w:isLgl/>
      <w:lvlText w:val="%1.%2.%3.%4."/>
      <w:lvlJc w:val="left"/>
      <w:pPr>
        <w:ind w:left="1080" w:hanging="720"/>
      </w:pPr>
      <w:rPr>
        <w:rFonts w:hint="default"/>
      </w:rPr>
    </w:lvl>
    <w:lvl w:ilvl="4">
      <w:start w:val="1"/>
      <w:numFmt w:val="decimal"/>
      <w:pStyle w:val="Titre5"/>
      <w:isLgl/>
      <w:lvlText w:val="%1.%2.%3.%4.%5."/>
      <w:lvlJc w:val="left"/>
      <w:pPr>
        <w:ind w:left="1440" w:hanging="1080"/>
      </w:pPr>
      <w:rPr>
        <w:rFonts w:hint="default"/>
      </w:rPr>
    </w:lvl>
    <w:lvl w:ilvl="5">
      <w:start w:val="1"/>
      <w:numFmt w:val="decimal"/>
      <w:pStyle w:val="Titre6"/>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73965341">
    <w:abstractNumId w:val="0"/>
  </w:num>
  <w:num w:numId="2" w16cid:durableId="191118569">
    <w:abstractNumId w:val="0"/>
  </w:num>
  <w:num w:numId="3" w16cid:durableId="1081176338">
    <w:abstractNumId w:val="0"/>
  </w:num>
  <w:num w:numId="4" w16cid:durableId="1045787603">
    <w:abstractNumId w:val="0"/>
  </w:num>
  <w:num w:numId="5" w16cid:durableId="2039113089">
    <w:abstractNumId w:val="0"/>
  </w:num>
  <w:num w:numId="6" w16cid:durableId="144927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AC"/>
    <w:rsid w:val="000121AC"/>
    <w:rsid w:val="000D150B"/>
    <w:rsid w:val="00B20769"/>
    <w:rsid w:val="00C034FB"/>
    <w:rsid w:val="00CB6B98"/>
    <w:rsid w:val="00D20F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B519"/>
  <w15:chartTrackingRefBased/>
  <w15:docId w15:val="{1AC6630F-FACA-48D8-8D8C-3FCC90130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0B"/>
    <w:pPr>
      <w:spacing w:before="120" w:after="0"/>
      <w:jc w:val="both"/>
    </w:pPr>
  </w:style>
  <w:style w:type="paragraph" w:styleId="Titre1">
    <w:name w:val="heading 1"/>
    <w:basedOn w:val="Normal"/>
    <w:next w:val="Normal"/>
    <w:link w:val="Titre1Car"/>
    <w:uiPriority w:val="9"/>
    <w:qFormat/>
    <w:rsid w:val="000D150B"/>
    <w:pPr>
      <w:keepNext/>
      <w:keepLines/>
      <w:numPr>
        <w:numId w:val="6"/>
      </w:numPr>
      <w:spacing w:before="36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150B"/>
    <w:pPr>
      <w:keepNext/>
      <w:keepLines/>
      <w:numPr>
        <w:ilvl w:val="1"/>
        <w:numId w:val="6"/>
      </w:numPr>
      <w:spacing w:before="48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D150B"/>
    <w:pPr>
      <w:keepNext/>
      <w:keepLines/>
      <w:numPr>
        <w:ilvl w:val="2"/>
        <w:numId w:val="6"/>
      </w:numPr>
      <w:spacing w:before="36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D150B"/>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0D150B"/>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0D150B"/>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uiPriority w:val="99"/>
    <w:semiHidden/>
    <w:unhideWhenUsed/>
    <w:rsid w:val="000D150B"/>
    <w:rPr>
      <w:vertAlign w:val="superscript"/>
    </w:rPr>
  </w:style>
  <w:style w:type="paragraph" w:styleId="En-tte">
    <w:name w:val="header"/>
    <w:basedOn w:val="Normal"/>
    <w:link w:val="En-tteCar"/>
    <w:uiPriority w:val="99"/>
    <w:unhideWhenUsed/>
    <w:rsid w:val="000D150B"/>
    <w:pPr>
      <w:tabs>
        <w:tab w:val="center" w:pos="4536"/>
        <w:tab w:val="right" w:pos="9072"/>
      </w:tabs>
      <w:spacing w:before="0" w:line="240" w:lineRule="auto"/>
    </w:pPr>
  </w:style>
  <w:style w:type="character" w:customStyle="1" w:styleId="En-tteCar">
    <w:name w:val="En-tête Car"/>
    <w:basedOn w:val="Policepardfaut"/>
    <w:link w:val="En-tte"/>
    <w:uiPriority w:val="99"/>
    <w:rsid w:val="000D150B"/>
  </w:style>
  <w:style w:type="table" w:styleId="Grilledutableau">
    <w:name w:val="Table Grid"/>
    <w:basedOn w:val="TableauNormal"/>
    <w:uiPriority w:val="39"/>
    <w:rsid w:val="000D1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D150B"/>
    <w:rPr>
      <w:color w:val="0563C1" w:themeColor="hyperlink"/>
      <w:u w:val="single"/>
    </w:rPr>
  </w:style>
  <w:style w:type="character" w:styleId="Lienhypertextesuivivisit">
    <w:name w:val="FollowedHyperlink"/>
    <w:basedOn w:val="Policepardfaut"/>
    <w:uiPriority w:val="99"/>
    <w:semiHidden/>
    <w:unhideWhenUsed/>
    <w:rsid w:val="000D150B"/>
    <w:rPr>
      <w:color w:val="954F72" w:themeColor="followedHyperlink"/>
      <w:u w:val="single"/>
    </w:rPr>
  </w:style>
  <w:style w:type="character" w:styleId="Mentionnonrsolue">
    <w:name w:val="Unresolved Mention"/>
    <w:basedOn w:val="Policepardfaut"/>
    <w:uiPriority w:val="99"/>
    <w:semiHidden/>
    <w:unhideWhenUsed/>
    <w:rsid w:val="000D150B"/>
    <w:rPr>
      <w:color w:val="605E5C"/>
      <w:shd w:val="clear" w:color="auto" w:fill="E1DFDD"/>
    </w:rPr>
  </w:style>
  <w:style w:type="paragraph" w:styleId="Notedebasdepage">
    <w:name w:val="footnote text"/>
    <w:basedOn w:val="Normal"/>
    <w:link w:val="NotedebasdepageCar"/>
    <w:uiPriority w:val="99"/>
    <w:semiHidden/>
    <w:unhideWhenUsed/>
    <w:rsid w:val="000D150B"/>
    <w:pPr>
      <w:spacing w:before="0" w:line="240" w:lineRule="auto"/>
    </w:pPr>
    <w:rPr>
      <w:sz w:val="20"/>
      <w:szCs w:val="20"/>
    </w:rPr>
  </w:style>
  <w:style w:type="character" w:customStyle="1" w:styleId="NotedebasdepageCar">
    <w:name w:val="Note de bas de page Car"/>
    <w:basedOn w:val="Policepardfaut"/>
    <w:link w:val="Notedebasdepage"/>
    <w:uiPriority w:val="99"/>
    <w:semiHidden/>
    <w:rsid w:val="000D150B"/>
    <w:rPr>
      <w:sz w:val="20"/>
      <w:szCs w:val="20"/>
    </w:rPr>
  </w:style>
  <w:style w:type="paragraph" w:styleId="Paragraphedeliste">
    <w:name w:val="List Paragraph"/>
    <w:basedOn w:val="Normal"/>
    <w:uiPriority w:val="34"/>
    <w:qFormat/>
    <w:rsid w:val="000D150B"/>
    <w:pPr>
      <w:ind w:left="720"/>
      <w:contextualSpacing/>
    </w:pPr>
  </w:style>
  <w:style w:type="paragraph" w:styleId="Pieddepage">
    <w:name w:val="footer"/>
    <w:basedOn w:val="Normal"/>
    <w:link w:val="PieddepageCar"/>
    <w:uiPriority w:val="99"/>
    <w:unhideWhenUsed/>
    <w:rsid w:val="000D150B"/>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0D150B"/>
  </w:style>
  <w:style w:type="character" w:customStyle="1" w:styleId="Titre1Car">
    <w:name w:val="Titre 1 Car"/>
    <w:basedOn w:val="Policepardfaut"/>
    <w:link w:val="Titre1"/>
    <w:uiPriority w:val="9"/>
    <w:rsid w:val="000D150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150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0D150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0D150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0D150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0D150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01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203</Words>
  <Characters>1118</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BEDECARRATS</dc:creator>
  <cp:keywords/>
  <dc:description/>
  <cp:lastModifiedBy>Florent BEDECARRATS</cp:lastModifiedBy>
  <cp:revision>2</cp:revision>
  <dcterms:created xsi:type="dcterms:W3CDTF">2026-07-16T19:53:00Z</dcterms:created>
  <dcterms:modified xsi:type="dcterms:W3CDTF">2026-07-16T19:55:00Z</dcterms:modified>
</cp:coreProperties>
</file>