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Table 1: Implied population magnitudes by exposure definition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0"/>
          <w:color w:val="333333"/>
        </w:rPr>
        <w:t xml:space="default">All PAs in 2020 (including missing designation year), 75 LMICs excluding India, GHSL population estimates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Exposure definition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Population (millions)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% of 75-country GHSL population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Inside PAs only, all categories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Inside strict PAs only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Inside non-strict PAs only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Inside unknown-category PAs only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Inside PAs or within 10 km, all categories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731.5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Inside or within 10 km of strict PAs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158.7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Inside or within 10 km of non-strict PAs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206.7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Inside or within 10 km of unknown-category PAs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366.2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14.8</w:t>
            </w:r>
          </w:p>
        </w:tc>
      </w:tr>
      <w:tr>
        <w:trPr>
          <w:cantSplit/>
        </w:trPr>
        <w:tc>
          <w:tcPr>
            <w:gridSpan w:val="3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Source: WDPA May 2021 and GHSL 2020. 'Inside or within 10 km' includes populations inside PAs plus the exclusive 10 km buffer ring.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2026-08-18T17:45:56Z</dcterms:created>
  <dcterms:modified xsi:type="dcterms:W3CDTF">2026-08-18T17:45:56Z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