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preserve">Table S2: 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Absolute difference of more then 5 percentage points (pp) and relative difference of more than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WorldPop</w:t>
            </w:r>
            \line 
            <w:r>
              <w:rPr>
                <w:rFonts w:ascii="Calibri" w:hAnsi="Calibri"/>
                <w:sz w:val="20"/>
              </w:rPr>
              <w:t xml:space="preserve">** Estimate**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GHSL</w:t>
            </w:r>
            \line 
            <w:r>
              <w:rPr>
                <w:rFonts w:ascii="Calibri" w:hAnsi="Calibri"/>
                <w:sz w:val="20"/>
              </w:rPr>
              <w:t xml:space="preserve">** Estimate**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Absolute</w:t>
            </w:r>
            \line 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Relative</w:t>
            </w:r>
            \line 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17,093.6%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97.7%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2025-11-04T17:59:10Z</dcterms:created>
  <dcterms:modified xsi:type="dcterms:W3CDTF">2025-11-04T17:59:10Z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