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spacing w:before="0" w:after="60"/>
        <w:keepNext/>
        <w:jc w:val="start"/>
        <w:pStyle w:val="caption"/>
      </w:pPr>
      <w:r>
        <w:rPr>
          <w:rFonts w:ascii="Calibri" w:hAnsi="Calibri"/>
          <w:sz w:val="24"/>
        </w:rPr>
        <w:t xml:space="preserve">Table </w:t>
      </w:r>
      <w:r>
        <w:fldChar w:fldCharType="begin" w:dirty="true"/>
      </w:r>
      <w:r>
        <w:instrText xml:space="preserve" w:dirty="true"> SEQ Table \* ARABIC </w:instrText>
      </w:r>
      <w:r>
        <w:fldChar w:fldCharType="separate" w:dirty="true"/>
      </w:r>
      <w:r>
        <w:rPr>
          <w:noProof/>
          <w:rFonts w:ascii="Calibri" w:hAnsi="Calibri"/>
          <w:sz w:val="24"/>
        </w:rPr>
        <w:t xml:space="default">1</w:t>
      </w:r>
      <w:r>
        <w:fldChar w:fldCharType="end" w:dirty="true"/>
      </w:r>
      <w:r>
        <w:rPr>
          <w:rFonts w:ascii="Calibri" w:hAnsi="Calibri"/>
          <w:sz w:val="24"/>
        </w:rPr>
        <w:t xml:space="preserve">: </w:t>
      </w:r>
      <w:r>
        <w:rPr>
          <w:rFonts w:ascii="Calibri" w:hAnsi="Calibri"/>
          <w:sz w:val="24"/>
          <w:color w:val="333333"/>
        </w:rPr>
        <w:t xml:space="preserve">Table S1: Largest Differences Between GHSL and WorldPop Estimates</w:t>
      </w:r>
    </w:p>
    <w:p>
      <w:pPr>
        <w:spacing w:before="0" w:after="60"/>
        <w:keepNext/>
        <w:jc w:val="start"/>
        <w:pStyle w:val="caption"/>
      </w:pPr>
      <w:r>
        <w:rPr>
          <w:i/>
          <w:rFonts w:ascii="Calibri" w:hAnsi="Calibri"/>
          <w:sz w:val="20"/>
          <w:color w:val="333333"/>
        </w:rPr>
        <w:t xml:space="preserve">Absolute difference of more then 5 percentage points (pp) and relative difference of more than 10%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Country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Year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Area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WorldPop</w:t>
            </w:r>
          </w:p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Estimate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GHSL</w:t>
            </w:r>
          </w:p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Estimate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Absolute</w:t>
            </w:r>
          </w:p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Difference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Relative</w:t>
            </w:r>
          </w:p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Difference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Comoros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2020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Within PAs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38.7%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11.9%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26.9 pp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226.4%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Congo, Rep.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2000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Within 10km of PAs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31.7%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49.2%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17.6 pp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35.7%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Comoros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2000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Within 10km of PAs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21.7%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36.1%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14.4 pp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39.8%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Congo, Rep.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2020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Within PAs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26.9%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13.2%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13.7 pp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103.6%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Moldova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2020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Within 10km of PAs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82.1%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91.5%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9.4 pp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10.3%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São Tomé and Príncipe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2020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Within PAs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9.1%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9.0 pp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17,093.6%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Tunisia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2020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Within 10km of PAs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58.5%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49.7%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8.8 pp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17.7%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São Tomé and Príncipe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2020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Within 10km of PAs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58.2%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49.5%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8.7 pp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17.5%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Ukraine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2000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Within PAs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9.6%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1.2%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8.4 pp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670.2%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Ukraine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2020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Within PAs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9.2%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1.2%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8.0 pp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660.6%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Congo, Rep.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2020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Within 10km of PAs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66.4%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74.3%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8.0 pp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10.7%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Gambia, The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2020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Within PAs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8.8%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7.8 pp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765.0%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Bhutan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2020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Within PAs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11.6%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4.5%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7.1 pp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156.9%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Zambia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2000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Within PAs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17.4%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10.5%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6.9 pp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65.3%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Bhutan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2000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Within PAs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11.2%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4.4%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6.9 pp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156.5%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Djibouti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2020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Within 10km of PAs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7.8%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1.4%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6.4 pp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446.9%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Nepal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2020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Within 10km of PAs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41.6%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35.8%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5.7 pp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16.0%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Zambia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2020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Within PAs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16.2%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10.6%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5.6 pp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53.0%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Solomon Islands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2020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Within PAs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5.7%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5.5 pp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95.8%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Senegal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2020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Within PAs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9.4%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4.1%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5.4 pp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131.3%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Cabo Verde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2020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Within PAs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14.1%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8.8%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5.3 pp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60.3%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Bolivia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2020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Within PAs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25.8%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31.0%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5.3 pp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16.9%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Solomon Islands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2000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Within PAs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5.2%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5.1 pp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97.7%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2025-11-03T17:33:59Z</dcterms:created>
  <dcterms:modified xsi:type="dcterms:W3CDTF">2025-11-03T17:33:59Z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