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rPr>
          <w:sz w:val="40"/>
          <w:szCs w:val="4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6"/>
              <w:left w:val="single" w:color="1B3A6B" w:sz="16"/>
              <w:bottom w:val="single" w:color="1B3A6B" w:sz="16"/>
              <w:right w:val="single" w:color="1B3A6B" w:sz="16"/>
            </w:tcBorders>
            <w:shd w:fill="1B3A6B" w:val="clear"/>
            <w:tcMar>
              <w:top w:type="dxa" w:w="600"/>
              <w:left w:type="dxa" w:w="600"/>
              <w:bottom w:type="dxa" w:w="600"/>
              <w:right w:type="dxa" w:w="600"/>
            </w:tcMar>
          </w:tcPr>
          <w:p>
            <w:pPr>
              <w:spacing w:before="0" w:after="120"/>
              <w:jc w:val="center"/>
            </w:pPr>
            <w:r>
              <w:rPr>
                <w:rFonts w:ascii="Arial" w:cs="Arial" w:eastAsia="Arial" w:hAnsi="Arial"/>
                <w:b/>
                <w:bCs/>
                <w:color w:val="FFFFFF"/>
                <w:sz w:val="52"/>
                <w:szCs w:val="52"/>
              </w:rPr>
              <w:t xml:space="preserve">DISE COMPLIANCE SOLUTION</w:t>
            </w:r>
          </w:p>
          <w:p>
            <w:pPr>
              <w:spacing w:before="0" w:after="240"/>
              <w:jc w:val="center"/>
            </w:pPr>
            <w:r>
              <w:rPr>
                <w:rFonts w:ascii="Arial" w:cs="Arial" w:eastAsia="Arial" w:hAnsi="Arial"/>
                <w:i/>
                <w:iCs/>
                <w:color w:val="C9A84C"/>
                <w:sz w:val="36"/>
                <w:szCs w:val="36"/>
              </w:rPr>
              <w:t xml:space="preserve">Expert Reference Guide</w:t>
            </w:r>
          </w:p>
          <w:p>
            <w:pPr>
              <w:spacing w:before="0" w:after="0"/>
              <w:jc w:val="center"/>
            </w:pPr>
            <w:r>
              <w:rPr>
                <w:rFonts w:ascii="Arial" w:cs="Arial" w:eastAsia="Arial" w:hAnsi="Arial"/>
                <w:color w:val="9CA3AF"/>
                <w:sz w:val="22"/>
                <w:szCs w:val="22"/>
              </w:rPr>
              <w:t xml:space="preserve">ASU 2024-03 | ASC 220-40 | Google Cortex + BigQuery + Claude AI</w:t>
            </w:r>
          </w:p>
        </w:tc>
      </w:tr>
    </w:tbl>
    <w:p>
      <w:pPr>
        <w:spacing w:before="0" w:after="240"/>
      </w:pPr>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92681A" w:sz="8"/>
              <w:left w:val="single" w:color="92681A" w:sz="8"/>
              <w:bottom w:val="single" w:color="92681A" w:sz="8"/>
              <w:right w:val="single" w:color="92681A" w:sz="8"/>
            </w:tcBorders>
            <w:shd w:fill="FEF3C7" w:val="clear"/>
            <w:tcMar>
              <w:top w:type="dxa" w:w="120"/>
              <w:left w:type="dxa" w:w="180"/>
              <w:bottom w:type="dxa" w:w="120"/>
              <w:right w:type="dxa" w:w="120"/>
            </w:tcMar>
          </w:tcPr>
          <w:p>
            <w:pPr>
              <w:spacing w:before="0" w:after="40"/>
            </w:pPr>
            <w:r>
              <w:rPr>
                <w:rFonts w:ascii="Arial" w:cs="Arial" w:eastAsia="Arial" w:hAnsi="Arial"/>
                <w:b/>
                <w:bCs/>
                <w:color w:val="92681A"/>
                <w:sz w:val="21"/>
                <w:szCs w:val="21"/>
              </w:rPr>
              <w:t xml:space="preserve">SAP ECC / S/4HANA</w:t>
            </w:r>
          </w:p>
          <w:p>
            <w:pPr>
              <w:spacing w:before="0" w:after="0"/>
            </w:pPr>
            <w:r>
              <w:rPr>
                <w:rFonts w:ascii="Arial" w:cs="Arial" w:eastAsia="Arial" w:hAnsi="Arial"/>
                <w:color w:val="6B7280"/>
                <w:sz w:val="18"/>
                <w:szCs w:val="18"/>
              </w:rPr>
              <w:t xml:space="preserve">Source system</w:t>
            </w:r>
          </w:p>
        </w:tc>
        <w:tc>
          <w:tcPr>
            <w:tcW w:type="dxa" w:w="2400"/>
            <w:tcBorders>
              <w:top w:val="single" w:color="0F766E" w:sz="8"/>
              <w:left w:val="single" w:color="0F766E" w:sz="8"/>
              <w:bottom w:val="single" w:color="0F766E" w:sz="8"/>
              <w:right w:val="single" w:color="0F766E" w:sz="8"/>
            </w:tcBorders>
            <w:shd w:fill="F0FDFA" w:val="clear"/>
            <w:tcMar>
              <w:top w:type="dxa" w:w="120"/>
              <w:left w:type="dxa" w:w="180"/>
              <w:bottom w:type="dxa" w:w="120"/>
              <w:right w:type="dxa" w:w="120"/>
            </w:tcMar>
          </w:tcPr>
          <w:p>
            <w:pPr>
              <w:spacing w:before="0" w:after="40"/>
            </w:pPr>
            <w:r>
              <w:rPr>
                <w:rFonts w:ascii="Arial" w:cs="Arial" w:eastAsia="Arial" w:hAnsi="Arial"/>
                <w:b/>
                <w:bCs/>
                <w:color w:val="0F766E"/>
                <w:sz w:val="21"/>
                <w:szCs w:val="21"/>
              </w:rPr>
              <w:t xml:space="preserve">Google BigQuery</w:t>
            </w:r>
          </w:p>
          <w:p>
            <w:pPr>
              <w:spacing w:before="0" w:after="0"/>
            </w:pPr>
            <w:r>
              <w:rPr>
                <w:rFonts w:ascii="Arial" w:cs="Arial" w:eastAsia="Arial" w:hAnsi="Arial"/>
                <w:color w:val="6B7280"/>
                <w:sz w:val="18"/>
                <w:szCs w:val="18"/>
              </w:rPr>
              <w:t xml:space="preserve">Data platform</w:t>
            </w:r>
          </w:p>
        </w:tc>
        <w:tc>
          <w:tcPr>
            <w:tcW w:type="dxa" w:w="2400"/>
            <w:tcBorders>
              <w:top w:val="single" w:color="0F766E" w:sz="8"/>
              <w:left w:val="single" w:color="0F766E" w:sz="8"/>
              <w:bottom w:val="single" w:color="0F766E" w:sz="8"/>
              <w:right w:val="single" w:color="0F766E" w:sz="8"/>
            </w:tcBorders>
            <w:shd w:fill="F0FDFA" w:val="clear"/>
            <w:tcMar>
              <w:top w:type="dxa" w:w="120"/>
              <w:left w:type="dxa" w:w="180"/>
              <w:bottom w:type="dxa" w:w="120"/>
              <w:right w:type="dxa" w:w="120"/>
            </w:tcMar>
          </w:tcPr>
          <w:p>
            <w:pPr>
              <w:spacing w:before="0" w:after="40"/>
            </w:pPr>
            <w:r>
              <w:rPr>
                <w:rFonts w:ascii="Arial" w:cs="Arial" w:eastAsia="Arial" w:hAnsi="Arial"/>
                <w:b/>
                <w:bCs/>
                <w:color w:val="0F766E"/>
                <w:sz w:val="21"/>
                <w:szCs w:val="21"/>
              </w:rPr>
              <w:t xml:space="preserve">Cortex Framework</w:t>
            </w:r>
          </w:p>
          <w:p>
            <w:pPr>
              <w:spacing w:before="0" w:after="0"/>
            </w:pPr>
            <w:r>
              <w:rPr>
                <w:rFonts w:ascii="Arial" w:cs="Arial" w:eastAsia="Arial" w:hAnsi="Arial"/>
                <w:color w:val="6B7280"/>
                <w:sz w:val="18"/>
                <w:szCs w:val="18"/>
              </w:rPr>
              <w:t xml:space="preserve">ETL pipeline</w:t>
            </w:r>
          </w:p>
        </w:tc>
        <w:tc>
          <w:tcPr>
            <w:tcW w:type="dxa" w:w="2520"/>
            <w:tcBorders>
              <w:top w:val="single" w:color="0F766E" w:sz="8"/>
              <w:left w:val="single" w:color="0F766E" w:sz="8"/>
              <w:bottom w:val="single" w:color="0F766E" w:sz="8"/>
              <w:right w:val="single" w:color="0F766E" w:sz="8"/>
            </w:tcBorders>
            <w:shd w:fill="F0FDFA" w:val="clear"/>
            <w:tcMar>
              <w:top w:type="dxa" w:w="120"/>
              <w:left w:type="dxa" w:w="180"/>
              <w:bottom w:type="dxa" w:w="120"/>
              <w:right w:type="dxa" w:w="120"/>
            </w:tcMar>
          </w:tcPr>
          <w:p>
            <w:pPr>
              <w:spacing w:before="0" w:after="40"/>
            </w:pPr>
            <w:r>
              <w:rPr>
                <w:rFonts w:ascii="Arial" w:cs="Arial" w:eastAsia="Arial" w:hAnsi="Arial"/>
                <w:b/>
                <w:bCs/>
                <w:color w:val="0F766E"/>
                <w:sz w:val="21"/>
                <w:szCs w:val="21"/>
              </w:rPr>
              <w:t xml:space="preserve">Claude AI</w:t>
            </w:r>
          </w:p>
          <w:p>
            <w:pPr>
              <w:spacing w:before="0" w:after="0"/>
            </w:pPr>
            <w:r>
              <w:rPr>
                <w:rFonts w:ascii="Arial" w:cs="Arial" w:eastAsia="Arial" w:hAnsi="Arial"/>
                <w:color w:val="6B7280"/>
                <w:sz w:val="18"/>
                <w:szCs w:val="18"/>
              </w:rPr>
              <w:t xml:space="preserve">Disclosure drafting</w:t>
            </w:r>
          </w:p>
        </w:tc>
      </w:tr>
    </w:tbl>
    <w:p>
      <w:pPr>
        <w:spacing w:before="0" w:after="480"/>
      </w:pPr>
      <w:r>
        <w:rPr>
          <w:sz w:val="22"/>
          <w:szCs w:val="22"/>
        </w:rPr>
        <w:t xml:space="preserve"/>
      </w:r>
    </w:p>
    <w:p>
      <w:pPr>
        <w:jc w:val="center"/>
      </w:pPr>
      <w:r>
        <w:rPr>
          <w:rFonts w:ascii="Arial" w:cs="Arial" w:eastAsia="Arial" w:hAnsi="Arial"/>
          <w:i/>
          <w:iCs/>
          <w:color w:val="6B7280"/>
          <w:sz w:val="20"/>
          <w:szCs w:val="20"/>
        </w:rPr>
        <w:t xml:space="preserve">Prepared for personal study and client conversations</w:t>
      </w:r>
    </w:p>
    <w:p>
      <w:pPr>
        <w:spacing w:before="0" w:after="0"/>
        <w:jc w:val="center"/>
      </w:pPr>
      <w:r>
        <w:rPr>
          <w:rFonts w:ascii="Arial" w:cs="Arial" w:eastAsia="Arial" w:hAnsi="Arial"/>
          <w:color w:val="6B7280"/>
          <w:sz w:val="20"/>
          <w:szCs w:val="20"/>
        </w:rPr>
        <w:t xml:space="preserve">March 2026</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Table of Contents</w:t>
      </w:r>
    </w:p>
    <w:sdt>
      <w:sdtPr>
        <w:alias w:val="Table of Contents"/>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1: What is DISE and Why It Matters</w:t>
      </w:r>
    </w:p>
    <w:p>
      <w:pPr>
        <w:pStyle w:val="Heading2"/>
        <w:spacing w:before="360" w:after="180"/>
      </w:pPr>
      <w:r>
        <w:rPr>
          <w:rFonts w:ascii="Arial" w:cs="Arial" w:eastAsia="Arial" w:hAnsi="Arial"/>
          <w:b/>
          <w:bCs/>
          <w:color w:val="1B3A6B"/>
          <w:sz w:val="32"/>
          <w:szCs w:val="32"/>
        </w:rPr>
        <w:t xml:space="preserve">1.1  The Regulatory Background</w:t>
      </w:r>
    </w:p>
    <w:p>
      <w:pPr>
        <w:spacing w:before="0" w:after="160"/>
        <w:jc w:val="left"/>
      </w:pPr>
      <w:r>
        <w:rPr>
          <w:rFonts w:ascii="Arial" w:cs="Arial" w:eastAsia="Arial" w:hAnsi="Arial"/>
          <w:color w:val="111827"/>
          <w:sz w:val="22"/>
          <w:szCs w:val="22"/>
        </w:rPr>
        <w:t xml:space="preserve">DISE stands for Disaggregation of Income Statement Expenses. It is a new SEC disclosure requirement introduced by FASB Accounting Standards Update (ASU) 2024-03, codified in ASC Topic 220-40. A clarifying update, ASU 2025-01, was subsequently issued to address early implementation questions.</w:t>
      </w:r>
    </w:p>
    <w:p>
      <w:pPr>
        <w:spacing w:before="0" w:after="160"/>
        <w:jc w:val="left"/>
      </w:pPr>
      <w:r>
        <w:rPr>
          <w:rFonts w:ascii="Arial" w:cs="Arial" w:eastAsia="Arial" w:hAnsi="Arial"/>
          <w:color w:val="111827"/>
          <w:sz w:val="22"/>
          <w:szCs w:val="22"/>
        </w:rPr>
        <w:t xml:space="preserve">The requirement mandates that all public business entities (PBEs) provide a tabular footnote in their financial statements that disaggregates relevant income statement expense captions into prescribed natural expense categories. In plain terms: the footnote must show how much of each major expense line — Cost of Goods Sold, SG&amp;A, R&amp;D — is made up of inventory purchases versus employee compensation versus depreciation versus intangible amortization versus other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92681A" w:sz="8"/>
              <w:left w:val="single" w:color="92681A" w:sz="24"/>
              <w:bottom w:val="single" w:color="92681A" w:sz="8"/>
              <w:right w:val="single" w:color="92681A" w:sz="8"/>
            </w:tcBorders>
            <w:shd w:fill="FEF3C7" w:val="clear"/>
            <w:tcMar>
              <w:top w:type="dxa" w:w="160"/>
              <w:left w:type="dxa" w:w="240"/>
              <w:bottom w:type="dxa" w:w="160"/>
              <w:right w:type="dxa" w:w="200"/>
            </w:tcMar>
          </w:tcPr>
          <w:p>
            <w:pPr>
              <w:spacing w:before="0" w:after="0"/>
            </w:pPr>
            <w:r>
              <w:rPr>
                <w:rFonts w:ascii="Arial" w:cs="Arial" w:eastAsia="Arial" w:hAnsi="Arial"/>
                <w:i/>
                <w:iCs/>
                <w:color w:val="92681A"/>
                <w:sz w:val="22"/>
                <w:szCs w:val="22"/>
              </w:rPr>
              <w:t xml:space="preserve">Key dates: Annual periods beginning after December 15, 2026. Interim periods beginning after December 15, 2027. Calendar year-end public companies must comply from January 1, 2027.</w:t>
            </w:r>
          </w:p>
        </w:tc>
      </w:tr>
    </w:tbl>
    <w:p>
      <w:pPr>
        <w:spacing w:before="0" w:after="120"/>
      </w:pPr>
      <w:r>
        <w:rPr>
          <w:sz w:val="22"/>
          <w:szCs w:val="22"/>
        </w:rPr>
        <w:t xml:space="preserve"/>
      </w:r>
    </w:p>
    <w:p>
      <w:pPr>
        <w:pStyle w:val="Heading2"/>
        <w:spacing w:before="360" w:after="180"/>
      </w:pPr>
      <w:r>
        <w:rPr>
          <w:rFonts w:ascii="Arial" w:cs="Arial" w:eastAsia="Arial" w:hAnsi="Arial"/>
          <w:b/>
          <w:bCs/>
          <w:color w:val="1B3A6B"/>
          <w:sz w:val="32"/>
          <w:szCs w:val="32"/>
        </w:rPr>
        <w:t xml:space="preserve">1.2  The Five Required Natural Expense Categories</w:t>
      </w:r>
    </w:p>
    <w:p>
      <w:pPr>
        <w:spacing w:before="0" w:after="160"/>
        <w:jc w:val="left"/>
      </w:pPr>
      <w:r>
        <w:rPr>
          <w:rFonts w:ascii="Arial" w:cs="Arial" w:eastAsia="Arial" w:hAnsi="Arial"/>
          <w:color w:val="111827"/>
          <w:sz w:val="22"/>
          <w:szCs w:val="22"/>
        </w:rPr>
        <w:t xml:space="preserve">ASC 220-40-50-6 prescribes exactly five natural expense categories that must appear as columns in the disclosure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Category</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ASC Reference and Definition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Purchases of Inventory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330 — The cost of goods purchased for resale or use in production, including freight-in and import duties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Employee Compensation</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220-40 — Wages, salaries, bonuses, equity compensation, pension costs, and all other forms of employee remuneration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Depreciation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360 — Periodic allocation of PP&amp;E cost only. Does NOT include amortization of intangibles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Intangible Asset Amortization</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350 — Periodic allocation of intangible asset costs, including capitalized software under ASC 985-20</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DD&amp;A (Depletion, Depreciation and Amortization)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932 — Extractive industries only. Oil, gas, and mining companies use this instead of the separate Depreciation and Amortization categories</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Other (catch-all)</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Not a required category — amounts that do not fit the five above are disclosed as Other. This is NOT a sixth required category</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1.3  What is NOT in Scope</w:t>
      </w:r>
    </w:p>
    <w:p>
      <w:pPr>
        <w:spacing w:before="0" w:after="160"/>
        <w:jc w:val="left"/>
      </w:pPr>
      <w:r>
        <w:rPr>
          <w:rFonts w:ascii="Arial" w:cs="Arial" w:eastAsia="Arial" w:hAnsi="Arial"/>
          <w:color w:val="111827"/>
          <w:sz w:val="22"/>
          <w:szCs w:val="22"/>
        </w:rPr>
        <w:t xml:space="preserve">Understanding exclusions is as important as understanding inclusions for client conversations:</w:t>
      </w:r>
    </w:p>
    <w:p>
      <w:pPr>
        <w:pStyle w:val="ListParagraph"/>
        <w:numPr>
          <w:ilvl w:val="0"/>
          <w:numId w:val="2"/>
        </w:numPr>
        <w:spacing w:before="40" w:after="60"/>
      </w:pPr>
      <w:r>
        <w:rPr>
          <w:rFonts w:ascii="Arial" w:cs="Arial" w:eastAsia="Arial" w:hAnsi="Arial"/>
          <w:color w:val="111827"/>
          <w:sz w:val="22"/>
          <w:szCs w:val="22"/>
        </w:rPr>
        <w:t xml:space="preserve">Interest expense is explicitly excluded from DISE disaggregation — it is never a relevant caption</w:t>
      </w:r>
    </w:p>
    <w:p>
      <w:pPr>
        <w:pStyle w:val="ListParagraph"/>
        <w:numPr>
          <w:ilvl w:val="0"/>
          <w:numId w:val="2"/>
        </w:numPr>
        <w:spacing w:before="40" w:after="60"/>
      </w:pPr>
      <w:r>
        <w:rPr>
          <w:rFonts w:ascii="Arial" w:cs="Arial" w:eastAsia="Arial" w:hAnsi="Arial"/>
          <w:color w:val="111827"/>
          <w:sz w:val="22"/>
          <w:szCs w:val="22"/>
        </w:rPr>
        <w:t xml:space="preserve">Income tax expense is explicitly excluded — never included in the tabular disclosure</w:t>
      </w:r>
    </w:p>
    <w:p>
      <w:pPr>
        <w:pStyle w:val="ListParagraph"/>
        <w:numPr>
          <w:ilvl w:val="0"/>
          <w:numId w:val="2"/>
        </w:numPr>
        <w:spacing w:before="40" w:after="60"/>
      </w:pPr>
      <w:r>
        <w:rPr>
          <w:rFonts w:ascii="Arial" w:cs="Arial" w:eastAsia="Arial" w:hAnsi="Arial"/>
          <w:color w:val="111827"/>
          <w:sz w:val="22"/>
          <w:szCs w:val="22"/>
        </w:rPr>
        <w:t xml:space="preserve">Selling expenses are handled differently — they require a separate narrative disclosure (total amount plus definition) rather than appearing in the tabular disaggregation. This is one of the most common misconceptions clients have</w:t>
      </w:r>
    </w:p>
    <w:p>
      <w:pPr>
        <w:pStyle w:val="ListParagraph"/>
        <w:numPr>
          <w:ilvl w:val="0"/>
          <w:numId w:val="2"/>
        </w:numPr>
        <w:spacing w:before="40" w:after="60"/>
      </w:pPr>
      <w:r>
        <w:rPr>
          <w:rFonts w:ascii="Arial" w:cs="Arial" w:eastAsia="Arial" w:hAnsi="Arial"/>
          <w:color w:val="111827"/>
          <w:sz w:val="22"/>
          <w:szCs w:val="22"/>
        </w:rPr>
        <w:t xml:space="preserve">Private companies, nonprofits, and employee benefit plans are out of scope entirely</w:t>
      </w:r>
    </w:p>
    <w:p>
      <w:pPr>
        <w:pStyle w:val="ListParagraph"/>
        <w:numPr>
          <w:ilvl w:val="0"/>
          <w:numId w:val="2"/>
        </w:numPr>
        <w:spacing w:before="40" w:after="60"/>
      </w:pPr>
      <w:r>
        <w:rPr>
          <w:rFonts w:ascii="Arial" w:cs="Arial" w:eastAsia="Arial" w:hAnsi="Arial"/>
          <w:color w:val="111827"/>
          <w:sz w:val="22"/>
          <w:szCs w:val="22"/>
        </w:rPr>
        <w:t xml:space="preserve">The requirement only applies to expense captions on the face of the income statement — not all GL accounts</w:t>
      </w:r>
    </w:p>
    <w:p>
      <w:pPr>
        <w:spacing w:before="0" w:after="120"/>
      </w:pPr>
      <w:r>
        <w:rPr>
          <w:sz w:val="22"/>
          <w:szCs w:val="22"/>
        </w:rPr>
        <w:t xml:space="preserve"/>
      </w:r>
    </w:p>
    <w:p>
      <w:pPr>
        <w:pStyle w:val="Heading2"/>
        <w:spacing w:before="360" w:after="180"/>
      </w:pPr>
      <w:r>
        <w:rPr>
          <w:rFonts w:ascii="Arial" w:cs="Arial" w:eastAsia="Arial" w:hAnsi="Arial"/>
          <w:b/>
          <w:bCs/>
          <w:color w:val="1B3A6B"/>
          <w:sz w:val="32"/>
          <w:szCs w:val="32"/>
        </w:rPr>
        <w:t xml:space="preserve">1.4  The Business Problem This Creates</w:t>
      </w:r>
    </w:p>
    <w:p>
      <w:pPr>
        <w:spacing w:before="0" w:after="160"/>
        <w:jc w:val="left"/>
      </w:pPr>
      <w:r>
        <w:rPr>
          <w:rFonts w:ascii="Arial" w:cs="Arial" w:eastAsia="Arial" w:hAnsi="Arial"/>
          <w:color w:val="111827"/>
          <w:sz w:val="22"/>
          <w:szCs w:val="22"/>
        </w:rPr>
        <w:t xml:space="preserve">For a Fortune 100 company, a chart of accounts typically contains 2,000 to 8,000 active GL accounts. Of those, 400 to 1,200 are income statement accounts. Each account must be reviewed and assigned to one of the five DISE categories. Then, every quarter, the amounts posted to those accounts must be aggregated by category and caption, reconciled to the income statement face, and formatted as a tabular footnote in formal 10-K language.</w:t>
      </w:r>
    </w:p>
    <w:p>
      <w:pPr>
        <w:spacing w:before="0" w:after="160"/>
        <w:jc w:val="left"/>
      </w:pPr>
      <w:r>
        <w:rPr>
          <w:rFonts w:ascii="Arial" w:cs="Arial" w:eastAsia="Arial" w:hAnsi="Arial"/>
          <w:color w:val="111827"/>
          <w:sz w:val="22"/>
          <w:szCs w:val="22"/>
        </w:rPr>
        <w:t xml:space="preserve">Without automation, this process takes a Big 4 advisory team 400 to 800 hours for the initial setup and 30 to 68 hours per quarter thereafter — at a fully loaded cost of $3M to $8M over five years for a complex Fortune 100. Your solution reduces this to weeks of setup and under one hour per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0F766E" w:sz="8"/>
              <w:left w:val="single" w:color="0F766E" w:sz="24"/>
              <w:bottom w:val="single" w:color="0F766E" w:sz="8"/>
              <w:right w:val="single" w:color="0F766E" w:sz="8"/>
            </w:tcBorders>
            <w:shd w:fill="F0FDFA" w:val="clear"/>
            <w:tcMar>
              <w:top w:type="dxa" w:w="160"/>
              <w:left w:type="dxa" w:w="240"/>
              <w:bottom w:type="dxa" w:w="160"/>
              <w:right w:type="dxa" w:w="200"/>
            </w:tcMar>
          </w:tcPr>
          <w:p>
            <w:pPr>
              <w:spacing w:before="0" w:after="0"/>
            </w:pPr>
            <w:r>
              <w:rPr>
                <w:rFonts w:ascii="Arial" w:cs="Arial" w:eastAsia="Arial" w:hAnsi="Arial"/>
                <w:i/>
                <w:iCs/>
                <w:color w:val="0F766E"/>
                <w:sz w:val="22"/>
                <w:szCs w:val="22"/>
              </w:rPr>
              <w:t xml:space="preserve">The pitch in one sentence: "Every other DISE solution produces a number and asks you to trust it. Ours produces a number and shows you exactly how it got there — down to the individual SAP journal entry."</w:t>
            </w:r>
          </w:p>
        </w:tc>
      </w:tr>
    </w:tbl>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2: Solution Architecture</w:t>
      </w:r>
    </w:p>
    <w:p>
      <w:pPr>
        <w:pStyle w:val="Heading2"/>
        <w:spacing w:before="360" w:after="180"/>
      </w:pPr>
      <w:r>
        <w:rPr>
          <w:rFonts w:ascii="Arial" w:cs="Arial" w:eastAsia="Arial" w:hAnsi="Arial"/>
          <w:b/>
          <w:bCs/>
          <w:color w:val="1B3A6B"/>
          <w:sz w:val="32"/>
          <w:szCs w:val="32"/>
        </w:rPr>
        <w:t xml:space="preserve">2.1  The Technology Stack</w:t>
      </w:r>
    </w:p>
    <w:p>
      <w:pPr>
        <w:spacing w:before="0" w:after="160"/>
        <w:jc w:val="left"/>
      </w:pPr>
      <w:r>
        <w:rPr>
          <w:rFonts w:ascii="Arial" w:cs="Arial" w:eastAsia="Arial" w:hAnsi="Arial"/>
          <w:color w:val="111827"/>
          <w:sz w:val="22"/>
          <w:szCs w:val="22"/>
        </w:rPr>
        <w:t xml:space="preserve">The solution is built entirely on infrastructure that SAP customers using Google Cloud already have or can access at commodity prices. No new software licenses are required beyond the Anthropic API for AI-generated narrative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Layer</w:t>
            </w:r>
          </w:p>
        </w:tc>
        <w:tc>
          <w:tcPr>
            <w:tcW w:type="dxa" w:w="69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Component and Role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Source system</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SAP ECC or S/4HANA — the system of record for all financial transactions. Data is extracted via the Cortex Framework replication pipeline</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Replication</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Google Cortex Framework — open-source, opinionated data pipeline that replicates SAP tables to BigQuery. Deployed via Cloud Build into the customer's own GCP project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Raw layer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dataset CORTEX_SAP_RAW — 1:1 structural copy of SAP tables. bkpf, bseg, anla, ekko, ekpo, and others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CDC layer</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dataset CORTEX_SAP_CDC — change-data-capture processed tables. This is the primary query layer for the DISE pivot in ECC environments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Reporting layer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dataset CORTEX_SAP_REPORTING — pre-built Cortex Finance models including AccountingDocuments and FixedAssets_PeriodicDepreciation. Used in S/4HANA environments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DISE layer</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dataset dise_reporting — your solution's layer. Contains gl_dise_mapping (the methodology table) and fact_expense_disagg (the aggregated DISE output)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AI layer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Anthropic Claude API — generates the formal 10-K footnote narrative, estimation method disclosure, and selling expense narrative from the structured BigQuery output</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Governance</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GCP IAM, VPC Service Controls, Cloud Audit Logs, Secret Manager — security and auditability controls</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2.2  ECC vs S/4HANA — Key Difference</w:t>
      </w:r>
    </w:p>
    <w:p>
      <w:pPr>
        <w:spacing w:before="0" w:after="160"/>
        <w:jc w:val="left"/>
      </w:pPr>
      <w:r>
        <w:rPr>
          <w:rFonts w:ascii="Arial" w:cs="Arial" w:eastAsia="Arial" w:hAnsi="Arial"/>
          <w:color w:val="111827"/>
          <w:sz w:val="22"/>
          <w:szCs w:val="22"/>
        </w:rPr>
        <w:t xml:space="preserve">This distinction matters in every client conversation because it determines which tables you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Aspect</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SAP ECC (Classic)</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SAP S/4HANA (Modern)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Journal structure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Two tables: bkpf + bseg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Single table: ACDOCA</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FI and CO</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Separate ledgers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Unified in ACDOCA</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Cortex target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CORTEX_SAP_CDC</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CORTEX_SAP_REPORTING</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Asset accounting</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ANLC/ANLP joined separately</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Included in ACDOCA</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Your solution support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Full — bkpf/bseg join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Full — single-table query</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2.3  The Core DISE Pivot Query (ECC Environment)</w:t>
      </w:r>
    </w:p>
    <w:p>
      <w:pPr>
        <w:spacing w:before="0" w:after="160"/>
        <w:jc w:val="left"/>
      </w:pPr>
      <w:r>
        <w:rPr>
          <w:rFonts w:ascii="Arial" w:cs="Arial" w:eastAsia="Arial" w:hAnsi="Arial"/>
          <w:color w:val="111827"/>
          <w:sz w:val="22"/>
          <w:szCs w:val="22"/>
        </w:rPr>
        <w:t xml:space="preserve">This is the heart of the solution. Understanding this query in detail is essential for technical conversations. The query does two distinct jobs simultaneously:</w:t>
      </w:r>
    </w:p>
    <w:p>
      <w:pPr>
        <w:pStyle w:val="ListParagraph"/>
        <w:numPr>
          <w:ilvl w:val="0"/>
          <w:numId w:val="2"/>
        </w:numPr>
        <w:spacing w:before="40" w:after="80"/>
      </w:pPr>
      <w:r>
        <w:rPr>
          <w:rFonts w:ascii="Arial" w:cs="Arial" w:eastAsia="Arial" w:hAnsi="Arial"/>
          <w:b/>
          <w:bCs/>
          <w:color w:val="111827"/>
          <w:sz w:val="22"/>
          <w:szCs w:val="22"/>
        </w:rPr>
        <w:t xml:space="preserve">Join 1 — Reconstructing the ECC journal entry: </w:t>
      </w:r>
      <w:r>
        <w:rPr>
          <w:rFonts w:ascii="Arial" w:cs="Arial" w:eastAsia="Arial" w:hAnsi="Arial"/>
          <w:color w:val="111827"/>
          <w:sz w:val="22"/>
          <w:szCs w:val="22"/>
        </w:rPr>
        <w:t xml:space="preserve">bkpf is the document header (date, company code, document type, fiscal period). bseg is the line items (GL account, amount, cost center, debit/credit). Neither table is useful alone. Together they reconstruct a complete view of every financial transaction.</w:t>
      </w:r>
    </w:p>
    <w:p>
      <w:pPr>
        <w:pStyle w:val="ListParagraph"/>
        <w:numPr>
          <w:ilvl w:val="0"/>
          <w:numId w:val="2"/>
        </w:numPr>
        <w:spacing w:before="40" w:after="80"/>
      </w:pPr>
      <w:r>
        <w:rPr>
          <w:rFonts w:ascii="Arial" w:cs="Arial" w:eastAsia="Arial" w:hAnsi="Arial"/>
          <w:b/>
          <w:bCs/>
          <w:color w:val="111827"/>
          <w:sz w:val="22"/>
          <w:szCs w:val="22"/>
        </w:rPr>
        <w:t xml:space="preserve">Join 2 — Applying the DISE semantic layer: </w:t>
      </w:r>
      <w:r>
        <w:rPr>
          <w:rFonts w:ascii="Arial" w:cs="Arial" w:eastAsia="Arial" w:hAnsi="Arial"/>
          <w:color w:val="111827"/>
          <w:sz w:val="22"/>
          <w:szCs w:val="22"/>
        </w:rPr>
        <w:t xml:space="preserve">bseg.HKONT (the raw GL account number) is joined to your gl_dise_mapping table. This is where SAP data becomes DISE-compliant data. Without this join, the numbers are just debits and credits. With it, every transaction carries a DISE category and expense caption.</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SELECT</w:t>
            </w:r>
          </w:p>
          <w:p>
            <w:pPr>
              <w:spacing w:before="0" w:after="40"/>
            </w:pPr>
            <w:r>
              <w:rPr>
                <w:rFonts w:ascii="Courier New" w:cs="Courier New" w:eastAsia="Courier New" w:hAnsi="Courier New"/>
                <w:color w:val="7AB0E0"/>
                <w:sz w:val="18"/>
                <w:szCs w:val="18"/>
              </w:rPr>
              <w:t xml:space="preserve">  m.expense_caption,</w:t>
            </w:r>
          </w:p>
          <w:p>
            <w:pPr>
              <w:spacing w:before="0" w:after="40"/>
            </w:pPr>
            <w:r>
              <w:rPr>
                <w:rFonts w:ascii="Courier New" w:cs="Courier New" w:eastAsia="Courier New" w:hAnsi="Courier New"/>
                <w:color w:val="7AB0E0"/>
                <w:sz w:val="18"/>
                <w:szCs w:val="18"/>
              </w:rPr>
              <w:t xml:space="preserve">  ROUND(SUM(CASE WHEN m.dise_category = 'inventory'</w:t>
            </w:r>
          </w:p>
          <w:p>
            <w:pPr>
              <w:spacing w:before="0" w:after="40"/>
            </w:pPr>
            <w:r>
              <w:rPr>
                <w:rFonts w:ascii="Courier New" w:cs="Courier New" w:eastAsia="Courier New" w:hAnsi="Courier New"/>
                <w:color w:val="7AB0E0"/>
                <w:sz w:val="18"/>
                <w:szCs w:val="18"/>
              </w:rPr>
              <w:t xml:space="preserve">    THEN bseg.DMBTR ELSE 0 END), 0)    AS purchases_of_inventory,</w:t>
            </w:r>
          </w:p>
          <w:p>
            <w:pPr>
              <w:spacing w:before="0" w:after="40"/>
            </w:pPr>
            <w:r>
              <w:rPr>
                <w:rFonts w:ascii="Courier New" w:cs="Courier New" w:eastAsia="Courier New" w:hAnsi="Courier New"/>
                <w:color w:val="7AB0E0"/>
                <w:sz w:val="18"/>
                <w:szCs w:val="18"/>
              </w:rPr>
              <w:t xml:space="preserve">  ROUND(SUM(CASE WHEN m.dise_category = 'compensation'</w:t>
            </w:r>
          </w:p>
          <w:p>
            <w:pPr>
              <w:spacing w:before="0" w:after="40"/>
            </w:pPr>
            <w:r>
              <w:rPr>
                <w:rFonts w:ascii="Courier New" w:cs="Courier New" w:eastAsia="Courier New" w:hAnsi="Courier New"/>
                <w:color w:val="7AB0E0"/>
                <w:sz w:val="18"/>
                <w:szCs w:val="18"/>
              </w:rPr>
              <w:t xml:space="preserve">    THEN bseg.DMBTR ELSE 0 END), 0)    AS employee_compensation,</w:t>
            </w:r>
          </w:p>
          <w:p>
            <w:pPr>
              <w:spacing w:before="0" w:after="40"/>
            </w:pPr>
            <w:r>
              <w:rPr>
                <w:rFonts w:ascii="Courier New" w:cs="Courier New" w:eastAsia="Courier New" w:hAnsi="Courier New"/>
                <w:color w:val="7AB0E0"/>
                <w:sz w:val="18"/>
                <w:szCs w:val="18"/>
              </w:rPr>
              <w:t xml:space="preserve">  ROUND(SUM(CASE WHEN m.dise_category = 'depreciation'</w:t>
            </w:r>
          </w:p>
          <w:p>
            <w:pPr>
              <w:spacing w:before="0" w:after="40"/>
            </w:pPr>
            <w:r>
              <w:rPr>
                <w:rFonts w:ascii="Courier New" w:cs="Courier New" w:eastAsia="Courier New" w:hAnsi="Courier New"/>
                <w:color w:val="7AB0E0"/>
                <w:sz w:val="18"/>
                <w:szCs w:val="18"/>
              </w:rPr>
              <w:t xml:space="preserve">    THEN bseg.DMBTR ELSE 0 END), 0)    AS depreciation,</w:t>
            </w:r>
          </w:p>
          <w:p>
            <w:pPr>
              <w:spacing w:before="0" w:after="40"/>
            </w:pPr>
            <w:r>
              <w:rPr>
                <w:rFonts w:ascii="Courier New" w:cs="Courier New" w:eastAsia="Courier New" w:hAnsi="Courier New"/>
                <w:color w:val="7AB0E0"/>
                <w:sz w:val="18"/>
                <w:szCs w:val="18"/>
              </w:rPr>
              <w:t xml:space="preserve">  ROUND(SUM(CASE WHEN m.dise_category = 'amortization'</w:t>
            </w:r>
          </w:p>
          <w:p>
            <w:pPr>
              <w:spacing w:before="0" w:after="40"/>
            </w:pPr>
            <w:r>
              <w:rPr>
                <w:rFonts w:ascii="Courier New" w:cs="Courier New" w:eastAsia="Courier New" w:hAnsi="Courier New"/>
                <w:color w:val="7AB0E0"/>
                <w:sz w:val="18"/>
                <w:szCs w:val="18"/>
              </w:rPr>
              <w:t xml:space="preserve">    THEN bseg.DMBTR ELSE 0 END), 0)    AS intangible_amortization,</w:t>
            </w:r>
          </w:p>
          <w:p>
            <w:pPr>
              <w:spacing w:before="0" w:after="40"/>
            </w:pPr>
            <w:r>
              <w:rPr>
                <w:rFonts w:ascii="Courier New" w:cs="Courier New" w:eastAsia="Courier New" w:hAnsi="Courier New"/>
                <w:color w:val="7AB0E0"/>
                <w:sz w:val="18"/>
                <w:szCs w:val="18"/>
              </w:rPr>
              <w:t xml:space="preserve">  ROUND(SUM(CASE WHEN m.dise_category = 'other'</w:t>
            </w:r>
          </w:p>
          <w:p>
            <w:pPr>
              <w:spacing w:before="0" w:after="40"/>
            </w:pPr>
            <w:r>
              <w:rPr>
                <w:rFonts w:ascii="Courier New" w:cs="Courier New" w:eastAsia="Courier New" w:hAnsi="Courier New"/>
                <w:color w:val="7AB0E0"/>
                <w:sz w:val="18"/>
                <w:szCs w:val="18"/>
              </w:rPr>
              <w:t xml:space="preserve">    THEN bseg.DMBTR ELSE 0 END), 0)    AS other_expenses</w:t>
            </w:r>
          </w:p>
          <w:p>
            <w:pPr>
              <w:spacing w:before="0" w:after="40"/>
            </w:pPr>
            <w:r>
              <w:rPr>
                <w:rFonts w:ascii="Courier New" w:cs="Courier New" w:eastAsia="Courier New" w:hAnsi="Courier New"/>
                <w:color w:val="7AB0E0"/>
                <w:sz w:val="18"/>
                <w:szCs w:val="18"/>
              </w:rPr>
              <w:t xml:space="preserve">FROM `[PROJECT].CORTEX_SAP_CDC.bkpf` bkpf</w:t>
            </w:r>
          </w:p>
          <w:p>
            <w:pPr>
              <w:spacing w:before="0" w:after="40"/>
            </w:pPr>
            <w:r>
              <w:rPr>
                <w:rFonts w:ascii="Courier New" w:cs="Courier New" w:eastAsia="Courier New" w:hAnsi="Courier New"/>
                <w:color w:val="7AB0E0"/>
                <w:sz w:val="18"/>
                <w:szCs w:val="18"/>
              </w:rPr>
              <w:t xml:space="preserve">JOIN `[PROJECT].CORTEX_SAP_CDC.bseg` bseg</w:t>
            </w:r>
          </w:p>
          <w:p>
            <w:pPr>
              <w:spacing w:before="0" w:after="40"/>
            </w:pPr>
            <w:r>
              <w:rPr>
                <w:rFonts w:ascii="Courier New" w:cs="Courier New" w:eastAsia="Courier New" w:hAnsi="Courier New"/>
                <w:color w:val="7AB0E0"/>
                <w:sz w:val="18"/>
                <w:szCs w:val="18"/>
              </w:rPr>
              <w:t xml:space="preserve">  ON  bkpf.MANDT = bseg.MANDT AND bkpf.BUKRS = bseg.BUKRS</w:t>
            </w:r>
          </w:p>
          <w:p>
            <w:pPr>
              <w:spacing w:before="0" w:after="40"/>
            </w:pPr>
            <w:r>
              <w:rPr>
                <w:rFonts w:ascii="Courier New" w:cs="Courier New" w:eastAsia="Courier New" w:hAnsi="Courier New"/>
                <w:color w:val="7AB0E0"/>
                <w:sz w:val="18"/>
                <w:szCs w:val="18"/>
              </w:rPr>
              <w:t xml:space="preserve">  AND bkpf.BELNR = bseg.BELNR AND bkpf.GJAHR = bseg.GJAHR</w:t>
            </w:r>
          </w:p>
          <w:p>
            <w:pPr>
              <w:spacing w:before="0" w:after="40"/>
            </w:pPr>
            <w:r>
              <w:rPr>
                <w:rFonts w:ascii="Courier New" w:cs="Courier New" w:eastAsia="Courier New" w:hAnsi="Courier New"/>
                <w:color w:val="7AB0E0"/>
                <w:sz w:val="18"/>
                <w:szCs w:val="18"/>
              </w:rPr>
              <w:t xml:space="preserve">JOIN `[PROJECT].dise_reporting.gl_dise_mapping` m</w:t>
            </w:r>
          </w:p>
          <w:p>
            <w:pPr>
              <w:spacing w:before="0" w:after="40"/>
            </w:pPr>
            <w:r>
              <w:rPr>
                <w:rFonts w:ascii="Courier New" w:cs="Courier New" w:eastAsia="Courier New" w:hAnsi="Courier New"/>
                <w:color w:val="7AB0E0"/>
                <w:sz w:val="18"/>
                <w:szCs w:val="18"/>
              </w:rPr>
              <w:t xml:space="preserve">  ON bseg.HKONT = m.gl_account</w:t>
            </w:r>
          </w:p>
          <w:p>
            <w:pPr>
              <w:spacing w:before="0" w:after="40"/>
            </w:pPr>
            <w:r>
              <w:rPr>
                <w:rFonts w:ascii="Courier New" w:cs="Courier New" w:eastAsia="Courier New" w:hAnsi="Courier New"/>
                <w:color w:val="7AB0E0"/>
                <w:sz w:val="18"/>
                <w:szCs w:val="18"/>
              </w:rPr>
              <w:t xml:space="preserve">WHERE bkpf.GJAHR = '2023'</w:t>
            </w:r>
          </w:p>
          <w:p>
            <w:pPr>
              <w:spacing w:before="0" w:after="40"/>
            </w:pPr>
            <w:r>
              <w:rPr>
                <w:rFonts w:ascii="Courier New" w:cs="Courier New" w:eastAsia="Courier New" w:hAnsi="Courier New"/>
                <w:color w:val="7AB0E0"/>
                <w:sz w:val="18"/>
                <w:szCs w:val="18"/>
              </w:rPr>
              <w:t xml:space="preserve">  AND m.status = 'mapped'</w:t>
            </w:r>
          </w:p>
          <w:p>
            <w:pPr>
              <w:spacing w:before="0" w:after="40"/>
            </w:pPr>
            <w:r>
              <w:rPr>
                <w:rFonts w:ascii="Courier New" w:cs="Courier New" w:eastAsia="Courier New" w:hAnsi="Courier New"/>
                <w:color w:val="7AB0E0"/>
                <w:sz w:val="18"/>
                <w:szCs w:val="18"/>
              </w:rPr>
              <w:t xml:space="preserve">  AND bkpf.BLART NOT IN ('AA','AF','AB')  -- Exclude FI-AA asset postings</w:t>
            </w:r>
          </w:p>
          <w:p>
            <w:pPr>
              <w:spacing w:before="0" w:after="40"/>
            </w:pPr>
            <w:r>
              <w:rPr>
                <w:rFonts w:ascii="Courier New" w:cs="Courier New" w:eastAsia="Courier New" w:hAnsi="Courier New"/>
                <w:color w:val="7AB0E0"/>
                <w:sz w:val="18"/>
                <w:szCs w:val="18"/>
              </w:rPr>
              <w:t xml:space="preserve">GROUP BY m.expense_caption</w:t>
            </w:r>
          </w:p>
          <w:p>
            <w:pPr>
              <w:spacing w:before="0" w:after="40"/>
            </w:pPr>
            <w:r>
              <w:rPr>
                <w:rFonts w:ascii="Courier New" w:cs="Courier New" w:eastAsia="Courier New" w:hAnsi="Courier New"/>
                <w:color w:val="7AB0E0"/>
                <w:sz w:val="18"/>
                <w:szCs w:val="18"/>
              </w:rPr>
              <w:t xml:space="preserve">ORDER BY CASE m.expense_caption</w:t>
            </w:r>
          </w:p>
          <w:p>
            <w:pPr>
              <w:spacing w:before="0" w:after="40"/>
            </w:pPr>
            <w:r>
              <w:rPr>
                <w:rFonts w:ascii="Courier New" w:cs="Courier New" w:eastAsia="Courier New" w:hAnsi="Courier New"/>
                <w:color w:val="7AB0E0"/>
                <w:sz w:val="18"/>
                <w:szCs w:val="18"/>
              </w:rPr>
              <w:t xml:space="preserve">  WHEN 'COGS' THEN 1 WHEN 'SG&amp;A' THEN 2 WHEN 'R&amp;D' THEN 3 ELSE 4 END</w:t>
            </w:r>
          </w:p>
        </w:tc>
      </w:tr>
    </w:tbl>
    <w:p>
      <w:pPr>
        <w:spacing w:before="180" w:after="80"/>
      </w:pPr>
      <w:r>
        <w:rPr>
          <w:rFonts w:ascii="Arial" w:cs="Arial" w:eastAsia="Arial" w:hAnsi="Arial"/>
          <w:b/>
          <w:bCs/>
          <w:color w:val="6B7280"/>
          <w:sz w:val="22"/>
          <w:szCs w:val="22"/>
        </w:rPr>
        <w:t xml:space="preserve">Why the BLART filter matters</w:t>
      </w:r>
    </w:p>
    <w:p>
      <w:pPr>
        <w:spacing w:before="0" w:after="160"/>
        <w:jc w:val="left"/>
      </w:pPr>
      <w:r>
        <w:rPr>
          <w:rFonts w:ascii="Arial" w:cs="Arial" w:eastAsia="Arial" w:hAnsi="Arial"/>
          <w:color w:val="111827"/>
          <w:sz w:val="22"/>
          <w:szCs w:val="22"/>
        </w:rPr>
        <w:t xml:space="preserve">Document types AA (asset acquisition), AF (depreciation run), and AB (asset adjustment) are FI-AA postings. Including them in the main pivot would double-count depreciation because these same amounts are also captured when you join the FixedAssets_PeriodicDepreciation model for the Depreciation and Intangible Amortization categories. Always exclude them from the main pivot.</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3: The Four-Link Audit Trail</w:t>
      </w:r>
    </w:p>
    <w:p>
      <w:pPr>
        <w:pStyle w:val="Heading2"/>
        <w:spacing w:before="360" w:after="180"/>
      </w:pPr>
      <w:r>
        <w:rPr>
          <w:rFonts w:ascii="Arial" w:cs="Arial" w:eastAsia="Arial" w:hAnsi="Arial"/>
          <w:b/>
          <w:bCs/>
          <w:color w:val="1B3A6B"/>
          <w:sz w:val="32"/>
          <w:szCs w:val="32"/>
        </w:rPr>
        <w:t xml:space="preserve">3.1  Why the Audit Trail is Your Core Differentiator</w:t>
      </w:r>
    </w:p>
    <w:p>
      <w:pPr>
        <w:spacing w:before="0" w:after="160"/>
        <w:jc w:val="left"/>
      </w:pPr>
      <w:r>
        <w:rPr>
          <w:rFonts w:ascii="Arial" w:cs="Arial" w:eastAsia="Arial" w:hAnsi="Arial"/>
          <w:color w:val="111827"/>
          <w:sz w:val="22"/>
          <w:szCs w:val="22"/>
        </w:rPr>
        <w:t xml:space="preserve">Every compliance tool on the market produces a disclosure number. Your solution produces a disclosure number plus a complete, independently verifiable chain from that number back to an individual SAP journal entry. This is not a feature — it is the foundational reason your solution is audit-ready in a way that manual processes and generic compliance tools are not.</w:t>
      </w:r>
    </w:p>
    <w:p>
      <w:pPr>
        <w:spacing w:before="0" w:after="160"/>
        <w:jc w:val="left"/>
      </w:pPr>
      <w:r>
        <w:rPr>
          <w:rFonts w:ascii="Arial" w:cs="Arial" w:eastAsia="Arial" w:hAnsi="Arial"/>
          <w:color w:val="111827"/>
          <w:sz w:val="22"/>
          <w:szCs w:val="22"/>
        </w:rPr>
        <w:t xml:space="preserve">When a Big 4 auditor tests a DISE disclosure prepared manually, they spend 80 to 200 hours sampling journal entries, requesting supporting documentation, and tracing amounts through Excel workbooks. With your solution, an auditor can run every query themselves in BigQuery Console, verify any document number directly in SAP, and confirm the mathematical reconciliation independently. That testing process drops to 20 to 40 hours — a $25,000 to $75,000 annual audit fee reduction on a mid-market client.</w:t>
      </w:r>
    </w:p>
    <w:p>
      <w:pPr>
        <w:pStyle w:val="Heading2"/>
        <w:spacing w:before="360" w:after="180"/>
      </w:pPr>
      <w:r>
        <w:rPr>
          <w:rFonts w:ascii="Arial" w:cs="Arial" w:eastAsia="Arial" w:hAnsi="Arial"/>
          <w:b/>
          <w:bCs/>
          <w:color w:val="1B3A6B"/>
          <w:sz w:val="32"/>
          <w:szCs w:val="32"/>
        </w:rPr>
        <w:t xml:space="preserve">3.2  The Four Links Explained</w:t>
      </w:r>
    </w:p>
    <w:p>
      <w:pPr>
        <w:pStyle w:val="Heading3"/>
        <w:spacing w:before="240" w:after="120"/>
      </w:pPr>
      <w:r>
        <w:rPr>
          <w:rFonts w:ascii="Arial" w:cs="Arial" w:eastAsia="Arial" w:hAnsi="Arial"/>
          <w:b/>
          <w:bCs/>
          <w:color w:val="0F766E"/>
          <w:sz w:val="26"/>
          <w:szCs w:val="26"/>
        </w:rPr>
        <w:t xml:space="preserve">Link 1 — The Published Footnote</w:t>
      </w:r>
    </w:p>
    <w:p>
      <w:pPr>
        <w:spacing w:before="0" w:after="160"/>
        <w:jc w:val="left"/>
      </w:pPr>
      <w:r>
        <w:rPr>
          <w:rFonts w:ascii="Arial" w:cs="Arial" w:eastAsia="Arial" w:hAnsi="Arial"/>
          <w:color w:val="111827"/>
          <w:sz w:val="22"/>
          <w:szCs w:val="22"/>
        </w:rPr>
        <w:t xml:space="preserve">This is the ASU 2024-03 tabular disclosure that appears in the 10-K filing. It shows five natural expense categories as columns and relevant income statement captions as rows. Every number in this table is the starting point for the audit trail. The auditor picks any cell and asks "how did you get this number?" — and your solution answers that question completely through the remaining three links.</w:t>
      </w:r>
    </w:p>
    <w:p>
      <w:pPr>
        <w:pStyle w:val="Heading3"/>
        <w:spacing w:before="240" w:after="120"/>
      </w:pPr>
      <w:r>
        <w:rPr>
          <w:rFonts w:ascii="Arial" w:cs="Arial" w:eastAsia="Arial" w:hAnsi="Arial"/>
          <w:b/>
          <w:bCs/>
          <w:color w:val="0F766E"/>
          <w:sz w:val="26"/>
          <w:szCs w:val="26"/>
        </w:rPr>
        <w:t xml:space="preserve">Link 2 — The DISE Pivot Query</w:t>
      </w:r>
    </w:p>
    <w:p>
      <w:pPr>
        <w:spacing w:before="0" w:after="160"/>
        <w:jc w:val="left"/>
      </w:pPr>
      <w:r>
        <w:rPr>
          <w:rFonts w:ascii="Arial" w:cs="Arial" w:eastAsia="Arial" w:hAnsi="Arial"/>
          <w:color w:val="111827"/>
          <w:sz w:val="22"/>
          <w:szCs w:val="22"/>
        </w:rPr>
        <w:t xml:space="preserve">The exact BigQuery SQL that produced the footnote number. Version-controlled, re-runnable at any time, and accessible to the auditor directly in BigQuery Console without requiring any assistance from the client. The auditor runs this query and gets the same number that appears in the filing. This eliminates the single biggest source of audit friction in manual DISE: the inability to reproduce a number from first principles without walking through someone's spreadsheet.</w:t>
      </w:r>
    </w:p>
    <w:p>
      <w:pPr>
        <w:pStyle w:val="Heading3"/>
        <w:spacing w:before="240" w:after="120"/>
      </w:pPr>
      <w:r>
        <w:rPr>
          <w:rFonts w:ascii="Arial" w:cs="Arial" w:eastAsia="Arial" w:hAnsi="Arial"/>
          <w:b/>
          <w:bCs/>
          <w:color w:val="0F766E"/>
          <w:sz w:val="26"/>
          <w:szCs w:val="26"/>
        </w:rPr>
        <w:t xml:space="preserve">Link 3 — The GL Mapping Decision</w:t>
      </w:r>
    </w:p>
    <w:p>
      <w:pPr>
        <w:spacing w:before="0" w:after="160"/>
        <w:jc w:val="left"/>
      </w:pPr>
      <w:r>
        <w:rPr>
          <w:rFonts w:ascii="Arial" w:cs="Arial" w:eastAsia="Arial" w:hAnsi="Arial"/>
          <w:color w:val="111827"/>
          <w:sz w:val="22"/>
          <w:szCs w:val="22"/>
        </w:rPr>
        <w:t xml:space="preserve">The gl_dise_mapping table in BigQuery shows exactly which GL accounts contributed to each category, why they were classified that way (with ASC citation), who approved the classification, and when. This is the documented methodology record. Every mapping decision is time-stamped and version-controlled — any change creates a new record rather than overwriting the old one. The auditor can see the complete history of every classification decision ever made.</w:t>
      </w:r>
    </w:p>
    <w:p>
      <w:pPr>
        <w:pStyle w:val="Heading3"/>
        <w:spacing w:before="240" w:after="120"/>
      </w:pPr>
      <w:r>
        <w:rPr>
          <w:rFonts w:ascii="Arial" w:cs="Arial" w:eastAsia="Arial" w:hAnsi="Arial"/>
          <w:b/>
          <w:bCs/>
          <w:color w:val="0F766E"/>
          <w:sz w:val="26"/>
          <w:szCs w:val="26"/>
        </w:rPr>
        <w:t xml:space="preserve">Link 4 — The Source Journal Entry</w:t>
      </w:r>
    </w:p>
    <w:p>
      <w:pPr>
        <w:spacing w:before="0" w:after="160"/>
        <w:jc w:val="left"/>
      </w:pPr>
      <w:r>
        <w:rPr>
          <w:rFonts w:ascii="Arial" w:cs="Arial" w:eastAsia="Arial" w:hAnsi="Arial"/>
          <w:color w:val="111827"/>
          <w:sz w:val="22"/>
          <w:szCs w:val="22"/>
        </w:rPr>
        <w:t xml:space="preserve">The individual SAP document number, posting date, cost center, and amount for every transaction that contributed to the disclosure number. The auditor can take any document number from this output and look it up directly in SAP to verify the amount. This is the bottom of the chain — the original transaction, unmodified, in the source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15803D" w:sz="8"/>
              <w:left w:val="single" w:color="15803D" w:sz="24"/>
              <w:bottom w:val="single" w:color="15803D" w:sz="8"/>
              <w:right w:val="single" w:color="15803D" w:sz="8"/>
            </w:tcBorders>
            <w:shd w:fill="DCFCE7" w:val="clear"/>
            <w:tcMar>
              <w:top w:type="dxa" w:w="160"/>
              <w:left w:type="dxa" w:w="240"/>
              <w:bottom w:type="dxa" w:w="160"/>
              <w:right w:type="dxa" w:w="200"/>
            </w:tcMar>
          </w:tcPr>
          <w:p>
            <w:pPr>
              <w:spacing w:before="0" w:after="0"/>
            </w:pPr>
            <w:r>
              <w:rPr>
                <w:rFonts w:ascii="Arial" w:cs="Arial" w:eastAsia="Arial" w:hAnsi="Arial"/>
                <w:i/>
                <w:iCs/>
                <w:color w:val="15803D"/>
                <w:sz w:val="22"/>
                <w:szCs w:val="22"/>
              </w:rPr>
              <w:t xml:space="preserve">The five things the audit trail proves that no manual process can: (1) Every link is a live re-runnable query — not a static spreadsheet. (2) The methodology is in a governed table, not someone's head. (3) Any auditor can run every query independently. (4) The chain closes mathematically — journal entry amounts sum to the footnote. (5) Zero manual steps between source data and disclosure.</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3.3  The Lineage Drill-Down Query</w:t>
      </w:r>
    </w:p>
    <w:p>
      <w:pPr>
        <w:spacing w:before="0" w:after="160"/>
        <w:jc w:val="left"/>
      </w:pPr>
      <w:r>
        <w:rPr>
          <w:rFonts w:ascii="Arial" w:cs="Arial" w:eastAsia="Arial" w:hAnsi="Arial"/>
          <w:color w:val="111827"/>
          <w:sz w:val="22"/>
          <w:szCs w:val="22"/>
        </w:rPr>
        <w:t xml:space="preserve">Use this query to demonstrate Link 4 to an auditor. Replace the dise_category and expense_caption values to trace any cell in the footnote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SELECT</w:t>
            </w:r>
          </w:p>
          <w:p>
            <w:pPr>
              <w:spacing w:before="0" w:after="40"/>
            </w:pPr>
            <w:r>
              <w:rPr>
                <w:rFonts w:ascii="Courier New" w:cs="Courier New" w:eastAsia="Courier New" w:hAnsi="Courier New"/>
                <w:color w:val="7AB0E0"/>
                <w:sz w:val="18"/>
                <w:szCs w:val="18"/>
              </w:rPr>
              <w:t xml:space="preserve">  bkpf.BELNR        AS DocumentNumber,</w:t>
            </w:r>
          </w:p>
          <w:p>
            <w:pPr>
              <w:spacing w:before="0" w:after="40"/>
            </w:pPr>
            <w:r>
              <w:rPr>
                <w:rFonts w:ascii="Courier New" w:cs="Courier New" w:eastAsia="Courier New" w:hAnsi="Courier New"/>
                <w:color w:val="7AB0E0"/>
                <w:sz w:val="18"/>
                <w:szCs w:val="18"/>
              </w:rPr>
              <w:t xml:space="preserve">  bkpf.BUDAT        AS PostingDate,</w:t>
            </w:r>
          </w:p>
          <w:p>
            <w:pPr>
              <w:spacing w:before="0" w:after="40"/>
            </w:pPr>
            <w:r>
              <w:rPr>
                <w:rFonts w:ascii="Courier New" w:cs="Courier New" w:eastAsia="Courier New" w:hAnsi="Courier New"/>
                <w:color w:val="7AB0E0"/>
                <w:sz w:val="18"/>
                <w:szCs w:val="18"/>
              </w:rPr>
              <w:t xml:space="preserve">  bkpf.BLART        AS DocumentType,</w:t>
            </w:r>
          </w:p>
          <w:p>
            <w:pPr>
              <w:spacing w:before="0" w:after="40"/>
            </w:pPr>
            <w:r>
              <w:rPr>
                <w:rFonts w:ascii="Courier New" w:cs="Courier New" w:eastAsia="Courier New" w:hAnsi="Courier New"/>
                <w:color w:val="7AB0E0"/>
                <w:sz w:val="18"/>
                <w:szCs w:val="18"/>
              </w:rPr>
              <w:t xml:space="preserve">  bkpf.MONAT        AS FiscalPeriod,</w:t>
            </w:r>
          </w:p>
          <w:p>
            <w:pPr>
              <w:spacing w:before="0" w:after="40"/>
            </w:pPr>
            <w:r>
              <w:rPr>
                <w:rFonts w:ascii="Courier New" w:cs="Courier New" w:eastAsia="Courier New" w:hAnsi="Courier New"/>
                <w:color w:val="7AB0E0"/>
                <w:sz w:val="18"/>
                <w:szCs w:val="18"/>
              </w:rPr>
              <w:t xml:space="preserve">  bseg.HKONT        AS GLAccount,</w:t>
            </w:r>
          </w:p>
          <w:p>
            <w:pPr>
              <w:spacing w:before="0" w:after="40"/>
            </w:pPr>
            <w:r>
              <w:rPr>
                <w:rFonts w:ascii="Courier New" w:cs="Courier New" w:eastAsia="Courier New" w:hAnsi="Courier New"/>
                <w:color w:val="7AB0E0"/>
                <w:sz w:val="18"/>
                <w:szCs w:val="18"/>
              </w:rPr>
              <w:t xml:space="preserve">  bseg.KOSTL        AS CostCenter,</w:t>
            </w:r>
          </w:p>
          <w:p>
            <w:pPr>
              <w:spacing w:before="0" w:after="40"/>
            </w:pPr>
            <w:r>
              <w:rPr>
                <w:rFonts w:ascii="Courier New" w:cs="Courier New" w:eastAsia="Courier New" w:hAnsi="Courier New"/>
                <w:color w:val="7AB0E0"/>
                <w:sz w:val="18"/>
                <w:szCs w:val="18"/>
              </w:rPr>
              <w:t xml:space="preserve">  bseg.SHKZG        AS DrCr,</w:t>
            </w:r>
          </w:p>
          <w:p>
            <w:pPr>
              <w:spacing w:before="0" w:after="40"/>
            </w:pPr>
            <w:r>
              <w:rPr>
                <w:rFonts w:ascii="Courier New" w:cs="Courier New" w:eastAsia="Courier New" w:hAnsi="Courier New"/>
                <w:color w:val="7AB0E0"/>
                <w:sz w:val="18"/>
                <w:szCs w:val="18"/>
              </w:rPr>
              <w:t xml:space="preserve">  bseg.DMBTR        AS Amount,</w:t>
            </w:r>
          </w:p>
          <w:p>
            <w:pPr>
              <w:spacing w:before="0" w:after="40"/>
            </w:pPr>
            <w:r>
              <w:rPr>
                <w:rFonts w:ascii="Courier New" w:cs="Courier New" w:eastAsia="Courier New" w:hAnsi="Courier New"/>
                <w:color w:val="7AB0E0"/>
                <w:sz w:val="18"/>
                <w:szCs w:val="18"/>
              </w:rPr>
              <w:t xml:space="preserve">  m.dise_category,</w:t>
            </w:r>
          </w:p>
          <w:p>
            <w:pPr>
              <w:spacing w:before="0" w:after="40"/>
            </w:pPr>
            <w:r>
              <w:rPr>
                <w:rFonts w:ascii="Courier New" w:cs="Courier New" w:eastAsia="Courier New" w:hAnsi="Courier New"/>
                <w:color w:val="7AB0E0"/>
                <w:sz w:val="18"/>
                <w:szCs w:val="18"/>
              </w:rPr>
              <w:t xml:space="preserve">  m.expense_caption</w:t>
            </w:r>
          </w:p>
          <w:p>
            <w:pPr>
              <w:spacing w:before="0" w:after="40"/>
            </w:pPr>
            <w:r>
              <w:rPr>
                <w:rFonts w:ascii="Courier New" w:cs="Courier New" w:eastAsia="Courier New" w:hAnsi="Courier New"/>
                <w:color w:val="7AB0E0"/>
                <w:sz w:val="18"/>
                <w:szCs w:val="18"/>
              </w:rPr>
              <w:t xml:space="preserve">FROM `[PROJECT].CORTEX_SAP_CDC.bkpf` bkpf</w:t>
            </w:r>
          </w:p>
          <w:p>
            <w:pPr>
              <w:spacing w:before="0" w:after="40"/>
            </w:pPr>
            <w:r>
              <w:rPr>
                <w:rFonts w:ascii="Courier New" w:cs="Courier New" w:eastAsia="Courier New" w:hAnsi="Courier New"/>
                <w:color w:val="7AB0E0"/>
                <w:sz w:val="18"/>
                <w:szCs w:val="18"/>
              </w:rPr>
              <w:t xml:space="preserve">JOIN `[PROJECT].CORTEX_SAP_CDC.bseg` bseg</w:t>
            </w:r>
          </w:p>
          <w:p>
            <w:pPr>
              <w:spacing w:before="0" w:after="40"/>
            </w:pPr>
            <w:r>
              <w:rPr>
                <w:rFonts w:ascii="Courier New" w:cs="Courier New" w:eastAsia="Courier New" w:hAnsi="Courier New"/>
                <w:color w:val="7AB0E0"/>
                <w:sz w:val="18"/>
                <w:szCs w:val="18"/>
              </w:rPr>
              <w:t xml:space="preserve">  ON  bkpf.MANDT = bseg.MANDT AND bkpf.BUKRS = bseg.BUKRS</w:t>
            </w:r>
          </w:p>
          <w:p>
            <w:pPr>
              <w:spacing w:before="0" w:after="40"/>
            </w:pPr>
            <w:r>
              <w:rPr>
                <w:rFonts w:ascii="Courier New" w:cs="Courier New" w:eastAsia="Courier New" w:hAnsi="Courier New"/>
                <w:color w:val="7AB0E0"/>
                <w:sz w:val="18"/>
                <w:szCs w:val="18"/>
              </w:rPr>
              <w:t xml:space="preserve">  AND bkpf.BELNR = bseg.BELNR AND bkpf.GJAHR = bseg.GJAHR</w:t>
            </w:r>
          </w:p>
          <w:p>
            <w:pPr>
              <w:spacing w:before="0" w:after="40"/>
            </w:pPr>
            <w:r>
              <w:rPr>
                <w:rFonts w:ascii="Courier New" w:cs="Courier New" w:eastAsia="Courier New" w:hAnsi="Courier New"/>
                <w:color w:val="7AB0E0"/>
                <w:sz w:val="18"/>
                <w:szCs w:val="18"/>
              </w:rPr>
              <w:t xml:space="preserve">JOIN `[PROJECT].dise_reporting.gl_dise_mapping` m</w:t>
            </w:r>
          </w:p>
          <w:p>
            <w:pPr>
              <w:spacing w:before="0" w:after="40"/>
            </w:pPr>
            <w:r>
              <w:rPr>
                <w:rFonts w:ascii="Courier New" w:cs="Courier New" w:eastAsia="Courier New" w:hAnsi="Courier New"/>
                <w:color w:val="7AB0E0"/>
                <w:sz w:val="18"/>
                <w:szCs w:val="18"/>
              </w:rPr>
              <w:t xml:space="preserve">  ON bseg.HKONT = m.gl_account</w:t>
            </w:r>
          </w:p>
          <w:p>
            <w:pPr>
              <w:spacing w:before="0" w:after="40"/>
            </w:pPr>
            <w:r>
              <w:rPr>
                <w:rFonts w:ascii="Courier New" w:cs="Courier New" w:eastAsia="Courier New" w:hAnsi="Courier New"/>
                <w:color w:val="7AB0E0"/>
                <w:sz w:val="18"/>
                <w:szCs w:val="18"/>
              </w:rPr>
              <w:t xml:space="preserve">WHERE bkpf.GJAHR = '2023'</w:t>
            </w:r>
          </w:p>
          <w:p>
            <w:pPr>
              <w:spacing w:before="0" w:after="40"/>
            </w:pPr>
            <w:r>
              <w:rPr>
                <w:rFonts w:ascii="Courier New" w:cs="Courier New" w:eastAsia="Courier New" w:hAnsi="Courier New"/>
                <w:color w:val="7AB0E0"/>
                <w:sz w:val="18"/>
                <w:szCs w:val="18"/>
              </w:rPr>
              <w:t xml:space="preserve">  AND m.dise_category   = 'compensation'   -- change to trace any category</w:t>
            </w:r>
          </w:p>
          <w:p>
            <w:pPr>
              <w:spacing w:before="0" w:after="40"/>
            </w:pPr>
            <w:r>
              <w:rPr>
                <w:rFonts w:ascii="Courier New" w:cs="Courier New" w:eastAsia="Courier New" w:hAnsi="Courier New"/>
                <w:color w:val="7AB0E0"/>
                <w:sz w:val="18"/>
                <w:szCs w:val="18"/>
              </w:rPr>
              <w:t xml:space="preserve">  AND m.expense_caption = 'SG&amp;A'            -- change to trace any caption</w:t>
            </w:r>
          </w:p>
          <w:p>
            <w:pPr>
              <w:spacing w:before="0" w:after="40"/>
            </w:pPr>
            <w:r>
              <w:rPr>
                <w:rFonts w:ascii="Courier New" w:cs="Courier New" w:eastAsia="Courier New" w:hAnsi="Courier New"/>
                <w:color w:val="7AB0E0"/>
                <w:sz w:val="18"/>
                <w:szCs w:val="18"/>
              </w:rPr>
              <w:t xml:space="preserve">  AND m.status = 'mapped'</w:t>
            </w:r>
          </w:p>
          <w:p>
            <w:pPr>
              <w:spacing w:before="0" w:after="40"/>
            </w:pPr>
            <w:r>
              <w:rPr>
                <w:rFonts w:ascii="Courier New" w:cs="Courier New" w:eastAsia="Courier New" w:hAnsi="Courier New"/>
                <w:color w:val="7AB0E0"/>
                <w:sz w:val="18"/>
                <w:szCs w:val="18"/>
              </w:rPr>
              <w:t xml:space="preserve">  AND bkpf.BLART NOT IN ('AA','AF','AB')</w:t>
            </w:r>
          </w:p>
          <w:p>
            <w:pPr>
              <w:spacing w:before="0" w:after="40"/>
            </w:pPr>
            <w:r>
              <w:rPr>
                <w:rFonts w:ascii="Courier New" w:cs="Courier New" w:eastAsia="Courier New" w:hAnsi="Courier New"/>
                <w:color w:val="7AB0E0"/>
                <w:sz w:val="18"/>
                <w:szCs w:val="18"/>
              </w:rPr>
              <w:t xml:space="preserve">ORDER BY bkpf.BUDAT, bkpf.BELNR</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 SUM(DMBTR) of results must equal the footnote cell value</w:t>
            </w:r>
          </w:p>
        </w:tc>
      </w:tr>
    </w:tbl>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4: How to Demo the Solution</w:t>
      </w:r>
    </w:p>
    <w:p>
      <w:pPr>
        <w:pStyle w:val="Heading2"/>
        <w:spacing w:before="360" w:after="180"/>
      </w:pPr>
      <w:r>
        <w:rPr>
          <w:rFonts w:ascii="Arial" w:cs="Arial" w:eastAsia="Arial" w:hAnsi="Arial"/>
          <w:b/>
          <w:bCs/>
          <w:color w:val="1B3A6B"/>
          <w:sz w:val="32"/>
          <w:szCs w:val="32"/>
        </w:rPr>
        <w:t xml:space="preserve">4.1  The Demo Philosophy</w:t>
      </w:r>
    </w:p>
    <w:p>
      <w:pPr>
        <w:spacing w:before="0" w:after="160"/>
        <w:jc w:val="left"/>
      </w:pPr>
      <w:r>
        <w:rPr>
          <w:rFonts w:ascii="Arial" w:cs="Arial" w:eastAsia="Arial" w:hAnsi="Arial"/>
          <w:color w:val="111827"/>
          <w:sz w:val="22"/>
          <w:szCs w:val="22"/>
        </w:rPr>
        <w:t xml:space="preserve">The most effective demo sequence starts with the problem, not the solution. Audiences become emotionally invested in a solution when they first feel the pain it solves. Open with the three questions that DISE creates for every finance team, let them sit for a moment, then systematically show the solution answering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6B21A8" w:sz="8"/>
              <w:left w:val="single" w:color="6B21A8" w:sz="24"/>
              <w:bottom w:val="single" w:color="6B21A8" w:sz="8"/>
              <w:right w:val="single" w:color="6B21A8" w:sz="8"/>
            </w:tcBorders>
            <w:shd w:fill="F3E8FF" w:val="clear"/>
            <w:tcMar>
              <w:top w:type="dxa" w:w="160"/>
              <w:left w:type="dxa" w:w="240"/>
              <w:bottom w:type="dxa" w:w="160"/>
              <w:right w:type="dxa" w:w="200"/>
            </w:tcMar>
          </w:tcPr>
          <w:p>
            <w:pPr>
              <w:spacing w:before="0" w:after="0"/>
            </w:pPr>
            <w:r>
              <w:rPr>
                <w:rFonts w:ascii="Arial" w:cs="Arial" w:eastAsia="Arial" w:hAnsi="Arial"/>
                <w:i/>
                <w:iCs/>
                <w:color w:val="6B21A8"/>
                <w:sz w:val="22"/>
                <w:szCs w:val="22"/>
              </w:rPr>
              <w:t xml:space="preserve">The three questions that open every demo: "How do you know which of your 600 GL accounts belongs to which DISE category?" "Once you have the numbers, how do you prove to your auditor where they came from?" "Who drafts the formal 10-K footnote language, and how long does that take?"</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4.2  The 15-Minute Demo Script</w:t>
      </w:r>
    </w:p>
    <w:p>
      <w:pPr>
        <w:pStyle w:val="Heading3"/>
        <w:spacing w:before="240" w:after="120"/>
      </w:pPr>
      <w:r>
        <w:rPr>
          <w:rFonts w:ascii="Arial" w:cs="Arial" w:eastAsia="Arial" w:hAnsi="Arial"/>
          <w:b/>
          <w:bCs/>
          <w:color w:val="0F766E"/>
          <w:sz w:val="26"/>
          <w:szCs w:val="26"/>
        </w:rPr>
        <w:t xml:space="preserve">Minutes 0-2: The problem statement (one slide)</w:t>
      </w:r>
    </w:p>
    <w:p>
      <w:pPr>
        <w:spacing w:before="0" w:after="160"/>
        <w:jc w:val="left"/>
      </w:pPr>
      <w:r>
        <w:rPr>
          <w:rFonts w:ascii="Arial" w:cs="Arial" w:eastAsia="Arial" w:hAnsi="Arial"/>
          <w:color w:val="111827"/>
          <w:sz w:val="22"/>
          <w:szCs w:val="22"/>
        </w:rPr>
        <w:t xml:space="preserve">Show a single slide with these three bullet points before opening any tool:</w:t>
      </w:r>
    </w:p>
    <w:p>
      <w:pPr>
        <w:pStyle w:val="ListParagraph"/>
        <w:numPr>
          <w:ilvl w:val="0"/>
          <w:numId w:val="2"/>
        </w:numPr>
        <w:spacing w:before="40" w:after="60"/>
      </w:pPr>
      <w:r>
        <w:rPr>
          <w:rFonts w:ascii="Arial" w:cs="Arial" w:eastAsia="Arial" w:hAnsi="Arial"/>
          <w:color w:val="111827"/>
          <w:sz w:val="22"/>
          <w:szCs w:val="22"/>
        </w:rPr>
        <w:t xml:space="preserve">ASU 2024-03 requires public companies to disaggregate income statement expenses into 5 natural categories in a tabular footnote — effective January 1, 2027</w:t>
      </w:r>
    </w:p>
    <w:p>
      <w:pPr>
        <w:pStyle w:val="ListParagraph"/>
        <w:numPr>
          <w:ilvl w:val="0"/>
          <w:numId w:val="2"/>
        </w:numPr>
        <w:spacing w:before="40" w:after="60"/>
      </w:pPr>
      <w:r>
        <w:rPr>
          <w:rFonts w:ascii="Arial" w:cs="Arial" w:eastAsia="Arial" w:hAnsi="Arial"/>
          <w:color w:val="111827"/>
          <w:sz w:val="22"/>
          <w:szCs w:val="22"/>
        </w:rPr>
        <w:t xml:space="preserve">A Fortune 100 has 400-1,200 income statement GL accounts that must be individually mapped to DISE categories. Manual preparation takes 2-4 weeks per period</w:t>
      </w:r>
    </w:p>
    <w:p>
      <w:pPr>
        <w:pStyle w:val="ListParagraph"/>
        <w:numPr>
          <w:ilvl w:val="0"/>
          <w:numId w:val="2"/>
        </w:numPr>
        <w:spacing w:before="40" w:after="60"/>
      </w:pPr>
      <w:r>
        <w:rPr>
          <w:rFonts w:ascii="Arial" w:cs="Arial" w:eastAsia="Arial" w:hAnsi="Arial"/>
          <w:color w:val="111827"/>
          <w:sz w:val="22"/>
          <w:szCs w:val="22"/>
        </w:rPr>
        <w:t xml:space="preserve">This solution does it in under 60 seconds from source SAP journal entries — with a complete audit trail to every individual posting</w:t>
      </w:r>
    </w:p>
    <w:p>
      <w:pPr>
        <w:pStyle w:val="Heading3"/>
        <w:spacing w:before="240" w:after="120"/>
      </w:pPr>
      <w:r>
        <w:rPr>
          <w:rFonts w:ascii="Arial" w:cs="Arial" w:eastAsia="Arial" w:hAnsi="Arial"/>
          <w:b/>
          <w:bCs/>
          <w:color w:val="0F766E"/>
          <w:sz w:val="26"/>
          <w:szCs w:val="26"/>
        </w:rPr>
        <w:t xml:space="preserve">Minutes 2-6: Show the data is real (BigQuery Console)</w:t>
      </w:r>
    </w:p>
    <w:p>
      <w:pPr>
        <w:spacing w:before="0" w:after="160"/>
        <w:jc w:val="left"/>
      </w:pPr>
      <w:r>
        <w:rPr>
          <w:rFonts w:ascii="Arial" w:cs="Arial" w:eastAsia="Arial" w:hAnsi="Arial"/>
          <w:color w:val="111827"/>
          <w:sz w:val="22"/>
          <w:szCs w:val="22"/>
        </w:rPr>
        <w:t xml:space="preserve">Open BigQuery Console. Show three queries in sequence. This is the credibility anchor — you establish that the data comes from a live SAP system before you show any tool.</w:t>
      </w:r>
    </w:p>
    <w:p>
      <w:pPr>
        <w:pStyle w:val="ListParagraph"/>
        <w:numPr>
          <w:ilvl w:val="0"/>
          <w:numId w:val="2"/>
        </w:numPr>
        <w:spacing w:before="40" w:after="80"/>
      </w:pPr>
      <w:r>
        <w:rPr>
          <w:rFonts w:ascii="Arial" w:cs="Arial" w:eastAsia="Arial" w:hAnsi="Arial"/>
          <w:b/>
          <w:bCs/>
          <w:color w:val="111827"/>
          <w:sz w:val="22"/>
          <w:szCs w:val="22"/>
        </w:rPr>
        <w:t xml:space="preserve">Query 1 — Show SAP data is live: </w:t>
      </w:r>
      <w:r>
        <w:rPr>
          <w:rFonts w:ascii="Arial" w:cs="Arial" w:eastAsia="Arial" w:hAnsi="Arial"/>
          <w:color w:val="111827"/>
          <w:sz w:val="22"/>
          <w:szCs w:val="22"/>
        </w:rPr>
        <w:t xml:space="preserve">"This is the raw journal data replicated from SAP via Cortex. Notice the fiscal year, period, and company code — this is your client's actual transaction history."</w:t>
      </w:r>
    </w:p>
    <w:p>
      <w:pPr>
        <w:pStyle w:val="ListParagraph"/>
        <w:numPr>
          <w:ilvl w:val="0"/>
          <w:numId w:val="2"/>
        </w:numPr>
        <w:spacing w:before="40" w:after="80"/>
      </w:pPr>
      <w:r>
        <w:rPr>
          <w:rFonts w:ascii="Arial" w:cs="Arial" w:eastAsia="Arial" w:hAnsi="Arial"/>
          <w:b/>
          <w:bCs/>
          <w:color w:val="111827"/>
          <w:sz w:val="22"/>
          <w:szCs w:val="22"/>
        </w:rPr>
        <w:t xml:space="preserve">Query 2 — Show the GL mapping table: </w:t>
      </w:r>
      <w:r>
        <w:rPr>
          <w:rFonts w:ascii="Arial" w:cs="Arial" w:eastAsia="Arial" w:hAnsi="Arial"/>
          <w:color w:val="111827"/>
          <w:sz w:val="22"/>
          <w:szCs w:val="22"/>
        </w:rPr>
        <w:t xml:space="preserve">"Every income statement GL account has been reviewed and mapped to a DISE category. The methodology is documented, time-stamped, and auditable. This is the basis for the disclosure."</w:t>
      </w:r>
    </w:p>
    <w:p>
      <w:pPr>
        <w:pStyle w:val="ListParagraph"/>
        <w:numPr>
          <w:ilvl w:val="0"/>
          <w:numId w:val="2"/>
        </w:numPr>
        <w:spacing w:before="40" w:after="80"/>
      </w:pPr>
      <w:r>
        <w:rPr>
          <w:rFonts w:ascii="Arial" w:cs="Arial" w:eastAsia="Arial" w:hAnsi="Arial"/>
          <w:b/>
          <w:bCs/>
          <w:color w:val="111827"/>
          <w:sz w:val="22"/>
          <w:szCs w:val="22"/>
        </w:rPr>
        <w:t xml:space="preserve">Query 3 — Run the DISE pivot live: </w:t>
      </w:r>
      <w:r>
        <w:rPr>
          <w:rFonts w:ascii="Arial" w:cs="Arial" w:eastAsia="Arial" w:hAnsi="Arial"/>
          <w:color w:val="111827"/>
          <w:sz w:val="22"/>
          <w:szCs w:val="22"/>
        </w:rPr>
        <w:t xml:space="preserve">"These are the exact numbers that will appear in the footnote. Calculated directly from SAP journal entries. No spreadsheet, no manual calculation."</w:t>
      </w:r>
    </w:p>
    <w:p>
      <w:pPr>
        <w:pStyle w:val="Heading3"/>
        <w:spacing w:before="240" w:after="120"/>
      </w:pPr>
      <w:r>
        <w:rPr>
          <w:rFonts w:ascii="Arial" w:cs="Arial" w:eastAsia="Arial" w:hAnsi="Arial"/>
          <w:b/>
          <w:bCs/>
          <w:color w:val="0F766E"/>
          <w:sz w:val="26"/>
          <w:szCs w:val="26"/>
        </w:rPr>
        <w:t xml:space="preserve">Minutes 6-10: Generate the disclosure (DISE Generator app)</w:t>
      </w:r>
    </w:p>
    <w:p>
      <w:pPr>
        <w:spacing w:before="0" w:after="160"/>
        <w:jc w:val="left"/>
      </w:pPr>
      <w:r>
        <w:rPr>
          <w:rFonts w:ascii="Arial" w:cs="Arial" w:eastAsia="Arial" w:hAnsi="Arial"/>
          <w:color w:val="111827"/>
          <w:sz w:val="22"/>
          <w:szCs w:val="22"/>
        </w:rPr>
        <w:t xml:space="preserve">Open the DISE Compliance Generator. Enter credentials and click Generate. Walk through the three output tabs:</w:t>
      </w:r>
    </w:p>
    <w:p>
      <w:pPr>
        <w:pStyle w:val="ListParagraph"/>
        <w:numPr>
          <w:ilvl w:val="0"/>
          <w:numId w:val="2"/>
        </w:numPr>
        <w:spacing w:before="40" w:after="60"/>
      </w:pPr>
      <w:r>
        <w:rPr>
          <w:rFonts w:ascii="Arial" w:cs="Arial" w:eastAsia="Arial" w:hAnsi="Arial"/>
          <w:color w:val="111827"/>
          <w:sz w:val="22"/>
          <w:szCs w:val="22"/>
        </w:rPr>
        <w:t xml:space="preserve">Footnote disclosure — the copy-paste ready ASU 2024-03 tabular disclosure with estimation method and selling expense narrative</w:t>
      </w:r>
    </w:p>
    <w:p>
      <w:pPr>
        <w:pStyle w:val="ListParagraph"/>
        <w:numPr>
          <w:ilvl w:val="0"/>
          <w:numId w:val="2"/>
        </w:numPr>
        <w:spacing w:before="40" w:after="60"/>
      </w:pPr>
      <w:r>
        <w:rPr>
          <w:rFonts w:ascii="Arial" w:cs="Arial" w:eastAsia="Arial" w:hAnsi="Arial"/>
          <w:color w:val="111827"/>
          <w:sz w:val="22"/>
          <w:szCs w:val="22"/>
        </w:rPr>
        <w:t xml:space="preserve">Claude analysis — the full drafted footnote in formal 10-K language with auditor review notes</w:t>
      </w:r>
    </w:p>
    <w:p>
      <w:pPr>
        <w:pStyle w:val="ListParagraph"/>
        <w:numPr>
          <w:ilvl w:val="0"/>
          <w:numId w:val="2"/>
        </w:numPr>
        <w:spacing w:before="40" w:after="60"/>
      </w:pPr>
      <w:r>
        <w:rPr>
          <w:rFonts w:ascii="Arial" w:cs="Arial" w:eastAsia="Arial" w:hAnsi="Arial"/>
          <w:color w:val="111827"/>
          <w:sz w:val="22"/>
          <w:szCs w:val="22"/>
        </w:rPr>
        <w:t xml:space="preserve">Source data — the GL account mapping showing every account that contributed to each number</w:t>
      </w:r>
    </w:p>
    <w:p>
      <w:pPr>
        <w:pStyle w:val="Heading3"/>
        <w:spacing w:before="240" w:after="120"/>
      </w:pPr>
      <w:r>
        <w:rPr>
          <w:rFonts w:ascii="Arial" w:cs="Arial" w:eastAsia="Arial" w:hAnsi="Arial"/>
          <w:b/>
          <w:bCs/>
          <w:color w:val="0F766E"/>
          <w:sz w:val="26"/>
          <w:szCs w:val="26"/>
        </w:rPr>
        <w:t xml:space="preserve">Minutes 10-13: The audit trail walk-through</w:t>
      </w:r>
    </w:p>
    <w:p>
      <w:pPr>
        <w:spacing w:before="0" w:after="160"/>
        <w:jc w:val="left"/>
      </w:pPr>
      <w:r>
        <w:rPr>
          <w:rFonts w:ascii="Arial" w:cs="Arial" w:eastAsia="Arial" w:hAnsi="Arial"/>
          <w:color w:val="111827"/>
          <w:sz w:val="22"/>
          <w:szCs w:val="22"/>
        </w:rPr>
        <w:t xml:space="preserve">This is the moment that gets the strongest reaction, especially from CFOs and auditors. Say: "Pick any number in the footnote table. I can show you the exact query that produced it, the GL accounts behind it, and the individual SAP document numbers for every dollar." Then walk Link 1 through Link 4 in the Audit Trail Explorer.</w:t>
      </w:r>
    </w:p>
    <w:p>
      <w:pPr>
        <w:spacing w:before="0" w:after="160"/>
        <w:jc w:val="left"/>
      </w:pPr>
      <w:r>
        <w:rPr>
          <w:rFonts w:ascii="Arial" w:cs="Arial" w:eastAsia="Arial" w:hAnsi="Arial"/>
          <w:color w:val="111827"/>
          <w:sz w:val="22"/>
          <w:szCs w:val="22"/>
        </w:rPr>
        <w:t xml:space="preserve">The line that always lands: "Document number 1400000041 — a specific SAP payroll posting on January 31st to cost center US066000. You can look that document up directly in SAP right now and the amount will match. That is your complete audit trail."</w:t>
      </w:r>
    </w:p>
    <w:p>
      <w:pPr>
        <w:pStyle w:val="Heading3"/>
        <w:spacing w:before="240" w:after="120"/>
      </w:pPr>
      <w:r>
        <w:rPr>
          <w:rFonts w:ascii="Arial" w:cs="Arial" w:eastAsia="Arial" w:hAnsi="Arial"/>
          <w:b/>
          <w:bCs/>
          <w:color w:val="0F766E"/>
          <w:sz w:val="26"/>
          <w:szCs w:val="26"/>
        </w:rPr>
        <w:t xml:space="preserve">Minutes 13-15: The Q&amp;A demo (Financial Intelligence app)</w:t>
      </w:r>
    </w:p>
    <w:p>
      <w:pPr>
        <w:spacing w:before="0" w:after="160"/>
        <w:jc w:val="left"/>
      </w:pPr>
      <w:r>
        <w:rPr>
          <w:rFonts w:ascii="Arial" w:cs="Arial" w:eastAsia="Arial" w:hAnsi="Arial"/>
          <w:color w:val="111827"/>
          <w:sz w:val="22"/>
          <w:szCs w:val="22"/>
        </w:rPr>
        <w:t xml:space="preserve">Open the DISE Financial Intelligence app. Ask one question in plain English — "Which month had the highest employee compensation in SG&amp;A?" Show the generated SQL, the BigQuery results, and the plain English interpretation. This lands the AI capability in a concrete, understandable way.</w:t>
      </w:r>
    </w:p>
    <w:p>
      <w:pPr>
        <w:pStyle w:val="Heading2"/>
        <w:spacing w:before="360" w:after="180"/>
      </w:pPr>
      <w:r>
        <w:rPr>
          <w:rFonts w:ascii="Arial" w:cs="Arial" w:eastAsia="Arial" w:hAnsi="Arial"/>
          <w:b/>
          <w:bCs/>
          <w:color w:val="1B3A6B"/>
          <w:sz w:val="32"/>
          <w:szCs w:val="32"/>
        </w:rPr>
        <w:t xml:space="preserve">4.3  Pre-Demo Checklist</w:t>
      </w:r>
    </w:p>
    <w:p>
      <w:pPr>
        <w:spacing w:before="0" w:after="160"/>
        <w:jc w:val="left"/>
      </w:pPr>
      <w:r>
        <w:rPr>
          <w:rFonts w:ascii="Arial" w:cs="Arial" w:eastAsia="Arial" w:hAnsi="Arial"/>
          <w:color w:val="111827"/>
          <w:sz w:val="22"/>
          <w:szCs w:val="22"/>
        </w:rPr>
        <w:t xml:space="preserve">Run through this checklist 30 minutes before every demo to avoid common failure points:</w:t>
      </w:r>
    </w:p>
    <w:p>
      <w:pPr>
        <w:pStyle w:val="ListParagraph"/>
        <w:numPr>
          <w:ilvl w:val="0"/>
          <w:numId w:val="2"/>
        </w:numPr>
        <w:spacing w:before="40" w:after="60"/>
      </w:pPr>
      <w:r>
        <w:rPr>
          <w:rFonts w:ascii="Arial" w:cs="Arial" w:eastAsia="Arial" w:hAnsi="Arial"/>
          <w:color w:val="111827"/>
          <w:sz w:val="22"/>
          <w:szCs w:val="22"/>
        </w:rPr>
        <w:t xml:space="preserve">Refresh BigQuery access token — gcloud auth print-access-token — it expires after 60 minutes</w:t>
      </w:r>
    </w:p>
    <w:p>
      <w:pPr>
        <w:pStyle w:val="ListParagraph"/>
        <w:numPr>
          <w:ilvl w:val="0"/>
          <w:numId w:val="2"/>
        </w:numPr>
        <w:spacing w:before="40" w:after="60"/>
      </w:pPr>
      <w:r>
        <w:rPr>
          <w:rFonts w:ascii="Arial" w:cs="Arial" w:eastAsia="Arial" w:hAnsi="Arial"/>
          <w:color w:val="111827"/>
          <w:sz w:val="22"/>
          <w:szCs w:val="22"/>
        </w:rPr>
        <w:t xml:space="preserve">Confirm Anthropic API key is valid and has credit balance</w:t>
      </w:r>
    </w:p>
    <w:p>
      <w:pPr>
        <w:pStyle w:val="ListParagraph"/>
        <w:numPr>
          <w:ilvl w:val="0"/>
          <w:numId w:val="2"/>
        </w:numPr>
        <w:spacing w:before="40" w:after="60"/>
      </w:pPr>
      <w:r>
        <w:rPr>
          <w:rFonts w:ascii="Arial" w:cs="Arial" w:eastAsia="Arial" w:hAnsi="Arial"/>
          <w:color w:val="111827"/>
          <w:sz w:val="22"/>
          <w:szCs w:val="22"/>
        </w:rPr>
        <w:t xml:space="preserve">Test all three apps open and load correctly in Chrome</w:t>
      </w:r>
    </w:p>
    <w:p>
      <w:pPr>
        <w:pStyle w:val="ListParagraph"/>
        <w:numPr>
          <w:ilvl w:val="0"/>
          <w:numId w:val="2"/>
        </w:numPr>
        <w:spacing w:before="40" w:after="60"/>
      </w:pPr>
      <w:r>
        <w:rPr>
          <w:rFonts w:ascii="Arial" w:cs="Arial" w:eastAsia="Arial" w:hAnsi="Arial"/>
          <w:color w:val="111827"/>
          <w:sz w:val="22"/>
          <w:szCs w:val="22"/>
        </w:rPr>
        <w:t xml:space="preserve">Have a printed copy of the footnote output as a backup leave-behind</w:t>
      </w:r>
    </w:p>
    <w:p>
      <w:pPr>
        <w:pStyle w:val="ListParagraph"/>
        <w:numPr>
          <w:ilvl w:val="0"/>
          <w:numId w:val="2"/>
        </w:numPr>
        <w:spacing w:before="40" w:after="60"/>
      </w:pPr>
      <w:r>
        <w:rPr>
          <w:rFonts w:ascii="Arial" w:cs="Arial" w:eastAsia="Arial" w:hAnsi="Arial"/>
          <w:color w:val="111827"/>
          <w:sz w:val="22"/>
          <w:szCs w:val="22"/>
        </w:rPr>
        <w:t xml:space="preserve">Open BigQuery Console in one browser tab and the apps in separate tabs — switch deliberately</w:t>
      </w:r>
    </w:p>
    <w:p>
      <w:pPr>
        <w:pStyle w:val="ListParagraph"/>
        <w:numPr>
          <w:ilvl w:val="0"/>
          <w:numId w:val="2"/>
        </w:numPr>
        <w:spacing w:before="40" w:after="60"/>
      </w:pPr>
      <w:r>
        <w:rPr>
          <w:rFonts w:ascii="Arial" w:cs="Arial" w:eastAsia="Arial" w:hAnsi="Arial"/>
          <w:color w:val="111827"/>
          <w:sz w:val="22"/>
          <w:szCs w:val="22"/>
        </w:rPr>
        <w:t xml:space="preserve">Know your project ID, dataset names, and company code without looking them up</w:t>
      </w:r>
    </w:p>
    <w:p>
      <w:pPr>
        <w:pStyle w:val="ListParagraph"/>
        <w:numPr>
          <w:ilvl w:val="0"/>
          <w:numId w:val="2"/>
        </w:numPr>
        <w:spacing w:before="40" w:after="60"/>
      </w:pPr>
      <w:r>
        <w:rPr>
          <w:rFonts w:ascii="Arial" w:cs="Arial" w:eastAsia="Arial" w:hAnsi="Arial"/>
          <w:color w:val="111827"/>
          <w:sz w:val="22"/>
          <w:szCs w:val="22"/>
        </w:rPr>
        <w:t xml:space="preserve">Have the lineage drill-down query ready to copy-paste — this is your most powerful demo moment</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5: How to Talk to Different Stakeholders</w:t>
      </w:r>
    </w:p>
    <w:p>
      <w:pPr>
        <w:pStyle w:val="Heading2"/>
        <w:spacing w:before="360" w:after="180"/>
      </w:pPr>
      <w:r>
        <w:rPr>
          <w:rFonts w:ascii="Arial" w:cs="Arial" w:eastAsia="Arial" w:hAnsi="Arial"/>
          <w:b/>
          <w:bCs/>
          <w:color w:val="1B3A6B"/>
          <w:sz w:val="32"/>
          <w:szCs w:val="32"/>
        </w:rPr>
        <w:t xml:space="preserve">5.1  The CFO Conversation</w:t>
      </w:r>
    </w:p>
    <w:p>
      <w:pPr>
        <w:spacing w:before="0" w:after="160"/>
        <w:jc w:val="left"/>
      </w:pPr>
      <w:r>
        <w:rPr>
          <w:rFonts w:ascii="Arial" w:cs="Arial" w:eastAsia="Arial" w:hAnsi="Arial"/>
          <w:color w:val="111827"/>
          <w:sz w:val="22"/>
          <w:szCs w:val="22"/>
        </w:rPr>
        <w:t xml:space="preserve">CFOs think in three dimensions: risk, cost, and time. Frame every DISE conversation in those terms. They do not care about BigQuery datasets or SQL queries — they care about whether this gets them to January 2027 without a restatement risk, how much it costs, and how fast it deploys.</w:t>
      </w:r>
    </w:p>
    <w:p>
      <w:pPr>
        <w:pStyle w:val="Heading3"/>
        <w:spacing w:before="240" w:after="120"/>
      </w:pPr>
      <w:r>
        <w:rPr>
          <w:rFonts w:ascii="Arial" w:cs="Arial" w:eastAsia="Arial" w:hAnsi="Arial"/>
          <w:b/>
          <w:bCs/>
          <w:color w:val="0F766E"/>
          <w:sz w:val="26"/>
          <w:szCs w:val="26"/>
        </w:rPr>
        <w:t xml:space="preserve">Opening question to ask</w:t>
      </w:r>
    </w:p>
    <w:p>
      <w:pPr>
        <w:spacing w:before="0" w:after="160"/>
        <w:jc w:val="left"/>
      </w:pPr>
      <w:r>
        <w:rPr>
          <w:rFonts w:ascii="Arial" w:cs="Arial" w:eastAsia="Arial" w:hAnsi="Arial"/>
          <w:color w:val="111827"/>
          <w:sz w:val="22"/>
          <w:szCs w:val="22"/>
        </w:rPr>
        <w:t xml:space="preserve">"What is your current plan for DISE compliance? Have you engaged your external auditors yet on methodology?" This surfaces where they are in their thinking and positions you as someone who understands the problem, not just the technology.</w:t>
      </w:r>
    </w:p>
    <w:p>
      <w:pPr>
        <w:pStyle w:val="Heading3"/>
        <w:spacing w:before="240" w:after="120"/>
      </w:pPr>
      <w:r>
        <w:rPr>
          <w:rFonts w:ascii="Arial" w:cs="Arial" w:eastAsia="Arial" w:hAnsi="Arial"/>
          <w:b/>
          <w:bCs/>
          <w:color w:val="0F766E"/>
          <w:sz w:val="26"/>
          <w:szCs w:val="26"/>
        </w:rPr>
        <w:t xml:space="preserve">The numbers that matter to a CFO</w:t>
      </w:r>
    </w:p>
    <w:p>
      <w:pPr>
        <w:pStyle w:val="ListParagraph"/>
        <w:numPr>
          <w:ilvl w:val="0"/>
          <w:numId w:val="2"/>
        </w:numPr>
        <w:spacing w:before="40" w:after="60"/>
      </w:pPr>
      <w:r>
        <w:rPr>
          <w:rFonts w:ascii="Arial" w:cs="Arial" w:eastAsia="Arial" w:hAnsi="Arial"/>
          <w:color w:val="111827"/>
          <w:sz w:val="22"/>
          <w:szCs w:val="22"/>
        </w:rPr>
        <w:t xml:space="preserve">Your external auditors will charge $800K to $2M in year one to validate your DISE methodology — our solution reduces that to $300K to $400K by delivering methodology that is already documented, mathematically reconciled, and traceable to source journal entries</w:t>
      </w:r>
    </w:p>
    <w:p>
      <w:pPr>
        <w:pStyle w:val="ListParagraph"/>
        <w:numPr>
          <w:ilvl w:val="0"/>
          <w:numId w:val="2"/>
        </w:numPr>
        <w:spacing w:before="40" w:after="60"/>
      </w:pPr>
      <w:r>
        <w:rPr>
          <w:rFonts w:ascii="Arial" w:cs="Arial" w:eastAsia="Arial" w:hAnsi="Arial"/>
          <w:color w:val="111827"/>
          <w:sz w:val="22"/>
          <w:szCs w:val="22"/>
        </w:rPr>
        <w:t xml:space="preserve">Manual DISE preparation costs a Fortune 500 $18K to $68K per year in senior finance staff time — our solution reduces that to under $5K including API costs</w:t>
      </w:r>
    </w:p>
    <w:p>
      <w:pPr>
        <w:pStyle w:val="ListParagraph"/>
        <w:numPr>
          <w:ilvl w:val="0"/>
          <w:numId w:val="2"/>
        </w:numPr>
        <w:spacing w:before="40" w:after="60"/>
      </w:pPr>
      <w:r>
        <w:rPr>
          <w:rFonts w:ascii="Arial" w:cs="Arial" w:eastAsia="Arial" w:hAnsi="Arial"/>
          <w:color w:val="111827"/>
          <w:sz w:val="22"/>
          <w:szCs w:val="22"/>
        </w:rPr>
        <w:t xml:space="preserve">Implementation takes 2 to 4 weeks versus 6 to 18 months for a SAP compliance module</w:t>
      </w:r>
    </w:p>
    <w:p>
      <w:pPr>
        <w:pStyle w:val="ListParagraph"/>
        <w:numPr>
          <w:ilvl w:val="0"/>
          <w:numId w:val="2"/>
        </w:numPr>
        <w:spacing w:before="40" w:after="60"/>
      </w:pPr>
      <w:r>
        <w:rPr>
          <w:rFonts w:ascii="Arial" w:cs="Arial" w:eastAsia="Arial" w:hAnsi="Arial"/>
          <w:color w:val="111827"/>
          <w:sz w:val="22"/>
          <w:szCs w:val="22"/>
        </w:rPr>
        <w:t xml:space="preserve">Five-year fully loaded cost for manual DISE at a Fortune 100: $5.8M to $13.7M. Our solution: $500K to $800K over five years</w:t>
      </w:r>
    </w:p>
    <w:p>
      <w:pPr>
        <w:pStyle w:val="Heading3"/>
        <w:spacing w:before="240" w:after="120"/>
      </w:pPr>
      <w:r>
        <w:rPr>
          <w:rFonts w:ascii="Arial" w:cs="Arial" w:eastAsia="Arial" w:hAnsi="Arial"/>
          <w:b/>
          <w:bCs/>
          <w:color w:val="0F766E"/>
          <w:sz w:val="26"/>
          <w:szCs w:val="26"/>
        </w:rPr>
        <w:t xml:space="preserve">The one objection CFOs always raise</w:t>
      </w:r>
    </w:p>
    <w:p>
      <w:pPr>
        <w:spacing w:before="0" w:after="160"/>
        <w:jc w:val="left"/>
      </w:pPr>
      <w:r>
        <w:rPr>
          <w:rFonts w:ascii="Arial" w:cs="Arial" w:eastAsia="Arial" w:hAnsi="Arial"/>
          <w:color w:val="111827"/>
          <w:sz w:val="22"/>
          <w:szCs w:val="22"/>
        </w:rPr>
        <w:t xml:space="preserve">"SAP is building a DISE module. Should we just wait for that?" Answer: "SAP's module will be built for S/4HANA only, will cost $200K to $800K in licenses plus $300K to $1M in implementation, and won't be available before your 2027 deadline if you haven't started. Our solution deploys on what you already have in weeks, works on both ECC and S/4HANA, and crosses all your ERP systems — not just SAP."</w:t>
      </w:r>
    </w:p>
    <w:p>
      <w:pPr>
        <w:pStyle w:val="Heading2"/>
        <w:spacing w:before="360" w:after="180"/>
      </w:pPr>
      <w:r>
        <w:rPr>
          <w:rFonts w:ascii="Arial" w:cs="Arial" w:eastAsia="Arial" w:hAnsi="Arial"/>
          <w:b/>
          <w:bCs/>
          <w:color w:val="1B3A6B"/>
          <w:sz w:val="32"/>
          <w:szCs w:val="32"/>
        </w:rPr>
        <w:t xml:space="preserve">5.2  The Controller Conversation</w:t>
      </w:r>
    </w:p>
    <w:p>
      <w:pPr>
        <w:spacing w:before="0" w:after="160"/>
        <w:jc w:val="left"/>
      </w:pPr>
      <w:r>
        <w:rPr>
          <w:rFonts w:ascii="Arial" w:cs="Arial" w:eastAsia="Arial" w:hAnsi="Arial"/>
          <w:color w:val="111827"/>
          <w:sz w:val="22"/>
          <w:szCs w:val="22"/>
        </w:rPr>
        <w:t xml:space="preserve">The controller owns the close process and feels the day-to-day pain most acutely. They care about accuracy, reconciliation, auditability, and not being the person who discovers an error after filing. Lead with the reconciliation guarantee and the audit trail.</w:t>
      </w:r>
    </w:p>
    <w:p>
      <w:pPr>
        <w:pStyle w:val="Heading3"/>
        <w:spacing w:before="240" w:after="120"/>
      </w:pPr>
      <w:r>
        <w:rPr>
          <w:rFonts w:ascii="Arial" w:cs="Arial" w:eastAsia="Arial" w:hAnsi="Arial"/>
          <w:b/>
          <w:bCs/>
          <w:color w:val="0F766E"/>
          <w:sz w:val="26"/>
          <w:szCs w:val="26"/>
        </w:rPr>
        <w:t xml:space="preserve">Key messages for controllers</w:t>
      </w:r>
    </w:p>
    <w:p>
      <w:pPr>
        <w:pStyle w:val="ListParagraph"/>
        <w:numPr>
          <w:ilvl w:val="0"/>
          <w:numId w:val="2"/>
        </w:numPr>
        <w:spacing w:before="40" w:after="60"/>
      </w:pPr>
      <w:r>
        <w:rPr>
          <w:rFonts w:ascii="Arial" w:cs="Arial" w:eastAsia="Arial" w:hAnsi="Arial"/>
          <w:color w:val="111827"/>
          <w:sz w:val="22"/>
          <w:szCs w:val="22"/>
        </w:rPr>
        <w:t xml:space="preserve">The DISE pivot query mathematically guarantees that the sum of all category columns equals the income statement caption total — the reconciliation error that kills manually-prepared disclosures cannot happen here</w:t>
      </w:r>
    </w:p>
    <w:p>
      <w:pPr>
        <w:pStyle w:val="ListParagraph"/>
        <w:numPr>
          <w:ilvl w:val="0"/>
          <w:numId w:val="2"/>
        </w:numPr>
        <w:spacing w:before="40" w:after="60"/>
      </w:pPr>
      <w:r>
        <w:rPr>
          <w:rFonts w:ascii="Arial" w:cs="Arial" w:eastAsia="Arial" w:hAnsi="Arial"/>
          <w:color w:val="111827"/>
          <w:sz w:val="22"/>
          <w:szCs w:val="22"/>
        </w:rPr>
        <w:t xml:space="preserve">Every GL account classification is documented with an ASC citation — when your auditor asks why compensation is in SG&amp;A, you have a documented, time-stamped answer</w:t>
      </w:r>
    </w:p>
    <w:p>
      <w:pPr>
        <w:pStyle w:val="ListParagraph"/>
        <w:numPr>
          <w:ilvl w:val="0"/>
          <w:numId w:val="2"/>
        </w:numPr>
        <w:spacing w:before="40" w:after="60"/>
      </w:pPr>
      <w:r>
        <w:rPr>
          <w:rFonts w:ascii="Arial" w:cs="Arial" w:eastAsia="Arial" w:hAnsi="Arial"/>
          <w:color w:val="111827"/>
          <w:sz w:val="22"/>
          <w:szCs w:val="22"/>
        </w:rPr>
        <w:t xml:space="preserve">New GL accounts created during the quarter are automatically flagged as unmapped — they cannot silently contribute to the wrong category or be omitted</w:t>
      </w:r>
    </w:p>
    <w:p>
      <w:pPr>
        <w:pStyle w:val="ListParagraph"/>
        <w:numPr>
          <w:ilvl w:val="0"/>
          <w:numId w:val="2"/>
        </w:numPr>
        <w:spacing w:before="40" w:after="60"/>
      </w:pPr>
      <w:r>
        <w:rPr>
          <w:rFonts w:ascii="Arial" w:cs="Arial" w:eastAsia="Arial" w:hAnsi="Arial"/>
          <w:color w:val="111827"/>
          <w:sz w:val="22"/>
          <w:szCs w:val="22"/>
        </w:rPr>
        <w:t xml:space="preserve">The entire quarterly DISE package — footnote, estimation method, selling expense narrative, audit evidence — is generated in under 60 seconds once the mapping is established</w:t>
      </w:r>
    </w:p>
    <w:p>
      <w:pPr>
        <w:pStyle w:val="Heading3"/>
        <w:spacing w:before="240" w:after="120"/>
      </w:pPr>
      <w:r>
        <w:rPr>
          <w:rFonts w:ascii="Arial" w:cs="Arial" w:eastAsia="Arial" w:hAnsi="Arial"/>
          <w:b/>
          <w:bCs/>
          <w:color w:val="0F766E"/>
          <w:sz w:val="26"/>
          <w:szCs w:val="26"/>
        </w:rPr>
        <w:t xml:space="preserve">The question that resonates most with controllers</w:t>
      </w:r>
    </w:p>
    <w:p>
      <w:pPr>
        <w:spacing w:before="0" w:after="160"/>
        <w:jc w:val="left"/>
      </w:pPr>
      <w:r>
        <w:rPr>
          <w:rFonts w:ascii="Arial" w:cs="Arial" w:eastAsia="Arial" w:hAnsi="Arial"/>
          <w:color w:val="111827"/>
          <w:sz w:val="22"/>
          <w:szCs w:val="22"/>
        </w:rPr>
        <w:t xml:space="preserve">"How long does it take your team to prepare the DISE disclosure today, and how confident are you that the number reconciles to the face of the income statement?" The answer to that question sells the solution better than any feature list.</w:t>
      </w:r>
    </w:p>
    <w:p>
      <w:pPr>
        <w:pStyle w:val="Heading2"/>
        <w:spacing w:before="360" w:after="180"/>
      </w:pPr>
      <w:r>
        <w:rPr>
          <w:rFonts w:ascii="Arial" w:cs="Arial" w:eastAsia="Arial" w:hAnsi="Arial"/>
          <w:b/>
          <w:bCs/>
          <w:color w:val="1B3A6B"/>
          <w:sz w:val="32"/>
          <w:szCs w:val="32"/>
        </w:rPr>
        <w:t xml:space="preserve">5.3  The External Auditor Conversation</w:t>
      </w:r>
    </w:p>
    <w:p>
      <w:pPr>
        <w:spacing w:before="0" w:after="160"/>
        <w:jc w:val="left"/>
      </w:pPr>
      <w:r>
        <w:rPr>
          <w:rFonts w:ascii="Arial" w:cs="Arial" w:eastAsia="Arial" w:hAnsi="Arial"/>
          <w:color w:val="111827"/>
          <w:sz w:val="22"/>
          <w:szCs w:val="22"/>
        </w:rPr>
        <w:t xml:space="preserve">Auditors care about one thing above all: can they independently verify the numbers? They need to be able to test the methodology, sample the source data, and confirm that what is in the filing matches what is in the ERP. Your solution is designed around this requirement.</w:t>
      </w:r>
    </w:p>
    <w:p>
      <w:pPr>
        <w:pStyle w:val="Heading3"/>
        <w:spacing w:before="240" w:after="120"/>
      </w:pPr>
      <w:r>
        <w:rPr>
          <w:rFonts w:ascii="Arial" w:cs="Arial" w:eastAsia="Arial" w:hAnsi="Arial"/>
          <w:b/>
          <w:bCs/>
          <w:color w:val="0F766E"/>
          <w:sz w:val="26"/>
          <w:szCs w:val="26"/>
        </w:rPr>
        <w:t xml:space="preserve">What to tell auditors</w:t>
      </w:r>
    </w:p>
    <w:p>
      <w:pPr>
        <w:pStyle w:val="ListParagraph"/>
        <w:numPr>
          <w:ilvl w:val="0"/>
          <w:numId w:val="2"/>
        </w:numPr>
        <w:spacing w:before="40" w:after="60"/>
      </w:pPr>
      <w:r>
        <w:rPr>
          <w:rFonts w:ascii="Arial" w:cs="Arial" w:eastAsia="Arial" w:hAnsi="Arial"/>
          <w:color w:val="111827"/>
          <w:sz w:val="22"/>
          <w:szCs w:val="22"/>
        </w:rPr>
        <w:t xml:space="preserve">Every BigQuery query that produced the disclosure is available in the client's BigQuery Console — the auditor can run it themselves without assistance and get the same results</w:t>
      </w:r>
    </w:p>
    <w:p>
      <w:pPr>
        <w:pStyle w:val="ListParagraph"/>
        <w:numPr>
          <w:ilvl w:val="0"/>
          <w:numId w:val="2"/>
        </w:numPr>
        <w:spacing w:before="40" w:after="60"/>
      </w:pPr>
      <w:r>
        <w:rPr>
          <w:rFonts w:ascii="Arial" w:cs="Arial" w:eastAsia="Arial" w:hAnsi="Arial"/>
          <w:color w:val="111827"/>
          <w:sz w:val="22"/>
          <w:szCs w:val="22"/>
        </w:rPr>
        <w:t xml:space="preserve">The GL mapping methodology is documented in a governed table with ASC citations for every classification decision — this is the methodology documentation auditors typically spend weeks requesting</w:t>
      </w:r>
    </w:p>
    <w:p>
      <w:pPr>
        <w:pStyle w:val="ListParagraph"/>
        <w:numPr>
          <w:ilvl w:val="0"/>
          <w:numId w:val="2"/>
        </w:numPr>
        <w:spacing w:before="40" w:after="60"/>
      </w:pPr>
      <w:r>
        <w:rPr>
          <w:rFonts w:ascii="Arial" w:cs="Arial" w:eastAsia="Arial" w:hAnsi="Arial"/>
          <w:color w:val="111827"/>
          <w:sz w:val="22"/>
          <w:szCs w:val="22"/>
        </w:rPr>
        <w:t xml:space="preserve">Any disclosed amount can be traced to individual SAP document numbers in under 30 seconds using the lineage drill-down query</w:t>
      </w:r>
    </w:p>
    <w:p>
      <w:pPr>
        <w:pStyle w:val="ListParagraph"/>
        <w:numPr>
          <w:ilvl w:val="0"/>
          <w:numId w:val="2"/>
        </w:numPr>
        <w:spacing w:before="40" w:after="60"/>
      </w:pPr>
      <w:r>
        <w:rPr>
          <w:rFonts w:ascii="Arial" w:cs="Arial" w:eastAsia="Arial" w:hAnsi="Arial"/>
          <w:color w:val="111827"/>
          <w:sz w:val="22"/>
          <w:szCs w:val="22"/>
        </w:rPr>
        <w:t xml:space="preserve">The estimation method disclosure is auto-generated based on the actual methodology used — it accurately describes the systematic approach, which is what ASC 220-40-50-8 requires</w:t>
      </w:r>
    </w:p>
    <w:p>
      <w:pPr>
        <w:pStyle w:val="Heading3"/>
        <w:spacing w:before="240" w:after="120"/>
      </w:pPr>
      <w:r>
        <w:rPr>
          <w:rFonts w:ascii="Arial" w:cs="Arial" w:eastAsia="Arial" w:hAnsi="Arial"/>
          <w:b/>
          <w:bCs/>
          <w:color w:val="0F766E"/>
          <w:sz w:val="26"/>
          <w:szCs w:val="26"/>
        </w:rPr>
        <w:t xml:space="preserve">The audit fee conversation</w:t>
      </w:r>
    </w:p>
    <w:p>
      <w:pPr>
        <w:spacing w:before="0" w:after="160"/>
        <w:jc w:val="left"/>
      </w:pPr>
      <w:r>
        <w:rPr>
          <w:rFonts w:ascii="Arial" w:cs="Arial" w:eastAsia="Arial" w:hAnsi="Arial"/>
          <w:color w:val="111827"/>
          <w:sz w:val="22"/>
          <w:szCs w:val="22"/>
        </w:rPr>
        <w:t xml:space="preserve">Say this directly: "Most of the incremental audit work on DISE is spent tracing amounts and documenting methodology. Our solution pre-packages both of those deliverables. We estimate the incremental DISE audit procedures should take 20 to 40 hours rather than 80 to 200 hours — that's a direct reduction in your fees." Auditors will not object to this because it makes their job easier and their work product more defensible.</w:t>
      </w:r>
    </w:p>
    <w:p>
      <w:pPr>
        <w:pStyle w:val="Heading2"/>
        <w:spacing w:before="360" w:after="180"/>
      </w:pPr>
      <w:r>
        <w:rPr>
          <w:rFonts w:ascii="Arial" w:cs="Arial" w:eastAsia="Arial" w:hAnsi="Arial"/>
          <w:b/>
          <w:bCs/>
          <w:color w:val="1B3A6B"/>
          <w:sz w:val="32"/>
          <w:szCs w:val="32"/>
        </w:rPr>
        <w:t xml:space="preserve">5.4  The IT / GCP Architect Conversation</w:t>
      </w:r>
    </w:p>
    <w:p>
      <w:pPr>
        <w:spacing w:before="0" w:after="160"/>
        <w:jc w:val="left"/>
      </w:pPr>
      <w:r>
        <w:rPr>
          <w:rFonts w:ascii="Arial" w:cs="Arial" w:eastAsia="Arial" w:hAnsi="Arial"/>
          <w:color w:val="111827"/>
          <w:sz w:val="22"/>
          <w:szCs w:val="22"/>
        </w:rPr>
        <w:t xml:space="preserve">Technical stakeholders want to know where the data lives, how it moves, who has access, and whether this creates new security or compliance obligations. Lead with the fact that everything stays in their own GCP project — no data ever leaves their perimeter.</w:t>
      </w:r>
    </w:p>
    <w:p>
      <w:pPr>
        <w:pStyle w:val="Heading3"/>
        <w:spacing w:before="240" w:after="120"/>
      </w:pPr>
      <w:r>
        <w:rPr>
          <w:rFonts w:ascii="Arial" w:cs="Arial" w:eastAsia="Arial" w:hAnsi="Arial"/>
          <w:b/>
          <w:bCs/>
          <w:color w:val="0F766E"/>
          <w:sz w:val="26"/>
          <w:szCs w:val="26"/>
        </w:rPr>
        <w:t xml:space="preserve">Key technical points</w:t>
      </w:r>
    </w:p>
    <w:p>
      <w:pPr>
        <w:pStyle w:val="ListParagraph"/>
        <w:numPr>
          <w:ilvl w:val="0"/>
          <w:numId w:val="2"/>
        </w:numPr>
        <w:spacing w:before="40" w:after="60"/>
      </w:pPr>
      <w:r>
        <w:rPr>
          <w:rFonts w:ascii="Arial" w:cs="Arial" w:eastAsia="Arial" w:hAnsi="Arial"/>
          <w:color w:val="111827"/>
          <w:sz w:val="22"/>
          <w:szCs w:val="22"/>
        </w:rPr>
        <w:t xml:space="preserve">The solution is deployed entirely within the client's own GCP project — no data is sent to third-party systems except the Anthropic API (which receives only aggregated dollar amounts and GL descriptions, never raw transaction data or PII)</w:t>
      </w:r>
    </w:p>
    <w:p>
      <w:pPr>
        <w:pStyle w:val="ListParagraph"/>
        <w:numPr>
          <w:ilvl w:val="0"/>
          <w:numId w:val="2"/>
        </w:numPr>
        <w:spacing w:before="40" w:after="60"/>
      </w:pPr>
      <w:r>
        <w:rPr>
          <w:rFonts w:ascii="Arial" w:cs="Arial" w:eastAsia="Arial" w:hAnsi="Arial"/>
          <w:color w:val="111827"/>
          <w:sz w:val="22"/>
          <w:szCs w:val="22"/>
        </w:rPr>
        <w:t xml:space="preserve">IAM is scoped to minimum required permissions — cortex-sa has BigQuery Admin for the pipeline, looker-sa has Data Viewer on dise_reporting only, auditor-sa has read-only access to the disclosure output dataset</w:t>
      </w:r>
    </w:p>
    <w:p>
      <w:pPr>
        <w:pStyle w:val="ListParagraph"/>
        <w:numPr>
          <w:ilvl w:val="0"/>
          <w:numId w:val="2"/>
        </w:numPr>
        <w:spacing w:before="40" w:after="60"/>
      </w:pPr>
      <w:r>
        <w:rPr>
          <w:rFonts w:ascii="Arial" w:cs="Arial" w:eastAsia="Arial" w:hAnsi="Arial"/>
          <w:color w:val="111827"/>
          <w:sz w:val="22"/>
          <w:szCs w:val="22"/>
        </w:rPr>
        <w:t xml:space="preserve">VPC Service Controls wraps BigQuery and Vertex AI to prevent data exfiltration outside the perimeter</w:t>
      </w:r>
    </w:p>
    <w:p>
      <w:pPr>
        <w:pStyle w:val="ListParagraph"/>
        <w:numPr>
          <w:ilvl w:val="0"/>
          <w:numId w:val="2"/>
        </w:numPr>
        <w:spacing w:before="40" w:after="60"/>
      </w:pPr>
      <w:r>
        <w:rPr>
          <w:rFonts w:ascii="Arial" w:cs="Arial" w:eastAsia="Arial" w:hAnsi="Arial"/>
          <w:color w:val="111827"/>
          <w:sz w:val="22"/>
          <w:szCs w:val="22"/>
        </w:rPr>
        <w:t xml:space="preserve">All data access is logged to Cloud Audit Logs with DATA_READ and DATA_WRITE events — every query against the DISE tables is recorded with user identity and timestamp</w:t>
      </w:r>
    </w:p>
    <w:p>
      <w:pPr>
        <w:pStyle w:val="ListParagraph"/>
        <w:numPr>
          <w:ilvl w:val="0"/>
          <w:numId w:val="2"/>
        </w:numPr>
        <w:spacing w:before="40" w:after="60"/>
      </w:pPr>
      <w:r>
        <w:rPr>
          <w:rFonts w:ascii="Arial" w:cs="Arial" w:eastAsia="Arial" w:hAnsi="Arial"/>
          <w:color w:val="111827"/>
          <w:sz w:val="22"/>
          <w:szCs w:val="22"/>
        </w:rPr>
        <w:t xml:space="preserve">The Anthropic API call is the only external egress — and it carries only aggregated financial totals, not individual transactions or personal data</w:t>
      </w:r>
    </w:p>
    <w:p>
      <w:pPr>
        <w:pStyle w:val="Heading2"/>
        <w:spacing w:before="360" w:after="180"/>
      </w:pPr>
      <w:r>
        <w:rPr>
          <w:rFonts w:ascii="Arial" w:cs="Arial" w:eastAsia="Arial" w:hAnsi="Arial"/>
          <w:b/>
          <w:bCs/>
          <w:color w:val="1B3A6B"/>
          <w:sz w:val="32"/>
          <w:szCs w:val="32"/>
        </w:rPr>
        <w:t xml:space="preserve">5.5  The SAP Basis / Technical SAP Team</w:t>
      </w:r>
    </w:p>
    <w:p>
      <w:pPr>
        <w:spacing w:before="0" w:after="160"/>
        <w:jc w:val="left"/>
      </w:pPr>
      <w:r>
        <w:rPr>
          <w:rFonts w:ascii="Arial" w:cs="Arial" w:eastAsia="Arial" w:hAnsi="Arial"/>
          <w:color w:val="111827"/>
          <w:sz w:val="22"/>
          <w:szCs w:val="22"/>
        </w:rPr>
        <w:t xml:space="preserve">SAP technical teams care about data integrity, replication latency, and whether the solution affects SAP system performance. Cortex Framework handles all of this cleanly but the team needs to understand how.</w:t>
      </w:r>
    </w:p>
    <w:p>
      <w:pPr>
        <w:pStyle w:val="Heading3"/>
        <w:spacing w:before="240" w:after="120"/>
      </w:pPr>
      <w:r>
        <w:rPr>
          <w:rFonts w:ascii="Arial" w:cs="Arial" w:eastAsia="Arial" w:hAnsi="Arial"/>
          <w:b/>
          <w:bCs/>
          <w:color w:val="0F766E"/>
          <w:sz w:val="26"/>
          <w:szCs w:val="26"/>
        </w:rPr>
        <w:t xml:space="preserve">Key SAP technical points</w:t>
      </w:r>
    </w:p>
    <w:p>
      <w:pPr>
        <w:pStyle w:val="ListParagraph"/>
        <w:numPr>
          <w:ilvl w:val="0"/>
          <w:numId w:val="2"/>
        </w:numPr>
        <w:spacing w:before="40" w:after="60"/>
      </w:pPr>
      <w:r>
        <w:rPr>
          <w:rFonts w:ascii="Arial" w:cs="Arial" w:eastAsia="Arial" w:hAnsi="Arial"/>
          <w:color w:val="111827"/>
          <w:sz w:val="22"/>
          <w:szCs w:val="22"/>
        </w:rPr>
        <w:t xml:space="preserve">Cortex Framework replication is read-only — it never writes back to SAP. The extraction mechanism (Datastream for CDC or SFTP batch) only reads from SAP tables, never modifies them</w:t>
      </w:r>
    </w:p>
    <w:p>
      <w:pPr>
        <w:pStyle w:val="ListParagraph"/>
        <w:numPr>
          <w:ilvl w:val="0"/>
          <w:numId w:val="2"/>
        </w:numPr>
        <w:spacing w:before="40" w:after="60"/>
      </w:pPr>
      <w:r>
        <w:rPr>
          <w:rFonts w:ascii="Arial" w:cs="Arial" w:eastAsia="Arial" w:hAnsi="Arial"/>
          <w:color w:val="111827"/>
          <w:sz w:val="22"/>
          <w:szCs w:val="22"/>
        </w:rPr>
        <w:t xml:space="preserve">For ECC environments the solution reads bkpf and bseg — the standard FI journal tables. These are the same tables every SAP standard report reads. There is no additional load on the SAP system beyond normal reporting usage</w:t>
      </w:r>
    </w:p>
    <w:p>
      <w:pPr>
        <w:pStyle w:val="ListParagraph"/>
        <w:numPr>
          <w:ilvl w:val="0"/>
          <w:numId w:val="2"/>
        </w:numPr>
        <w:spacing w:before="40" w:after="60"/>
      </w:pPr>
      <w:r>
        <w:rPr>
          <w:rFonts w:ascii="Arial" w:cs="Arial" w:eastAsia="Arial" w:hAnsi="Arial"/>
          <w:color w:val="111827"/>
          <w:sz w:val="22"/>
          <w:szCs w:val="22"/>
        </w:rPr>
        <w:t xml:space="preserve">For S/4HANA environments the solution reads ACDOCA — the Universal Journal. Same principle: read-only, standard table, no performance impact</w:t>
      </w:r>
    </w:p>
    <w:p>
      <w:pPr>
        <w:pStyle w:val="ListParagraph"/>
        <w:numPr>
          <w:ilvl w:val="0"/>
          <w:numId w:val="2"/>
        </w:numPr>
        <w:spacing w:before="40" w:after="60"/>
      </w:pPr>
      <w:r>
        <w:rPr>
          <w:rFonts w:ascii="Arial" w:cs="Arial" w:eastAsia="Arial" w:hAnsi="Arial"/>
          <w:color w:val="111827"/>
          <w:sz w:val="22"/>
          <w:szCs w:val="22"/>
        </w:rPr>
        <w:t xml:space="preserve">The GL mapping table (gl_dise_mapping) lives entirely in BigQuery — it has no SAP component and never requires SAP configuration changes</w:t>
      </w:r>
    </w:p>
    <w:p>
      <w:pPr>
        <w:pStyle w:val="ListParagraph"/>
        <w:numPr>
          <w:ilvl w:val="0"/>
          <w:numId w:val="2"/>
        </w:numPr>
        <w:spacing w:before="40" w:after="60"/>
      </w:pPr>
      <w:r>
        <w:rPr>
          <w:rFonts w:ascii="Arial" w:cs="Arial" w:eastAsia="Arial" w:hAnsi="Arial"/>
          <w:color w:val="111827"/>
          <w:sz w:val="22"/>
          <w:szCs w:val="22"/>
        </w:rPr>
        <w:t xml:space="preserve">There is no SAP transport, no ABAP code, and no customization required in the SAP system</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6: Step-by-Step Setup Guide</w:t>
      </w:r>
    </w:p>
    <w:p>
      <w:pPr>
        <w:pStyle w:val="Heading2"/>
        <w:spacing w:before="360" w:after="180"/>
      </w:pPr>
      <w:r>
        <w:rPr>
          <w:rFonts w:ascii="Arial" w:cs="Arial" w:eastAsia="Arial" w:hAnsi="Arial"/>
          <w:b/>
          <w:bCs/>
          <w:color w:val="1B3A6B"/>
          <w:sz w:val="32"/>
          <w:szCs w:val="32"/>
        </w:rPr>
        <w:t xml:space="preserve">6.1  Prerequisites</w:t>
      </w:r>
    </w:p>
    <w:p>
      <w:pPr>
        <w:spacing w:before="0" w:after="160"/>
        <w:jc w:val="left"/>
      </w:pPr>
      <w:r>
        <w:rPr>
          <w:rFonts w:ascii="Arial" w:cs="Arial" w:eastAsia="Arial" w:hAnsi="Arial"/>
          <w:color w:val="111827"/>
          <w:sz w:val="22"/>
          <w:szCs w:val="22"/>
        </w:rPr>
        <w:t xml:space="preserve">Before beginning setup, confirm the following are in place:</w:t>
      </w:r>
    </w:p>
    <w:p>
      <w:pPr>
        <w:pStyle w:val="ListParagraph"/>
        <w:numPr>
          <w:ilvl w:val="0"/>
          <w:numId w:val="2"/>
        </w:numPr>
        <w:spacing w:before="40" w:after="60"/>
      </w:pPr>
      <w:r>
        <w:rPr>
          <w:rFonts w:ascii="Arial" w:cs="Arial" w:eastAsia="Arial" w:hAnsi="Arial"/>
          <w:color w:val="111827"/>
          <w:sz w:val="22"/>
          <w:szCs w:val="22"/>
        </w:rPr>
        <w:t xml:space="preserve">A GCP organization with billing enabled</w:t>
      </w:r>
    </w:p>
    <w:p>
      <w:pPr>
        <w:pStyle w:val="ListParagraph"/>
        <w:numPr>
          <w:ilvl w:val="0"/>
          <w:numId w:val="2"/>
        </w:numPr>
        <w:spacing w:before="40" w:after="60"/>
      </w:pPr>
      <w:r>
        <w:rPr>
          <w:rFonts w:ascii="Arial" w:cs="Arial" w:eastAsia="Arial" w:hAnsi="Arial"/>
          <w:color w:val="111827"/>
          <w:sz w:val="22"/>
          <w:szCs w:val="22"/>
        </w:rPr>
        <w:t xml:space="preserve">SAP ECC or S/4HANA with Cortex Framework deployed (or in progress)</w:t>
      </w:r>
    </w:p>
    <w:p>
      <w:pPr>
        <w:pStyle w:val="ListParagraph"/>
        <w:numPr>
          <w:ilvl w:val="0"/>
          <w:numId w:val="2"/>
        </w:numPr>
        <w:spacing w:before="40" w:after="60"/>
      </w:pPr>
      <w:r>
        <w:rPr>
          <w:rFonts w:ascii="Arial" w:cs="Arial" w:eastAsia="Arial" w:hAnsi="Arial"/>
          <w:color w:val="111827"/>
          <w:sz w:val="22"/>
          <w:szCs w:val="22"/>
        </w:rPr>
        <w:t xml:space="preserve">GCP project created (naming convention: dise-[client]-[env], e.g. dise-acme-prod)</w:t>
      </w:r>
    </w:p>
    <w:p>
      <w:pPr>
        <w:pStyle w:val="ListParagraph"/>
        <w:numPr>
          <w:ilvl w:val="0"/>
          <w:numId w:val="2"/>
        </w:numPr>
        <w:spacing w:before="40" w:after="60"/>
      </w:pPr>
      <w:r>
        <w:rPr>
          <w:rFonts w:ascii="Arial" w:cs="Arial" w:eastAsia="Arial" w:hAnsi="Arial"/>
          <w:color w:val="111827"/>
          <w:sz w:val="22"/>
          <w:szCs w:val="22"/>
        </w:rPr>
        <w:t xml:space="preserve">gcloud CLI installed and authenticated on your local machine</w:t>
      </w:r>
    </w:p>
    <w:p>
      <w:pPr>
        <w:pStyle w:val="ListParagraph"/>
        <w:numPr>
          <w:ilvl w:val="0"/>
          <w:numId w:val="2"/>
        </w:numPr>
        <w:spacing w:before="40" w:after="60"/>
      </w:pPr>
      <w:r>
        <w:rPr>
          <w:rFonts w:ascii="Arial" w:cs="Arial" w:eastAsia="Arial" w:hAnsi="Arial"/>
          <w:color w:val="111827"/>
          <w:sz w:val="22"/>
          <w:szCs w:val="22"/>
        </w:rPr>
        <w:t xml:space="preserve">An Anthropic API account with a valid API key from console.anthropic.com</w:t>
      </w:r>
    </w:p>
    <w:p>
      <w:pPr>
        <w:pStyle w:val="Heading2"/>
        <w:spacing w:before="360" w:after="180"/>
      </w:pPr>
      <w:r>
        <w:rPr>
          <w:rFonts w:ascii="Arial" w:cs="Arial" w:eastAsia="Arial" w:hAnsi="Arial"/>
          <w:b/>
          <w:bCs/>
          <w:color w:val="1B3A6B"/>
          <w:sz w:val="32"/>
          <w:szCs w:val="32"/>
        </w:rPr>
        <w:t xml:space="preserve">6.2  Phase 1: GCP Project and IAM Setup</w:t>
      </w:r>
    </w:p>
    <w:p>
      <w:pPr>
        <w:pStyle w:val="Heading3"/>
        <w:spacing w:before="240" w:after="120"/>
      </w:pPr>
      <w:r>
        <w:rPr>
          <w:rFonts w:ascii="Arial" w:cs="Arial" w:eastAsia="Arial" w:hAnsi="Arial"/>
          <w:b/>
          <w:bCs/>
          <w:color w:val="0F766E"/>
          <w:sz w:val="26"/>
          <w:szCs w:val="26"/>
        </w:rPr>
        <w:t xml:space="preserve">Step 1: Enable required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gcloud services enable \</w:t>
            </w:r>
          </w:p>
          <w:p>
            <w:pPr>
              <w:spacing w:before="0" w:after="40"/>
            </w:pPr>
            <w:r>
              <w:rPr>
                <w:rFonts w:ascii="Courier New" w:cs="Courier New" w:eastAsia="Courier New" w:hAnsi="Courier New"/>
                <w:color w:val="7AB0E0"/>
                <w:sz w:val="18"/>
                <w:szCs w:val="18"/>
              </w:rPr>
              <w:t xml:space="preserve">  bigquery.googleapis.com \</w:t>
            </w:r>
          </w:p>
          <w:p>
            <w:pPr>
              <w:spacing w:before="0" w:after="40"/>
            </w:pPr>
            <w:r>
              <w:rPr>
                <w:rFonts w:ascii="Courier New" w:cs="Courier New" w:eastAsia="Courier New" w:hAnsi="Courier New"/>
                <w:color w:val="7AB0E0"/>
                <w:sz w:val="18"/>
                <w:szCs w:val="18"/>
              </w:rPr>
              <w:t xml:space="preserve">  dataflow.googleapis.com \</w:t>
            </w:r>
          </w:p>
          <w:p>
            <w:pPr>
              <w:spacing w:before="0" w:after="40"/>
            </w:pPr>
            <w:r>
              <w:rPr>
                <w:rFonts w:ascii="Courier New" w:cs="Courier New" w:eastAsia="Courier New" w:hAnsi="Courier New"/>
                <w:color w:val="7AB0E0"/>
                <w:sz w:val="18"/>
                <w:szCs w:val="18"/>
              </w:rPr>
              <w:t xml:space="preserve">  composer.googleapis.com \</w:t>
            </w:r>
          </w:p>
          <w:p>
            <w:pPr>
              <w:spacing w:before="0" w:after="40"/>
            </w:pPr>
            <w:r>
              <w:rPr>
                <w:rFonts w:ascii="Courier New" w:cs="Courier New" w:eastAsia="Courier New" w:hAnsi="Courier New"/>
                <w:color w:val="7AB0E0"/>
                <w:sz w:val="18"/>
                <w:szCs w:val="18"/>
              </w:rPr>
              <w:t xml:space="preserve">  aiplatform.googleapis.com \</w:t>
            </w:r>
          </w:p>
          <w:p>
            <w:pPr>
              <w:spacing w:before="0" w:after="40"/>
            </w:pPr>
            <w:r>
              <w:rPr>
                <w:rFonts w:ascii="Courier New" w:cs="Courier New" w:eastAsia="Courier New" w:hAnsi="Courier New"/>
                <w:color w:val="7AB0E0"/>
                <w:sz w:val="18"/>
                <w:szCs w:val="18"/>
              </w:rPr>
              <w:t xml:space="preserve">  secretmanager.googleapis.com \</w:t>
            </w:r>
          </w:p>
          <w:p>
            <w:pPr>
              <w:spacing w:before="0" w:after="40"/>
            </w:pPr>
            <w:r>
              <w:rPr>
                <w:rFonts w:ascii="Courier New" w:cs="Courier New" w:eastAsia="Courier New" w:hAnsi="Courier New"/>
                <w:color w:val="7AB0E0"/>
                <w:sz w:val="18"/>
                <w:szCs w:val="18"/>
              </w:rPr>
              <w:t xml:space="preserve">  dataplex.googleapis.com \</w:t>
            </w:r>
          </w:p>
          <w:p>
            <w:pPr>
              <w:spacing w:before="0" w:after="40"/>
            </w:pPr>
            <w:r>
              <w:rPr>
                <w:rFonts w:ascii="Courier New" w:cs="Courier New" w:eastAsia="Courier New" w:hAnsi="Courier New"/>
                <w:color w:val="7AB0E0"/>
                <w:sz w:val="18"/>
                <w:szCs w:val="18"/>
              </w:rPr>
              <w:t xml:space="preserve">  storage.googleapis.com \</w:t>
            </w:r>
          </w:p>
          <w:p>
            <w:pPr>
              <w:spacing w:before="0" w:after="40"/>
            </w:pPr>
            <w:r>
              <w:rPr>
                <w:rFonts w:ascii="Courier New" w:cs="Courier New" w:eastAsia="Courier New" w:hAnsi="Courier New"/>
                <w:color w:val="7AB0E0"/>
                <w:sz w:val="18"/>
                <w:szCs w:val="18"/>
              </w:rPr>
              <w:t xml:space="preserve">  cloudbuild.googleapis.com \</w:t>
            </w:r>
          </w:p>
          <w:p>
            <w:pPr>
              <w:spacing w:before="0" w:after="40"/>
            </w:pPr>
            <w:r>
              <w:rPr>
                <w:rFonts w:ascii="Courier New" w:cs="Courier New" w:eastAsia="Courier New" w:hAnsi="Courier New"/>
                <w:color w:val="7AB0E0"/>
                <w:sz w:val="18"/>
                <w:szCs w:val="18"/>
              </w:rPr>
              <w:t xml:space="preserve">  --project=YOUR_PROJECT_ID</w:t>
            </w:r>
          </w:p>
        </w:tc>
      </w:tr>
    </w:tbl>
    <w:p>
      <w:pPr>
        <w:pStyle w:val="Heading3"/>
        <w:spacing w:before="240" w:after="120"/>
      </w:pPr>
      <w:r>
        <w:rPr>
          <w:rFonts w:ascii="Arial" w:cs="Arial" w:eastAsia="Arial" w:hAnsi="Arial"/>
          <w:b/>
          <w:bCs/>
          <w:color w:val="0F766E"/>
          <w:sz w:val="26"/>
          <w:szCs w:val="26"/>
        </w:rPr>
        <w:t xml:space="preserve">Step 2: Create service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export PROJECT=YOUR_PROJECT_ID</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for SA in cortex-sa vertex-sa looker-sa auditor-sa; do</w:t>
            </w:r>
          </w:p>
          <w:p>
            <w:pPr>
              <w:spacing w:before="0" w:after="40"/>
            </w:pPr>
            <w:r>
              <w:rPr>
                <w:rFonts w:ascii="Courier New" w:cs="Courier New" w:eastAsia="Courier New" w:hAnsi="Courier New"/>
                <w:color w:val="7AB0E0"/>
                <w:sz w:val="18"/>
                <w:szCs w:val="18"/>
              </w:rPr>
              <w:t xml:space="preserve">  gcloud iam service-accounts create $SA \</w:t>
            </w:r>
          </w:p>
          <w:p>
            <w:pPr>
              <w:spacing w:before="0" w:after="40"/>
            </w:pPr>
            <w:r>
              <w:rPr>
                <w:rFonts w:ascii="Courier New" w:cs="Courier New" w:eastAsia="Courier New" w:hAnsi="Courier New"/>
                <w:color w:val="7AB0E0"/>
                <w:sz w:val="18"/>
                <w:szCs w:val="18"/>
              </w:rPr>
              <w:t xml:space="preserve">    --display-name="DISE $SA" \</w:t>
            </w:r>
          </w:p>
          <w:p>
            <w:pPr>
              <w:spacing w:before="0" w:after="40"/>
            </w:pPr>
            <w:r>
              <w:rPr>
                <w:rFonts w:ascii="Courier New" w:cs="Courier New" w:eastAsia="Courier New" w:hAnsi="Courier New"/>
                <w:color w:val="7AB0E0"/>
                <w:sz w:val="18"/>
                <w:szCs w:val="18"/>
              </w:rPr>
              <w:t xml:space="preserve">    --project=$PROJECT</w:t>
            </w:r>
          </w:p>
          <w:p>
            <w:pPr>
              <w:spacing w:before="0" w:after="40"/>
            </w:pPr>
            <w:r>
              <w:rPr>
                <w:rFonts w:ascii="Courier New" w:cs="Courier New" w:eastAsia="Courier New" w:hAnsi="Courier New"/>
                <w:color w:val="7AB0E0"/>
                <w:sz w:val="18"/>
                <w:szCs w:val="18"/>
              </w:rPr>
              <w:t xml:space="preserve">done</w:t>
            </w:r>
          </w:p>
        </w:tc>
      </w:tr>
    </w:tbl>
    <w:p>
      <w:pPr>
        <w:pStyle w:val="Heading3"/>
        <w:spacing w:before="240" w:after="120"/>
      </w:pPr>
      <w:r>
        <w:rPr>
          <w:rFonts w:ascii="Arial" w:cs="Arial" w:eastAsia="Arial" w:hAnsi="Arial"/>
          <w:b/>
          <w:bCs/>
          <w:color w:val="0F766E"/>
          <w:sz w:val="26"/>
          <w:szCs w:val="26"/>
        </w:rPr>
        <w:t xml:space="preserve">Step 3: Bind IAM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export SA_BASE="@$PROJECT.iam.gserviceaccount.com"</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 cortex-sa — project level (pipeline runner)</w:t>
            </w:r>
          </w:p>
          <w:p>
            <w:pPr>
              <w:spacing w:before="0" w:after="40"/>
            </w:pPr>
            <w:r>
              <w:rPr>
                <w:rFonts w:ascii="Courier New" w:cs="Courier New" w:eastAsia="Courier New" w:hAnsi="Courier New"/>
                <w:color w:val="7AB0E0"/>
                <w:sz w:val="18"/>
                <w:szCs w:val="18"/>
              </w:rPr>
              <w:t xml:space="preserve">for ROLE in roles/bigquery.admin roles/dataflow.worker \</w:t>
            </w:r>
          </w:p>
          <w:p>
            <w:pPr>
              <w:spacing w:before="0" w:after="40"/>
            </w:pPr>
            <w:r>
              <w:rPr>
                <w:rFonts w:ascii="Courier New" w:cs="Courier New" w:eastAsia="Courier New" w:hAnsi="Courier New"/>
                <w:color w:val="7AB0E0"/>
                <w:sz w:val="18"/>
                <w:szCs w:val="18"/>
              </w:rPr>
              <w:t xml:space="preserve">            roles/composer.worker roles/storage.admin; do</w:t>
            </w:r>
          </w:p>
          <w:p>
            <w:pPr>
              <w:spacing w:before="0" w:after="40"/>
            </w:pPr>
            <w:r>
              <w:rPr>
                <w:rFonts w:ascii="Courier New" w:cs="Courier New" w:eastAsia="Courier New" w:hAnsi="Courier New"/>
                <w:color w:val="7AB0E0"/>
                <w:sz w:val="18"/>
                <w:szCs w:val="18"/>
              </w:rPr>
              <w:t xml:space="preserve">  gcloud projects add-iam-policy-binding $PROJECT \</w:t>
            </w:r>
          </w:p>
          <w:p>
            <w:pPr>
              <w:spacing w:before="0" w:after="40"/>
            </w:pPr>
            <w:r>
              <w:rPr>
                <w:rFonts w:ascii="Courier New" w:cs="Courier New" w:eastAsia="Courier New" w:hAnsi="Courier New"/>
                <w:color w:val="7AB0E0"/>
                <w:sz w:val="18"/>
                <w:szCs w:val="18"/>
              </w:rPr>
              <w:t xml:space="preserve">    --member="serviceAccount:cortex-sa$SA_BASE" \</w:t>
            </w:r>
          </w:p>
          <w:p>
            <w:pPr>
              <w:spacing w:before="0" w:after="40"/>
            </w:pPr>
            <w:r>
              <w:rPr>
                <w:rFonts w:ascii="Courier New" w:cs="Courier New" w:eastAsia="Courier New" w:hAnsi="Courier New"/>
                <w:color w:val="7AB0E0"/>
                <w:sz w:val="18"/>
                <w:szCs w:val="18"/>
              </w:rPr>
              <w:t xml:space="preserve">    --role="$ROLE"</w:t>
            </w:r>
          </w:p>
          <w:p>
            <w:pPr>
              <w:spacing w:before="0" w:after="40"/>
            </w:pPr>
            <w:r>
              <w:rPr>
                <w:rFonts w:ascii="Courier New" w:cs="Courier New" w:eastAsia="Courier New" w:hAnsi="Courier New"/>
                <w:color w:val="7AB0E0"/>
                <w:sz w:val="18"/>
                <w:szCs w:val="18"/>
              </w:rPr>
              <w:t xml:space="preserve">done</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 looker-sa — project level job execution only</w:t>
            </w:r>
          </w:p>
          <w:p>
            <w:pPr>
              <w:spacing w:before="0" w:after="40"/>
            </w:pPr>
            <w:r>
              <w:rPr>
                <w:rFonts w:ascii="Courier New" w:cs="Courier New" w:eastAsia="Courier New" w:hAnsi="Courier New"/>
                <w:color w:val="7AB0E0"/>
                <w:sz w:val="18"/>
                <w:szCs w:val="18"/>
              </w:rPr>
              <w:t xml:space="preserve">gcloud projects add-iam-policy-binding $PROJECT \</w:t>
            </w:r>
          </w:p>
          <w:p>
            <w:pPr>
              <w:spacing w:before="0" w:after="40"/>
            </w:pPr>
            <w:r>
              <w:rPr>
                <w:rFonts w:ascii="Courier New" w:cs="Courier New" w:eastAsia="Courier New" w:hAnsi="Courier New"/>
                <w:color w:val="7AB0E0"/>
                <w:sz w:val="18"/>
                <w:szCs w:val="18"/>
              </w:rPr>
              <w:t xml:space="preserve">  --member="serviceAccount:looker-sa$SA_BASE" \</w:t>
            </w:r>
          </w:p>
          <w:p>
            <w:pPr>
              <w:spacing w:before="0" w:after="40"/>
            </w:pPr>
            <w:r>
              <w:rPr>
                <w:rFonts w:ascii="Courier New" w:cs="Courier New" w:eastAsia="Courier New" w:hAnsi="Courier New"/>
                <w:color w:val="7AB0E0"/>
                <w:sz w:val="18"/>
                <w:szCs w:val="18"/>
              </w:rPr>
              <w:t xml:space="preserve">  --role="roles/bigquery.jobUser"</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 Dataset-level bindings (run AFTER Phase 2 dataset creation)</w:t>
            </w:r>
          </w:p>
          <w:p>
            <w:pPr>
              <w:spacing w:before="0" w:after="40"/>
            </w:pPr>
            <w:r>
              <w:rPr>
                <w:rFonts w:ascii="Courier New" w:cs="Courier New" w:eastAsia="Courier New" w:hAnsi="Courier New"/>
                <w:color w:val="7AB0E0"/>
                <w:sz w:val="18"/>
                <w:szCs w:val="18"/>
              </w:rPr>
              <w:t xml:space="preserve"># bq add-iam-policy-binding --member="serviceAccount:looker-sa$SA_BASE" \</w:t>
            </w:r>
          </w:p>
          <w:p>
            <w:pPr>
              <w:spacing w:before="0" w:after="40"/>
            </w:pPr>
            <w:r>
              <w:rPr>
                <w:rFonts w:ascii="Courier New" w:cs="Courier New" w:eastAsia="Courier New" w:hAnsi="Courier New"/>
                <w:color w:val="7AB0E0"/>
                <w:sz w:val="18"/>
                <w:szCs w:val="18"/>
              </w:rPr>
              <w:t xml:space="preserve">#   --role="roles/bigquery.dataViewer" YOUR_PROJECT:dise_reporting</w:t>
            </w:r>
          </w:p>
          <w:p>
            <w:pPr>
              <w:spacing w:before="0" w:after="40"/>
            </w:pPr>
            <w:r>
              <w:rPr>
                <w:rFonts w:ascii="Courier New" w:cs="Courier New" w:eastAsia="Courier New" w:hAnsi="Courier New"/>
                <w:color w:val="7AB0E0"/>
                <w:sz w:val="18"/>
                <w:szCs w:val="18"/>
              </w:rPr>
              <w:t xml:space="preserve"># bq add-iam-policy-binding --member="serviceAccount:auditor-sa$SA_BASE" \</w:t>
            </w:r>
          </w:p>
          <w:p>
            <w:pPr>
              <w:spacing w:before="0" w:after="40"/>
            </w:pPr>
            <w:r>
              <w:rPr>
                <w:rFonts w:ascii="Courier New" w:cs="Courier New" w:eastAsia="Courier New" w:hAnsi="Courier New"/>
                <w:color w:val="7AB0E0"/>
                <w:sz w:val="18"/>
                <w:szCs w:val="18"/>
              </w:rPr>
              <w:t xml:space="preserve">#   --role="roles/bigquery.dataViewer" YOUR_PROJECT:dise_reporting</w:t>
            </w:r>
          </w:p>
        </w:tc>
      </w:tr>
    </w:tbl>
    <w:p>
      <w:pPr>
        <w:pStyle w:val="Heading2"/>
        <w:spacing w:before="360" w:after="180"/>
      </w:pPr>
      <w:r>
        <w:rPr>
          <w:rFonts w:ascii="Arial" w:cs="Arial" w:eastAsia="Arial" w:hAnsi="Arial"/>
          <w:b/>
          <w:bCs/>
          <w:color w:val="1B3A6B"/>
          <w:sz w:val="32"/>
          <w:szCs w:val="32"/>
        </w:rPr>
        <w:t xml:space="preserve">6.3  Phase 2: BigQuery Dataset and Mapping Table</w:t>
      </w:r>
    </w:p>
    <w:p>
      <w:pPr>
        <w:pStyle w:val="Heading3"/>
        <w:spacing w:before="240" w:after="120"/>
      </w:pPr>
      <w:r>
        <w:rPr>
          <w:rFonts w:ascii="Arial" w:cs="Arial" w:eastAsia="Arial" w:hAnsi="Arial"/>
          <w:b/>
          <w:bCs/>
          <w:color w:val="0F766E"/>
          <w:sz w:val="26"/>
          <w:szCs w:val="26"/>
        </w:rPr>
        <w:t xml:space="preserve">Step 4: Create datasets and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 Create the DISE reporting dataset</w:t>
            </w:r>
          </w:p>
          <w:p>
            <w:pPr>
              <w:spacing w:before="0" w:after="40"/>
            </w:pPr>
            <w:r>
              <w:rPr>
                <w:rFonts w:ascii="Courier New" w:cs="Courier New" w:eastAsia="Courier New" w:hAnsi="Courier New"/>
                <w:color w:val="7AB0E0"/>
                <w:sz w:val="18"/>
                <w:szCs w:val="18"/>
              </w:rPr>
              <w:t xml:space="preserve">CREATE SCHEMA IF NOT EXISTS `YOUR_PROJECT.dise_reporting`;</w:t>
            </w:r>
          </w:p>
          <w:p>
            <w:pPr>
              <w:spacing w:before="0" w:after="40"/>
            </w:pPr>
            <w:r>
              <w:rPr>
                <w:rFonts w:ascii="Courier New" w:cs="Courier New" w:eastAsia="Courier New" w:hAnsi="Courier New"/>
                <w:color w:val="7AB0E0"/>
                <w:sz w:val="18"/>
                <w:szCs w:val="18"/>
              </w:rPr>
              <w:t xml:space="preserve"/>
            </w:r>
          </w:p>
          <w:p>
            <w:pPr>
              <w:spacing w:before="0" w:after="40"/>
            </w:pPr>
            <w:r>
              <w:rPr>
                <w:rFonts w:ascii="Courier New" w:cs="Courier New" w:eastAsia="Courier New" w:hAnsi="Courier New"/>
                <w:color w:val="7AB0E0"/>
                <w:sz w:val="18"/>
                <w:szCs w:val="18"/>
              </w:rPr>
              <w:t xml:space="preserve">-- Create GL mapping table</w:t>
            </w:r>
          </w:p>
          <w:p>
            <w:pPr>
              <w:spacing w:before="0" w:after="40"/>
            </w:pPr>
            <w:r>
              <w:rPr>
                <w:rFonts w:ascii="Courier New" w:cs="Courier New" w:eastAsia="Courier New" w:hAnsi="Courier New"/>
                <w:color w:val="7AB0E0"/>
                <w:sz w:val="18"/>
                <w:szCs w:val="18"/>
              </w:rPr>
              <w:t xml:space="preserve">CREATE OR REPLACE TABLE `YOUR_PROJECT.dise_reporting.gl_dise_mapping` (</w:t>
            </w:r>
          </w:p>
          <w:p>
            <w:pPr>
              <w:spacing w:before="0" w:after="40"/>
            </w:pPr>
            <w:r>
              <w:rPr>
                <w:rFonts w:ascii="Courier New" w:cs="Courier New" w:eastAsia="Courier New" w:hAnsi="Courier New"/>
                <w:color w:val="7AB0E0"/>
                <w:sz w:val="18"/>
                <w:szCs w:val="18"/>
              </w:rPr>
              <w:t xml:space="preserve">  gl_account        STRING,</w:t>
            </w:r>
          </w:p>
          <w:p>
            <w:pPr>
              <w:spacing w:before="0" w:after="40"/>
            </w:pPr>
            <w:r>
              <w:rPr>
                <w:rFonts w:ascii="Courier New" w:cs="Courier New" w:eastAsia="Courier New" w:hAnsi="Courier New"/>
                <w:color w:val="7AB0E0"/>
                <w:sz w:val="18"/>
                <w:szCs w:val="18"/>
              </w:rPr>
              <w:t xml:space="preserve">  description       STRING,</w:t>
            </w:r>
          </w:p>
          <w:p>
            <w:pPr>
              <w:spacing w:before="0" w:after="40"/>
            </w:pPr>
            <w:r>
              <w:rPr>
                <w:rFonts w:ascii="Courier New" w:cs="Courier New" w:eastAsia="Courier New" w:hAnsi="Courier New"/>
                <w:color w:val="7AB0E0"/>
                <w:sz w:val="18"/>
                <w:szCs w:val="18"/>
              </w:rPr>
              <w:t xml:space="preserve">  dise_category     STRING,  -- inventory/compensation/depreciation/amortization/other</w:t>
            </w:r>
          </w:p>
          <w:p>
            <w:pPr>
              <w:spacing w:before="0" w:after="40"/>
            </w:pPr>
            <w:r>
              <w:rPr>
                <w:rFonts w:ascii="Courier New" w:cs="Courier New" w:eastAsia="Courier New" w:hAnsi="Courier New"/>
                <w:color w:val="7AB0E0"/>
                <w:sz w:val="18"/>
                <w:szCs w:val="18"/>
              </w:rPr>
              <w:t xml:space="preserve">  expense_caption   STRING,  -- COGS/SG&amp;A/R&amp;D/etc</w:t>
            </w:r>
          </w:p>
          <w:p>
            <w:pPr>
              <w:spacing w:before="0" w:after="40"/>
            </w:pPr>
            <w:r>
              <w:rPr>
                <w:rFonts w:ascii="Courier New" w:cs="Courier New" w:eastAsia="Courier New" w:hAnsi="Courier New"/>
                <w:color w:val="7AB0E0"/>
                <w:sz w:val="18"/>
                <w:szCs w:val="18"/>
              </w:rPr>
              <w:t xml:space="preserve">  status            STRING,  -- mapped/pending/excluded</w:t>
            </w:r>
          </w:p>
          <w:p>
            <w:pPr>
              <w:spacing w:before="0" w:after="40"/>
            </w:pPr>
            <w:r>
              <w:rPr>
                <w:rFonts w:ascii="Courier New" w:cs="Courier New" w:eastAsia="Courier New" w:hAnsi="Courier New"/>
                <w:color w:val="7AB0E0"/>
                <w:sz w:val="18"/>
                <w:szCs w:val="18"/>
              </w:rPr>
              <w:t xml:space="preserve">  notes             STRING</w:t>
            </w:r>
          </w:p>
          <w:p>
            <w:pPr>
              <w:spacing w:before="0" w:after="40"/>
            </w:pPr>
            <w:r>
              <w:rPr>
                <w:rFonts w:ascii="Courier New" w:cs="Courier New" w:eastAsia="Courier New" w:hAnsi="Courier New"/>
                <w:color w:val="7AB0E0"/>
                <w:sz w:val="18"/>
                <w:szCs w:val="18"/>
              </w:rPr>
              <w:t xml:space="preserve">);</w:t>
            </w:r>
          </w:p>
        </w:tc>
      </w:tr>
    </w:tbl>
    <w:p>
      <w:pPr>
        <w:pStyle w:val="Heading3"/>
        <w:spacing w:before="240" w:after="120"/>
      </w:pPr>
      <w:r>
        <w:rPr>
          <w:rFonts w:ascii="Arial" w:cs="Arial" w:eastAsia="Arial" w:hAnsi="Arial"/>
          <w:b/>
          <w:bCs/>
          <w:color w:val="0F766E"/>
          <w:sz w:val="26"/>
          <w:szCs w:val="26"/>
        </w:rPr>
        <w:t xml:space="preserve">Step 5: Extract GL accounts for mapping</w:t>
      </w:r>
    </w:p>
    <w:p>
      <w:pPr>
        <w:spacing w:before="0" w:after="160"/>
        <w:jc w:val="left"/>
      </w:pPr>
      <w:r>
        <w:rPr>
          <w:rFonts w:ascii="Arial" w:cs="Arial" w:eastAsia="Arial" w:hAnsi="Arial"/>
          <w:color w:val="111827"/>
          <w:sz w:val="22"/>
          <w:szCs w:val="22"/>
        </w:rPr>
        <w:t xml:space="preserve">Run this query to get the full list of GL accounts to map. Export to CSV, run through the DISE Mapping tool, then load back into gl_dise_mapping: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1B3A6B" w:sz="6"/>
              <w:left w:val="single" w:color="1B3A6B" w:sz="6"/>
              <w:bottom w:val="single" w:color="1B3A6B" w:sz="6"/>
              <w:right w:val="single" w:color="1B3A6B" w:sz="6"/>
            </w:tcBorders>
            <w:shd w:fill="1E293B" w:val="clear"/>
            <w:tcMar>
              <w:top w:type="dxa" w:w="160"/>
              <w:left w:type="dxa" w:w="200"/>
              <w:bottom w:type="dxa" w:w="160"/>
              <w:right w:type="dxa" w:w="200"/>
            </w:tcMar>
          </w:tcPr>
          <w:p>
            <w:pPr>
              <w:spacing w:before="0" w:after="40"/>
            </w:pPr>
            <w:r>
              <w:rPr>
                <w:rFonts w:ascii="Courier New" w:cs="Courier New" w:eastAsia="Courier New" w:hAnsi="Courier New"/>
                <w:color w:val="7AB0E0"/>
                <w:sz w:val="18"/>
                <w:szCs w:val="18"/>
              </w:rPr>
              <w:t xml:space="preserve">SELECT</w:t>
            </w:r>
          </w:p>
          <w:p>
            <w:pPr>
              <w:spacing w:before="0" w:after="40"/>
            </w:pPr>
            <w:r>
              <w:rPr>
                <w:rFonts w:ascii="Courier New" w:cs="Courier New" w:eastAsia="Courier New" w:hAnsi="Courier New"/>
                <w:color w:val="7AB0E0"/>
                <w:sz w:val="18"/>
                <w:szCs w:val="18"/>
              </w:rPr>
              <w:t xml:space="preserve">  bseg.HKONT AS GLAccount,</w:t>
            </w:r>
          </w:p>
          <w:p>
            <w:pPr>
              <w:spacing w:before="0" w:after="40"/>
            </w:pPr>
            <w:r>
              <w:rPr>
                <w:rFonts w:ascii="Courier New" w:cs="Courier New" w:eastAsia="Courier New" w:hAnsi="Courier New"/>
                <w:color w:val="7AB0E0"/>
                <w:sz w:val="18"/>
                <w:szCs w:val="18"/>
              </w:rPr>
              <w:t xml:space="preserve">  SUM(bseg.DMBTR) AS total_amount,</w:t>
            </w:r>
          </w:p>
          <w:p>
            <w:pPr>
              <w:spacing w:before="0" w:after="40"/>
            </w:pPr>
            <w:r>
              <w:rPr>
                <w:rFonts w:ascii="Courier New" w:cs="Courier New" w:eastAsia="Courier New" w:hAnsi="Courier New"/>
                <w:color w:val="7AB0E0"/>
                <w:sz w:val="18"/>
                <w:szCs w:val="18"/>
              </w:rPr>
              <w:t xml:space="preserve">  COUNT(*) AS posting_count</w:t>
            </w:r>
          </w:p>
          <w:p>
            <w:pPr>
              <w:spacing w:before="0" w:after="40"/>
            </w:pPr>
            <w:r>
              <w:rPr>
                <w:rFonts w:ascii="Courier New" w:cs="Courier New" w:eastAsia="Courier New" w:hAnsi="Courier New"/>
                <w:color w:val="7AB0E0"/>
                <w:sz w:val="18"/>
                <w:szCs w:val="18"/>
              </w:rPr>
              <w:t xml:space="preserve">FROM `YOUR_PROJECT.CORTEX_SAP_CDC.bkpf` bkpf</w:t>
            </w:r>
          </w:p>
          <w:p>
            <w:pPr>
              <w:spacing w:before="0" w:after="40"/>
            </w:pPr>
            <w:r>
              <w:rPr>
                <w:rFonts w:ascii="Courier New" w:cs="Courier New" w:eastAsia="Courier New" w:hAnsi="Courier New"/>
                <w:color w:val="7AB0E0"/>
                <w:sz w:val="18"/>
                <w:szCs w:val="18"/>
              </w:rPr>
              <w:t xml:space="preserve">JOIN `YOUR_PROJECT.CORTEX_SAP_CDC.bseg` bseg</w:t>
            </w:r>
          </w:p>
          <w:p>
            <w:pPr>
              <w:spacing w:before="0" w:after="40"/>
            </w:pPr>
            <w:r>
              <w:rPr>
                <w:rFonts w:ascii="Courier New" w:cs="Courier New" w:eastAsia="Courier New" w:hAnsi="Courier New"/>
                <w:color w:val="7AB0E0"/>
                <w:sz w:val="18"/>
                <w:szCs w:val="18"/>
              </w:rPr>
              <w:t xml:space="preserve">  ON bkpf.MANDT=bseg.MANDT AND bkpf.BUKRS=bseg.BUKRS</w:t>
            </w:r>
          </w:p>
          <w:p>
            <w:pPr>
              <w:spacing w:before="0" w:after="40"/>
            </w:pPr>
            <w:r>
              <w:rPr>
                <w:rFonts w:ascii="Courier New" w:cs="Courier New" w:eastAsia="Courier New" w:hAnsi="Courier New"/>
                <w:color w:val="7AB0E0"/>
                <w:sz w:val="18"/>
                <w:szCs w:val="18"/>
              </w:rPr>
              <w:t xml:space="preserve">  AND bkpf.BELNR=bseg.BELNR AND bkpf.GJAHR=bseg.GJAHR</w:t>
            </w:r>
          </w:p>
          <w:p>
            <w:pPr>
              <w:spacing w:before="0" w:after="40"/>
            </w:pPr>
            <w:r>
              <w:rPr>
                <w:rFonts w:ascii="Courier New" w:cs="Courier New" w:eastAsia="Courier New" w:hAnsi="Courier New"/>
                <w:color w:val="7AB0E0"/>
                <w:sz w:val="18"/>
                <w:szCs w:val="18"/>
              </w:rPr>
              <w:t xml:space="preserve">WHERE bkpf.GJAHR = '2023'</w:t>
            </w:r>
          </w:p>
          <w:p>
            <w:pPr>
              <w:spacing w:before="0" w:after="40"/>
            </w:pPr>
            <w:r>
              <w:rPr>
                <w:rFonts w:ascii="Courier New" w:cs="Courier New" w:eastAsia="Courier New" w:hAnsi="Courier New"/>
                <w:color w:val="7AB0E0"/>
                <w:sz w:val="18"/>
                <w:szCs w:val="18"/>
              </w:rPr>
              <w:t xml:space="preserve">  AND bkpf.BLART NOT IN ('AA','AF','AB')</w:t>
            </w:r>
          </w:p>
          <w:p>
            <w:pPr>
              <w:spacing w:before="0" w:after="40"/>
            </w:pPr>
            <w:r>
              <w:rPr>
                <w:rFonts w:ascii="Courier New" w:cs="Courier New" w:eastAsia="Courier New" w:hAnsi="Courier New"/>
                <w:color w:val="7AB0E0"/>
                <w:sz w:val="18"/>
                <w:szCs w:val="18"/>
              </w:rPr>
              <w:t xml:space="preserve">GROUP BY 1</w:t>
            </w:r>
          </w:p>
          <w:p>
            <w:pPr>
              <w:spacing w:before="0" w:after="40"/>
            </w:pPr>
            <w:r>
              <w:rPr>
                <w:rFonts w:ascii="Courier New" w:cs="Courier New" w:eastAsia="Courier New" w:hAnsi="Courier New"/>
                <w:color w:val="7AB0E0"/>
                <w:sz w:val="18"/>
                <w:szCs w:val="18"/>
              </w:rPr>
              <w:t xml:space="preserve">HAVING ABS(SUM(bseg.DMBTR)) &gt; 1000</w:t>
            </w:r>
          </w:p>
          <w:p>
            <w:pPr>
              <w:spacing w:before="0" w:after="40"/>
            </w:pPr>
            <w:r>
              <w:rPr>
                <w:rFonts w:ascii="Courier New" w:cs="Courier New" w:eastAsia="Courier New" w:hAnsi="Courier New"/>
                <w:color w:val="7AB0E0"/>
                <w:sz w:val="18"/>
                <w:szCs w:val="18"/>
              </w:rPr>
              <w:t xml:space="preserve">ORDER BY ABS(total_amount) DESC</w:t>
            </w:r>
          </w:p>
        </w:tc>
      </w:tr>
    </w:tbl>
    <w:p>
      <w:pPr>
        <w:pStyle w:val="Heading2"/>
        <w:spacing w:before="360" w:after="180"/>
      </w:pPr>
      <w:r>
        <w:rPr>
          <w:rFonts w:ascii="Arial" w:cs="Arial" w:eastAsia="Arial" w:hAnsi="Arial"/>
          <w:b/>
          <w:bCs/>
          <w:color w:val="1B3A6B"/>
          <w:sz w:val="32"/>
          <w:szCs w:val="32"/>
        </w:rPr>
        <w:t xml:space="preserve">6.4  Phase 3: Validation Tests</w:t>
      </w:r>
    </w:p>
    <w:p>
      <w:pPr>
        <w:spacing w:before="0" w:after="160"/>
        <w:jc w:val="left"/>
      </w:pPr>
      <w:r>
        <w:rPr>
          <w:rFonts w:ascii="Arial" w:cs="Arial" w:eastAsia="Arial" w:hAnsi="Arial"/>
          <w:color w:val="111827"/>
          <w:sz w:val="22"/>
          <w:szCs w:val="22"/>
        </w:rPr>
        <w:t xml:space="preserve">Run these four tests in order. All must pass before generating a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Test</w:t>
            </w:r>
          </w:p>
        </w:tc>
        <w:tc>
          <w:tcPr>
            <w:tcW w:type="dxa" w:w="71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Query and Pass Criteria</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T1: Data populated</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SELECT COUNT(*) FROM bkpf WHERE GJAHR='2023' — Pass if &gt; 0 rows</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T2: Currency clean</w:t>
            </w:r>
          </w:p>
        </w:tc>
        <w:tc>
          <w:tcPr>
            <w:tcW w:type="dxa" w:w="7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COUNTIF(DMBTR IS NULL) = 0 in bseg for target fiscal year</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T3: Coverage &gt;= 95%</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Mapped GL accounts represent &gt;= 95% of total posted amounts by absolute value</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T4: No interest/tax</w:t>
            </w:r>
          </w:p>
        </w:tc>
        <w:tc>
          <w:tcPr>
            <w:tcW w:type="dxa" w:w="7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Zero rows where GL description contains interest% or income tax%</w:t>
            </w:r>
          </w:p>
        </w:tc>
      </w:tr>
    </w:tbl>
    <w:p>
      <w:pPr>
        <w:pStyle w:val="Heading2"/>
        <w:spacing w:before="360" w:after="180"/>
      </w:pPr>
      <w:r>
        <w:rPr>
          <w:rFonts w:ascii="Arial" w:cs="Arial" w:eastAsia="Arial" w:hAnsi="Arial"/>
          <w:b/>
          <w:bCs/>
          <w:color w:val="1B3A6B"/>
          <w:sz w:val="32"/>
          <w:szCs w:val="32"/>
        </w:rPr>
        <w:t xml:space="preserve">6.5  Phase 4: Running the Solution</w:t>
      </w:r>
    </w:p>
    <w:p>
      <w:pPr>
        <w:spacing w:before="0" w:after="160"/>
        <w:jc w:val="left"/>
      </w:pPr>
      <w:r>
        <w:rPr>
          <w:rFonts w:ascii="Arial" w:cs="Arial" w:eastAsia="Arial" w:hAnsi="Arial"/>
          <w:color w:val="111827"/>
          <w:sz w:val="22"/>
          <w:szCs w:val="22"/>
        </w:rPr>
        <w:t xml:space="preserve">Once validation passes, the workflow for each reporting period is:</w:t>
      </w:r>
    </w:p>
    <w:p>
      <w:pPr>
        <w:pStyle w:val="ListParagraph"/>
        <w:numPr>
          <w:ilvl w:val="0"/>
          <w:numId w:val="3"/>
        </w:numPr>
        <w:spacing w:before="60" w:after="60"/>
      </w:pPr>
      <w:r>
        <w:rPr>
          <w:rFonts w:ascii="Arial" w:cs="Arial" w:eastAsia="Arial" w:hAnsi="Arial"/>
          <w:sz w:val="22"/>
          <w:szCs w:val="22"/>
        </w:rPr>
        <w:t xml:space="preserve">Open DISE Compliance Generator (DISE_Compliance_Generator.html)</w:t>
      </w:r>
    </w:p>
    <w:p>
      <w:pPr>
        <w:pStyle w:val="ListParagraph"/>
        <w:numPr>
          <w:ilvl w:val="0"/>
          <w:numId w:val="3"/>
        </w:numPr>
        <w:spacing w:before="60" w:after="60"/>
      </w:pPr>
      <w:r>
        <w:rPr>
          <w:rFonts w:ascii="Arial" w:cs="Arial" w:eastAsia="Arial" w:hAnsi="Arial"/>
          <w:sz w:val="22"/>
          <w:szCs w:val="22"/>
        </w:rPr>
        <w:t xml:space="preserve">Enter Anthropic API key and fresh BigQuery access token (gcloud auth print-access-token)</w:t>
      </w:r>
    </w:p>
    <w:p>
      <w:pPr>
        <w:pStyle w:val="ListParagraph"/>
        <w:numPr>
          <w:ilvl w:val="0"/>
          <w:numId w:val="3"/>
        </w:numPr>
        <w:spacing w:before="60" w:after="60"/>
      </w:pPr>
      <w:r>
        <w:rPr>
          <w:rFonts w:ascii="Arial" w:cs="Arial" w:eastAsia="Arial" w:hAnsi="Arial"/>
          <w:sz w:val="22"/>
          <w:szCs w:val="22"/>
        </w:rPr>
        <w:t xml:space="preserve">Confirm project ID, dataset names, fiscal year, and company code</w:t>
      </w:r>
    </w:p>
    <w:p>
      <w:pPr>
        <w:pStyle w:val="ListParagraph"/>
        <w:numPr>
          <w:ilvl w:val="0"/>
          <w:numId w:val="3"/>
        </w:numPr>
        <w:spacing w:before="60" w:after="60"/>
      </w:pPr>
      <w:r>
        <w:rPr>
          <w:rFonts w:ascii="Arial" w:cs="Arial" w:eastAsia="Arial" w:hAnsi="Arial"/>
          <w:sz w:val="22"/>
          <w:szCs w:val="22"/>
        </w:rPr>
        <w:t xml:space="preserve">Click Generate — pipeline runs automatically through all 6 steps</w:t>
      </w:r>
    </w:p>
    <w:p>
      <w:pPr>
        <w:pStyle w:val="ListParagraph"/>
        <w:numPr>
          <w:ilvl w:val="0"/>
          <w:numId w:val="3"/>
        </w:numPr>
        <w:spacing w:before="60" w:after="60"/>
      </w:pPr>
      <w:r>
        <w:rPr>
          <w:rFonts w:ascii="Arial" w:cs="Arial" w:eastAsia="Arial" w:hAnsi="Arial"/>
          <w:sz w:val="22"/>
          <w:szCs w:val="22"/>
        </w:rPr>
        <w:t xml:space="preserve">Review Footnote tab — verify all five categories are populated and the Total column matches income statement face</w:t>
      </w:r>
    </w:p>
    <w:p>
      <w:pPr>
        <w:pStyle w:val="ListParagraph"/>
        <w:numPr>
          <w:ilvl w:val="0"/>
          <w:numId w:val="3"/>
        </w:numPr>
        <w:spacing w:before="60" w:after="60"/>
      </w:pPr>
      <w:r>
        <w:rPr>
          <w:rFonts w:ascii="Arial" w:cs="Arial" w:eastAsia="Arial" w:hAnsi="Arial"/>
          <w:sz w:val="22"/>
          <w:szCs w:val="22"/>
        </w:rPr>
        <w:t xml:space="preserve">Review Claude Analysis tab — read the drafted narrative and adjust selling expense total from client records</w:t>
      </w:r>
    </w:p>
    <w:p>
      <w:pPr>
        <w:pStyle w:val="ListParagraph"/>
        <w:numPr>
          <w:ilvl w:val="0"/>
          <w:numId w:val="3"/>
        </w:numPr>
        <w:spacing w:before="60" w:after="60"/>
      </w:pPr>
      <w:r>
        <w:rPr>
          <w:rFonts w:ascii="Arial" w:cs="Arial" w:eastAsia="Arial" w:hAnsi="Arial"/>
          <w:sz w:val="22"/>
          <w:szCs w:val="22"/>
        </w:rPr>
        <w:t xml:space="preserve">Controller review and sign-off — human approval before disclosure enters filing package</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7: Commercial Model and Pricing</w:t>
      </w:r>
    </w:p>
    <w:p>
      <w:pPr>
        <w:pStyle w:val="Heading2"/>
        <w:spacing w:before="360" w:after="180"/>
      </w:pPr>
      <w:r>
        <w:rPr>
          <w:rFonts w:ascii="Arial" w:cs="Arial" w:eastAsia="Arial" w:hAnsi="Arial"/>
          <w:b/>
          <w:bCs/>
          <w:color w:val="1B3A6B"/>
          <w:sz w:val="32"/>
          <w:szCs w:val="32"/>
        </w:rPr>
        <w:t xml:space="preserve">7.1  Three-Tier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Tier</w:t>
            </w:r>
          </w:p>
        </w:tc>
        <w:tc>
          <w:tcPr>
            <w:tcW w:type="dxa" w:w="71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Target and Pricing</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Tier 1 — DISE Essentials</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Mid-market public companies $500M to $5B revenue, single ERP, straightforward capital structure. Includes: GL mapping tool, DISE pivot, reconciliation, audit trail, footnote generation. Price: $80,000 to $150,000 per year</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Tier 2 — DISE Intelligence</w:t>
            </w:r>
          </w:p>
        </w:tc>
        <w:tc>
          <w:tcPr>
            <w:tcW w:type="dxa" w:w="7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Fortune 500, multiple business units. Adds: Natural language Q&amp;A on financial data, anomaly detection and period alerts, multi-period trend analysis, predictive close forecasting. Price: $200,000 to $400,000 per year</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Tier 3 — DISE Enterprise</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Fortune 100, complex multi-entity. Adds: Multi-ERP consolidation, multiple legal entity support, custom disclosure templates (10-K/10-Q/20-F), dedicated implementation support, SLA-backed uptime. Price: $500,000 to $1,200,000 per year</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Implementation fee</w:t>
            </w:r>
          </w:p>
        </w:tc>
        <w:tc>
          <w:tcPr>
            <w:tcW w:type="dxa" w:w="7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One-time professional services: Mid-market $25K-$50K. Fortune 500 $50K-$120K. Fortune 100 $120K-$300K. Covers GL account mapping, BigQuery configuration, finance team training</w:t>
            </w:r>
          </w:p>
        </w:tc>
      </w:tr>
    </w:tbl>
    <w:p>
      <w:pPr>
        <w:pStyle w:val="Heading2"/>
        <w:spacing w:before="360" w:after="180"/>
      </w:pPr>
      <w:r>
        <w:rPr>
          <w:rFonts w:ascii="Arial" w:cs="Arial" w:eastAsia="Arial" w:hAnsi="Arial"/>
          <w:b/>
          <w:bCs/>
          <w:color w:val="1B3A6B"/>
          <w:sz w:val="32"/>
          <w:szCs w:val="32"/>
        </w:rPr>
        <w:t xml:space="preserve">7.2  The ROI Conversation</w:t>
      </w:r>
    </w:p>
    <w:p>
      <w:pPr>
        <w:spacing w:before="0" w:after="160"/>
        <w:jc w:val="left"/>
      </w:pPr>
      <w:r>
        <w:rPr>
          <w:rFonts w:ascii="Arial" w:cs="Arial" w:eastAsia="Arial" w:hAnsi="Arial"/>
          <w:color w:val="111827"/>
          <w:sz w:val="22"/>
          <w:szCs w:val="22"/>
        </w:rPr>
        <w:t xml:space="preserve">Use this framework in CFO conversations. Ask the client to provide their own numbers for maximum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Cost driver</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Manual DISE (per year)</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With this solution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Initial mapping and setup</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$1.5M to $4M (year 1 only)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$25K to $300K implementation fee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Internal labour — quarterly close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$200K to $500K</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Under $20K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External audit incremental fees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$300K to $600K</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$100K to $200K (audit-ready methodology)</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Technology infrastructure</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$150K to $300K</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GCP costs already owned; $50-$200/yr API</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Five-year total (Fortune 100)</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$5.8M to $13.7M</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$500K to $800K</w:t>
            </w:r>
          </w:p>
        </w:tc>
      </w:tr>
    </w:tbl>
    <w:p>
      <w:pPr>
        <w:spacing w:before="0"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1B3A6B" w:sz="8"/>
              <w:left w:val="single" w:color="1B3A6B" w:sz="24"/>
              <w:bottom w:val="single" w:color="1B3A6B" w:sz="8"/>
              <w:right w:val="single" w:color="1B3A6B" w:sz="8"/>
            </w:tcBorders>
            <w:shd w:fill="FEF3C7" w:val="clear"/>
            <w:tcMar>
              <w:top w:type="dxa" w:w="160"/>
              <w:left w:type="dxa" w:w="240"/>
              <w:bottom w:type="dxa" w:w="160"/>
              <w:right w:type="dxa" w:w="200"/>
            </w:tcMar>
          </w:tcPr>
          <w:p>
            <w:pPr>
              <w:spacing w:before="0" w:after="0"/>
            </w:pPr>
            <w:r>
              <w:rPr>
                <w:rFonts w:ascii="Arial" w:cs="Arial" w:eastAsia="Arial" w:hAnsi="Arial"/>
                <w:i/>
                <w:iCs/>
                <w:color w:val="1B3A6B"/>
                <w:sz w:val="22"/>
                <w:szCs w:val="22"/>
              </w:rPr>
              <w:t xml:space="preserve">The closing statement: "Your external auditors are going to charge you $800K to $2M in year one to validate your DISE methodology. The only way to reduce that number is to show up with methodology that is already documented, mathematically reconciled, and traceable to source journal entries. That is what this solution delivers on day one."</w:t>
            </w:r>
          </w:p>
        </w:tc>
      </w:tr>
    </w:tbl>
    <w:p>
      <w:pPr>
        <w:pStyle w:val="Heading2"/>
        <w:spacing w:before="360" w:after="180"/>
      </w:pPr>
      <w:r>
        <w:rPr>
          <w:rFonts w:ascii="Arial" w:cs="Arial" w:eastAsia="Arial" w:hAnsi="Arial"/>
          <w:b/>
          <w:bCs/>
          <w:color w:val="1B3A6B"/>
          <w:sz w:val="32"/>
          <w:szCs w:val="32"/>
        </w:rPr>
        <w:t xml:space="preserve">7.3  The SAP Competition Response</w:t>
      </w:r>
    </w:p>
    <w:p>
      <w:pPr>
        <w:spacing w:before="0" w:after="160"/>
        <w:jc w:val="left"/>
      </w:pPr>
      <w:r>
        <w:rPr>
          <w:rFonts w:ascii="Arial" w:cs="Arial" w:eastAsia="Arial" w:hAnsi="Arial"/>
          <w:color w:val="111827"/>
          <w:sz w:val="22"/>
          <w:szCs w:val="22"/>
        </w:rPr>
        <w:t xml:space="preserve">SAP will build a DISE module. Here is how to address that objection confidently:</w:t>
      </w:r>
    </w:p>
    <w:p>
      <w:pPr>
        <w:pStyle w:val="ListParagraph"/>
        <w:numPr>
          <w:ilvl w:val="0"/>
          <w:numId w:val="2"/>
        </w:numPr>
        <w:spacing w:before="40" w:after="60"/>
      </w:pPr>
      <w:r>
        <w:rPr>
          <w:rFonts w:ascii="Arial" w:cs="Arial" w:eastAsia="Arial" w:hAnsi="Arial"/>
          <w:color w:val="111827"/>
          <w:sz w:val="22"/>
          <w:szCs w:val="22"/>
        </w:rPr>
        <w:t xml:space="preserve">SAP's module will be S/4HANA only — 40-50% of SAP customers won't be on S/4HANA by the 2027 effective date</w:t>
      </w:r>
    </w:p>
    <w:p>
      <w:pPr>
        <w:pStyle w:val="ListParagraph"/>
        <w:numPr>
          <w:ilvl w:val="0"/>
          <w:numId w:val="2"/>
        </w:numPr>
        <w:spacing w:before="40" w:after="60"/>
      </w:pPr>
      <w:r>
        <w:rPr>
          <w:rFonts w:ascii="Arial" w:cs="Arial" w:eastAsia="Arial" w:hAnsi="Arial"/>
          <w:color w:val="111827"/>
          <w:sz w:val="22"/>
          <w:szCs w:val="22"/>
        </w:rPr>
        <w:t xml:space="preserve">SAP module costs $200K to $800K in licenses plus $300K to $1M implementation — your solution runs on what they already own</w:t>
      </w:r>
    </w:p>
    <w:p>
      <w:pPr>
        <w:pStyle w:val="ListParagraph"/>
        <w:numPr>
          <w:ilvl w:val="0"/>
          <w:numId w:val="2"/>
        </w:numPr>
        <w:spacing w:before="40" w:after="60"/>
      </w:pPr>
      <w:r>
        <w:rPr>
          <w:rFonts w:ascii="Arial" w:cs="Arial" w:eastAsia="Arial" w:hAnsi="Arial"/>
          <w:color w:val="111827"/>
          <w:sz w:val="22"/>
          <w:szCs w:val="22"/>
        </w:rPr>
        <w:t xml:space="preserve">SAP solves the SAP piece only — companies with multiple ERPs (Oracle, legacy systems from acquisitions) still have a consolidation problem your solution solves natively</w:t>
      </w:r>
    </w:p>
    <w:p>
      <w:pPr>
        <w:pStyle w:val="ListParagraph"/>
        <w:numPr>
          <w:ilvl w:val="0"/>
          <w:numId w:val="2"/>
        </w:numPr>
        <w:spacing w:before="40" w:after="60"/>
      </w:pPr>
      <w:r>
        <w:rPr>
          <w:rFonts w:ascii="Arial" w:cs="Arial" w:eastAsia="Arial" w:hAnsi="Arial"/>
          <w:color w:val="111827"/>
          <w:sz w:val="22"/>
          <w:szCs w:val="22"/>
        </w:rPr>
        <w:t xml:space="preserve">SAP does not generate AI-drafted 10-K narrative language — Claude is a genuine differentiator SAP cannot replicate in their module</w:t>
      </w:r>
    </w:p>
    <w:p>
      <w:pPr>
        <w:pStyle w:val="ListParagraph"/>
        <w:numPr>
          <w:ilvl w:val="0"/>
          <w:numId w:val="2"/>
        </w:numPr>
        <w:spacing w:before="40" w:after="60"/>
      </w:pPr>
      <w:r>
        <w:rPr>
          <w:rFonts w:ascii="Arial" w:cs="Arial" w:eastAsia="Arial" w:hAnsi="Arial"/>
          <w:color w:val="111827"/>
          <w:sz w:val="22"/>
          <w:szCs w:val="22"/>
        </w:rPr>
        <w:t xml:space="preserve">By the time SAP's module reaches general availability, you will have client reference accounts, audit-accepted methodology, and documented ROI — a defensible market position</w:t>
      </w:r>
    </w:p>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8: The Platform Beyond DISE</w:t>
      </w:r>
    </w:p>
    <w:p>
      <w:pPr>
        <w:pStyle w:val="Heading2"/>
        <w:spacing w:before="360" w:after="180"/>
      </w:pPr>
      <w:r>
        <w:rPr>
          <w:rFonts w:ascii="Arial" w:cs="Arial" w:eastAsia="Arial" w:hAnsi="Arial"/>
          <w:b/>
          <w:bCs/>
          <w:color w:val="1B3A6B"/>
          <w:sz w:val="32"/>
          <w:szCs w:val="32"/>
        </w:rPr>
        <w:t xml:space="preserve">8.1  Why DISE is the Entry Point, Not the Product</w:t>
      </w:r>
    </w:p>
    <w:p>
      <w:pPr>
        <w:spacing w:before="0" w:after="160"/>
        <w:jc w:val="left"/>
      </w:pPr>
      <w:r>
        <w:rPr>
          <w:rFonts w:ascii="Arial" w:cs="Arial" w:eastAsia="Arial" w:hAnsi="Arial"/>
          <w:color w:val="111827"/>
          <w:sz w:val="22"/>
          <w:szCs w:val="22"/>
        </w:rPr>
        <w:t xml:space="preserve">The GL mapping infrastructure you build for DISE is the same infrastructure needed for every other expense-related disclosure requirement. Once a company's income statement GL accounts are mapped, semantically understood, and flowing through BigQuery, you have the foundation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Capability</w:t>
            </w:r>
          </w:p>
        </w:tc>
        <w:tc>
          <w:tcPr>
            <w:tcW w:type="dxa" w:w="69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Description and Timeline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Predictive DISE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ML ARIMA model trained on 8 quarters of historical data predicts next quarter's category totals before period close. Deployable immediately on existing data.</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Cross-company benchmarking</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Anonymised DISE category ratios across client base. Each new client enriches the dataset. Network effect moat SAP cannot replicate.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Anomaly detection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ML flags unusual posting patterns before they become disclosure problems — vendor invoice to compensation GL, depreciation 3x prior quarter average.</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Natural language Q&amp;A</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CFO asks questions in plain English, Claude generates BigQuery SQL, returns plain English answer with source data. Already built and deployed.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M&amp;A scenario modelling</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Load target company trial balance, run through mapping logic, produce combined pro-forma DISE footnote showing post-acquisition disclosure impact.</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Audit evidence package</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Auto-generated PDF containing queries, mapping table snapshot, journal entry sample, and reconciliation proof. Eliminates 30-40 hours of auditor fieldwork per quarter.</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ESG expense tracking</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Add ESG dimension column to gl_dise_mapping. Same infrastructure, same pipeline — tracks climate-related expenditure for SEC climate disclosure rules.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Autonomous period-end close</w:t>
            </w:r>
          </w:p>
        </w:tc>
        <w:tc>
          <w:tcPr>
            <w:tcW w:type="dxa" w:w="6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Draft recurring journal entries automatically, validate against prior period and budget, present pre-approved posting batch for controller sign-off. 12-18 month build.</w:t>
            </w:r>
          </w:p>
        </w:tc>
      </w:tr>
    </w:tbl>
    <w:p>
      <w:pPr>
        <w:pStyle w:val="Heading2"/>
        <w:spacing w:before="360" w:after="180"/>
      </w:pPr>
      <w:r>
        <w:rPr>
          <w:rFonts w:ascii="Arial" w:cs="Arial" w:eastAsia="Arial" w:hAnsi="Arial"/>
          <w:b/>
          <w:bCs/>
          <w:color w:val="1B3A6B"/>
          <w:sz w:val="32"/>
          <w:szCs w:val="32"/>
        </w:rPr>
        <w:t xml:space="preserve">8.2  The Autonomous Finance Vision</w:t>
      </w:r>
    </w:p>
    <w:p>
      <w:pPr>
        <w:spacing w:before="0" w:after="160"/>
        <w:jc w:val="left"/>
      </w:pPr>
      <w:r>
        <w:rPr>
          <w:rFonts w:ascii="Arial" w:cs="Arial" w:eastAsia="Arial" w:hAnsi="Arial"/>
          <w:color w:val="111827"/>
          <w:sz w:val="22"/>
          <w:szCs w:val="22"/>
        </w:rPr>
        <w:t xml:space="preserve">What you have built without fully realising it is one of the cleanest entry points into autonomous finance that exists today. Autonomous finance operates on a spectrum of four levels:</w:t>
      </w:r>
    </w:p>
    <w:p>
      <w:pPr>
        <w:pStyle w:val="ListParagraph"/>
        <w:numPr>
          <w:ilvl w:val="0"/>
          <w:numId w:val="2"/>
        </w:numPr>
        <w:spacing w:before="40" w:after="80"/>
      </w:pPr>
      <w:r>
        <w:rPr>
          <w:rFonts w:ascii="Arial" w:cs="Arial" w:eastAsia="Arial" w:hAnsi="Arial"/>
          <w:b/>
          <w:bCs/>
          <w:color w:val="111827"/>
          <w:sz w:val="22"/>
          <w:szCs w:val="22"/>
        </w:rPr>
        <w:t xml:space="preserve">Level 1 — Automated reporting: </w:t>
      </w:r>
      <w:r>
        <w:rPr>
          <w:rFonts w:ascii="Arial" w:cs="Arial" w:eastAsia="Arial" w:hAnsi="Arial"/>
          <w:color w:val="111827"/>
          <w:sz w:val="22"/>
          <w:szCs w:val="22"/>
        </w:rPr>
        <w:t xml:space="preserve">The system produces outputs that humans previously produced manually. Your DISE generator is here. High value, human-supervised.</w:t>
      </w:r>
    </w:p>
    <w:p>
      <w:pPr>
        <w:pStyle w:val="ListParagraph"/>
        <w:numPr>
          <w:ilvl w:val="0"/>
          <w:numId w:val="2"/>
        </w:numPr>
        <w:spacing w:before="40" w:after="80"/>
      </w:pPr>
      <w:r>
        <w:rPr>
          <w:rFonts w:ascii="Arial" w:cs="Arial" w:eastAsia="Arial" w:hAnsi="Arial"/>
          <w:b/>
          <w:bCs/>
          <w:color w:val="111827"/>
          <w:sz w:val="22"/>
          <w:szCs w:val="22"/>
        </w:rPr>
        <w:t xml:space="preserve">Level 2 — Assisted decision support: </w:t>
      </w:r>
      <w:r>
        <w:rPr>
          <w:rFonts w:ascii="Arial" w:cs="Arial" w:eastAsia="Arial" w:hAnsi="Arial"/>
          <w:color w:val="111827"/>
          <w:sz w:val="22"/>
          <w:szCs w:val="22"/>
        </w:rPr>
        <w:t xml:space="preserve">The system flags anomalies, recommends actions, and explains variances. Your anomaly detection and Q&amp;A tool point here.</w:t>
      </w:r>
    </w:p>
    <w:p>
      <w:pPr>
        <w:pStyle w:val="ListParagraph"/>
        <w:numPr>
          <w:ilvl w:val="0"/>
          <w:numId w:val="2"/>
        </w:numPr>
        <w:spacing w:before="40" w:after="80"/>
      </w:pPr>
      <w:r>
        <w:rPr>
          <w:rFonts w:ascii="Arial" w:cs="Arial" w:eastAsia="Arial" w:hAnsi="Arial"/>
          <w:b/>
          <w:bCs/>
          <w:color w:val="111827"/>
          <w:sz w:val="22"/>
          <w:szCs w:val="22"/>
        </w:rPr>
        <w:t xml:space="preserve">Level 3 — Supervised autonomy: </w:t>
      </w:r>
      <w:r>
        <w:rPr>
          <w:rFonts w:ascii="Arial" w:cs="Arial" w:eastAsia="Arial" w:hAnsi="Arial"/>
          <w:color w:val="111827"/>
          <w:sz w:val="22"/>
          <w:szCs w:val="22"/>
        </w:rPr>
        <w:t xml:space="preserve">The system executes routine financial processes end-to-end within defined guardrails. Controller reviews exceptions only. Close time drops from 10-15 days to 3-5 days.</w:t>
      </w:r>
    </w:p>
    <w:p>
      <w:pPr>
        <w:pStyle w:val="ListParagraph"/>
        <w:numPr>
          <w:ilvl w:val="0"/>
          <w:numId w:val="2"/>
        </w:numPr>
        <w:spacing w:before="40" w:after="80"/>
      </w:pPr>
      <w:r>
        <w:rPr>
          <w:rFonts w:ascii="Arial" w:cs="Arial" w:eastAsia="Arial" w:hAnsi="Arial"/>
          <w:b/>
          <w:bCs/>
          <w:color w:val="111827"/>
          <w:sz w:val="22"/>
          <w:szCs w:val="22"/>
        </w:rPr>
        <w:t xml:space="preserve">Level 4 — Full autonomy: </w:t>
      </w:r>
      <w:r>
        <w:rPr>
          <w:rFonts w:ascii="Arial" w:cs="Arial" w:eastAsia="Arial" w:hAnsi="Arial"/>
          <w:color w:val="111827"/>
          <w:sz w:val="22"/>
          <w:szCs w:val="22"/>
        </w:rPr>
        <w:t xml:space="preserve">The system makes and executes financial decisions within policy boundaries. This is where regulators get cautious. Not near-term.</w:t>
      </w:r>
    </w:p>
    <w:p>
      <w:pPr>
        <w:spacing w:before="0" w:after="160"/>
        <w:jc w:val="left"/>
      </w:pPr>
      <w:r>
        <w:rPr>
          <w:rFonts w:ascii="Arial" w:cs="Arial" w:eastAsia="Arial" w:hAnsi="Arial"/>
          <w:color w:val="111827"/>
          <w:sz w:val="22"/>
          <w:szCs w:val="22"/>
        </w:rPr>
        <w:t xml:space="preserve">Your solution today is solidly Level 1 with a clear path to Level 2. Level 3 is achievable within 12-18 months of focused development on this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single" w:color="0F766E" w:sz="8"/>
              <w:left w:val="single" w:color="0F766E" w:sz="24"/>
              <w:bottom w:val="single" w:color="0F766E" w:sz="8"/>
              <w:right w:val="single" w:color="0F766E" w:sz="8"/>
            </w:tcBorders>
            <w:shd w:fill="F0FDFA" w:val="clear"/>
            <w:tcMar>
              <w:top w:type="dxa" w:w="160"/>
              <w:left w:type="dxa" w:w="240"/>
              <w:bottom w:type="dxa" w:w="160"/>
              <w:right w:type="dxa" w:w="200"/>
            </w:tcMar>
          </w:tcPr>
          <w:p>
            <w:pPr>
              <w:spacing w:before="0" w:after="0"/>
            </w:pPr>
            <w:r>
              <w:rPr>
                <w:rFonts w:ascii="Arial" w:cs="Arial" w:eastAsia="Arial" w:hAnsi="Arial"/>
                <w:i/>
                <w:iCs/>
                <w:color w:val="0F766E"/>
                <w:sz w:val="22"/>
                <w:szCs w:val="22"/>
              </w:rPr>
              <w:t xml:space="preserve">The platform pitch: "We started with your DISE disclosure because it had a hard deadline. But the infrastructure we built — SAP data in BigQuery, every GL account semantically mapped, AI reasoning over your journal entries — is the foundation for automating your entire period-end close. DISE was the proof of concept. The autonomous close is the product."</w:t>
            </w:r>
          </w:p>
        </w:tc>
      </w:tr>
    </w:tbl>
    <w:p>
      <w:r>
        <w:br w:type="page"/>
      </w:r>
    </w:p>
    <w:p>
      <w:pPr>
        <w:pStyle w:val="Heading1"/>
        <w:pBdr>
          <w:bottom w:val="single" w:color="1B3A6B" w:sz="8" w:space="6"/>
        </w:pBdr>
        <w:spacing w:before="480" w:after="240"/>
      </w:pPr>
      <w:r>
        <w:rPr>
          <w:rFonts w:ascii="Arial" w:cs="Arial" w:eastAsia="Arial" w:hAnsi="Arial"/>
          <w:b/>
          <w:bCs/>
          <w:color w:val="1B3A6B"/>
          <w:sz w:val="40"/>
          <w:szCs w:val="40"/>
        </w:rPr>
        <w:t xml:space="preserve">Section 9: Quick Reference</w:t>
      </w:r>
    </w:p>
    <w:p>
      <w:pPr>
        <w:pStyle w:val="Heading2"/>
        <w:spacing w:before="360" w:after="180"/>
      </w:pPr>
      <w:r>
        <w:rPr>
          <w:rFonts w:ascii="Arial" w:cs="Arial" w:eastAsia="Arial" w:hAnsi="Arial"/>
          <w:b/>
          <w:bCs/>
          <w:color w:val="1B3A6B"/>
          <w:sz w:val="32"/>
          <w:szCs w:val="32"/>
        </w:rPr>
        <w:t xml:space="preserve">9.1  Key SAP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Term</w:t>
            </w:r>
          </w:p>
        </w:tc>
        <w:tc>
          <w:tcPr>
            <w:tcW w:type="dxa" w:w="73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Definition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FI</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Financial Accounting — SAP module for external reporting. System of record for all journal entries that hit the balance sheet and income statement</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Controlling — SAP module for internal management accounting. Cost centers, profit centers, internal orders. Separate from FI in ECC, unified in S/4HANA</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bkpf</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Buchhaltungspositionskopf — FI document header table. Contains BELNR (doc number), BUKRS (company code), GJAHR (fiscal year), BLART (doc type), BUDAT (posting date)</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bseg</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Buchhaltungspositionssegment — FI document line item table. Contains HKONT (GL account), DMBTR (local currency amount), KOSTL (cost center), SHKZG (Dr/Cr indicator)</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ACDOCA</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Universal Journal — S/4HANA only. Single table combining bkpf+bseg+CO line items+asset sub-ledger. No join required.</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HKONT</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Hauptbuchhaltungskonto — the GL account field in bseg. This is what you join to gl_dise_mapping.gl_account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DMBTR</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Betrag in Hauswährung — amount in local/functional currency. Use this field for DISE amounts.</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BUKRS</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Buchungskreis — company code. The legal entity identifier. Filter on this for single-entity clients.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GJAHR</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Geschäftsjahr — fiscal year. Always filter on this to scope your DISE period.</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BLART</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Belegart — document type. AA=asset acquisition, AF=depreciation run, AB=asset adjustment, SA=GL posting, KR=vendor invoice.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ANLKL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Asset class — used to distinguish PP&amp;E (depreciation ASC 360) from intangibles (amortization ASC 350) in FI-AA.</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Cortex Framework</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Open-source Google pipeline that replicates SAP tables to BigQuery. Not managed SaaS — deployed into customer's own GCP project.</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9.2  Key ASC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ASC Reference</w:t>
            </w:r>
          </w:p>
        </w:tc>
        <w:tc>
          <w:tcPr>
            <w:tcW w:type="dxa" w:w="73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What it governs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220-40</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The DISE requirement itself. 220-40-50-6 prescribes the five categories. 220-40-50-8 requires estimation method disclosure. 220-40-50-13 requires selling expense narrative.</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ASU 2024-03</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The FASB update that created ASC 220-40. Effective for fiscal years beginning after Dec 15, 2026.</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ASU 2025-01</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Clarifying update to ASU 2024-03. Addressed early implementation questions. No change to effective dates.</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330</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Inventory. Basis for the Purchases of Inventory DISE category.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360</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Property, Plant and Equipment. Basis for the Depreciation DISE category. PP&amp;E only — not intangibles.</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350</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Intangibles — Goodwill and Other. Basis for the Intangible Asset Amortization DISE category.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985-20</w:t>
            </w:r>
          </w:p>
        </w:tc>
        <w:tc>
          <w:tcPr>
            <w:tcW w:type="dxa" w:w="7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Costs of Computer Software. Capitalized software development costs are amortized under this standard and belong in the Intangible Amortization category.</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ASC 932</w:t>
            </w:r>
          </w:p>
        </w:tc>
        <w:tc>
          <w:tcPr>
            <w:tcW w:type="dxa" w:w="7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Extractive Industries. Basis for the DD&amp;A category — only applicable to oil, gas, and mining companies.</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9.3  The Three Apps —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App</w:t>
            </w:r>
          </w:p>
        </w:tc>
        <w:tc>
          <w:tcPr>
            <w:tcW w:type="dxa" w:w="71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Purpose and When to Use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DISE_Compliance_Generator.html</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The main production tool. Connects to BigQuery, runs the DISE pivot, calls Claude, generates the formatted ASU 2024-03 footnote disclosure with estimation method and selling expense narrative. Use for quarterly disclosure generation and client demos.</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DISE_Financial_QA.html</w:t>
            </w:r>
          </w:p>
        </w:tc>
        <w:tc>
          <w:tcPr>
            <w:tcW w:type="dxa" w:w="7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Natural language Q&amp;A on live BigQuery data. Type a question in plain English, Claude generates SQL, BigQuery returns results, Claude interprets them. Use for client demos to show AI capability and for finance team self-service analysis.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DISE_Audit_Trail.html</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Interactive four-link audit chain explorer. No credentials needed — works offline. Walks through the complete lineage from footnote number to individual SAP journal entry. Use for auditor conversations and credibility demos.</w:t>
            </w:r>
          </w:p>
        </w:tc>
      </w:tr>
    </w:tbl>
    <w:p>
      <w:pPr>
        <w:spacing w:before="0" w:after="160"/>
      </w:pPr>
      <w:r>
        <w:rPr>
          <w:sz w:val="22"/>
          <w:szCs w:val="22"/>
        </w:rPr>
        <w:t xml:space="preserve"/>
      </w:r>
    </w:p>
    <w:p>
      <w:pPr>
        <w:pStyle w:val="Heading2"/>
        <w:spacing w:before="360" w:after="180"/>
      </w:pPr>
      <w:r>
        <w:rPr>
          <w:rFonts w:ascii="Arial" w:cs="Arial" w:eastAsia="Arial" w:hAnsi="Arial"/>
          <w:b/>
          <w:bCs/>
          <w:color w:val="1B3A6B"/>
          <w:sz w:val="32"/>
          <w:szCs w:val="32"/>
        </w:rPr>
        <w:t xml:space="preserve">9.4  Common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Error</w:t>
            </w:r>
          </w:p>
        </w:tc>
        <w:tc>
          <w:tcPr>
            <w:tcW w:type="dxa" w:w="6560"/>
            <w:tcBorders>
              <w:top w:val="single" w:color="1B3A6B" w:sz="8"/>
              <w:left w:val="single" w:color="1B3A6B" w:sz="8"/>
              <w:bottom w:val="single" w:color="1B3A6B" w:sz="8"/>
              <w:right w:val="single" w:color="1B3A6B" w:sz="8"/>
            </w:tcBorders>
            <w:shd w:fill="1B3A6B"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Cause and Fix</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Unexpected keyword ROWS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ROWS is a reserved keyword in BigQuery. Rename column alias to row_count.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Dataset not found in location US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Dataset name is incorrect or case-sensitive. Run INFORMATION_SCHEMA.SCHEMATA to list all datasets.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Table not found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Cortex reporting layer not deployed. Query CORTEX_SAP_CDC instead of CORTEX_SAP_REPORTING, or redeploy Cortex with deployReporting:true.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BigQuery access token error</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Token expired after 60 minutes. Run gcloud auth print-access-token to get a fresh token.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Claude API error 401</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API key invalid or no credit balance. Check console.anthropic.com.</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DISE pivot returns zero rows</w:t>
            </w:r>
          </w:p>
        </w:tc>
        <w:tc>
          <w:tcPr>
            <w:tcW w:type="dxa" w:w="6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Check that gl_dise_mapping has rows with status=mapped and that bkpf/bseg GJAHR matches your fiscal year filter.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Reconciliation variance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00"/>
            </w:tcMar>
          </w:tcPr>
          <w:p>
            <w:pPr>
              <w:spacing w:before="0" w:after="0"/>
            </w:pPr>
            <w:r>
              <w:rPr>
                <w:rFonts w:ascii="Arial" w:cs="Arial" w:eastAsia="Arial" w:hAnsi="Arial"/>
                <w:color w:val="111827"/>
                <w:sz w:val="20"/>
                <w:szCs w:val="20"/>
              </w:rPr>
              <w:t xml:space="preserve">Most common cause: DocumentType exclusion missing (add BLART NOT IN AA,AF,AB) or selling expense GL accounts included in mapping.</w:t>
            </w:r>
          </w:p>
        </w:tc>
      </w:tr>
    </w:tbl>
    <w:p>
      <w:pPr>
        <w:spacing w:before="0" w:after="480"/>
      </w:pPr>
      <w:r>
        <w:rPr>
          <w:sz w:val="22"/>
          <w:szCs w:val="22"/>
        </w:rPr>
        <w:t xml:space="preserve"/>
      </w:r>
    </w:p>
    <w:p>
      <w:pPr>
        <w:pBdr>
          <w:bottom w:val="single" w:color="1B3A6B" w:sz="4" w:space="4"/>
        </w:pBdr>
        <w:spacing w:before="200" w:after="200"/>
      </w:pPr>
      <w:r>
        <w:t xml:space="preserve"/>
      </w:r>
    </w:p>
    <w:p>
      <w:pPr>
        <w:spacing w:before="240" w:after="0"/>
        <w:jc w:val="center"/>
      </w:pPr>
      <w:r>
        <w:rPr>
          <w:rFonts w:ascii="Arial" w:cs="Arial" w:eastAsia="Arial" w:hAnsi="Arial"/>
          <w:i/>
          <w:iCs/>
          <w:color w:val="6B7280"/>
          <w:sz w:val="20"/>
          <w:szCs w:val="20"/>
        </w:rPr>
        <w:t xml:space="preserve">End of DISE Compliance Solution — Expert Reference Guide</w:t>
      </w:r>
    </w:p>
    <w:p>
      <w:pPr>
        <w:spacing w:before="80" w:after="0"/>
        <w:jc w:val="center"/>
      </w:pPr>
      <w:r>
        <w:rPr>
          <w:rFonts w:ascii="Arial" w:cs="Arial" w:eastAsia="Arial" w:hAnsi="Arial"/>
          <w:color w:val="6B7280"/>
          <w:sz w:val="18"/>
          <w:szCs w:val="18"/>
        </w:rPr>
        <w:t xml:space="preserve">For personal use only — not for distribution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before="120"/>
      <w:jc w:val="center"/>
    </w:pPr>
    <w:r>
      <w:rPr>
        <w:rFonts w:ascii="Arial" w:cs="Arial" w:eastAsia="Arial" w:hAnsi="Arial"/>
        <w:color w:val="6B7280"/>
        <w:sz w:val="18"/>
        <w:szCs w:val="18"/>
      </w:rPr>
      <w:t xml:space="preserve">Confidential — For Personal Review Only      </w:t>
    </w: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1B3A6B" w:val="clear"/>
          <w:tcMar>
            <w:top w:type="dxa" w:w="80"/>
            <w:left w:type="dxa" w:w="180"/>
            <w:bottom w:type="dxa" w:w="80"/>
            <w:right w:type="dxa" w:w="100"/>
          </w:tcMar>
        </w:tcPr>
        <w:p>
          <w:pPr>
            <w:spacing w:before="0" w:after="0"/>
          </w:pPr>
          <w:r>
            <w:rPr>
              <w:rFonts w:ascii="Arial" w:cs="Arial" w:eastAsia="Arial" w:hAnsi="Arial"/>
              <w:b/>
              <w:bCs/>
              <w:color w:val="FFFFFF"/>
              <w:sz w:val="20"/>
              <w:szCs w:val="20"/>
            </w:rPr>
            <w:t xml:space="preserve">DISE Compliance Solution — Expert Reference Guide</w:t>
          </w:r>
        </w:p>
      </w:tc>
      <w:tc>
        <w:tcPr>
          <w:tcW w:type="dxa" w:w="2520"/>
          <w:tcBorders>
            <w:top w:val="none" w:color="FFFFFF" w:sz="0"/>
            <w:left w:val="none" w:color="FFFFFF" w:sz="0"/>
            <w:bottom w:val="none" w:color="FFFFFF" w:sz="0"/>
            <w:right w:val="none" w:color="FFFFFF" w:sz="0"/>
          </w:tcBorders>
          <w:shd w:fill="92681A" w:val="clear"/>
          <w:tcMar>
            <w:top w:type="dxa" w:w="80"/>
            <w:left w:type="dxa" w:w="100"/>
            <w:bottom w:type="dxa" w:w="80"/>
            <w:right w:type="dxa" w:w="180"/>
          </w:tcMar>
          <w:vAlign w:val="center"/>
        </w:tcPr>
        <w:p>
          <w:pPr>
            <w:spacing w:before="0" w:after="0"/>
            <w:jc w:val="right"/>
          </w:pPr>
          <w:r>
            <w:rPr>
              <w:rFonts w:ascii="Arial" w:cs="Arial" w:eastAsia="Arial" w:hAnsi="Arial"/>
              <w:color w:val="FFFFFF"/>
              <w:sz w:val="18"/>
              <w:szCs w:val="18"/>
            </w:rPr>
            <w:t xml:space="preserve">ASU 2024-03 | ASC 220-40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1B3A6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2026-03-15T14:19:14.132Z</dcterms:created>
  <dcterms:modified xsi:type="dcterms:W3CDTF">2026-03-15T14:19:14.133Z</dcterms:modified>
</cp:coreProperties>
</file>

<file path=docProps/custom.xml><?xml version="1.0" encoding="utf-8"?>
<Properties xmlns="http://schemas.openxmlformats.org/officeDocument/2006/custom-properties" xmlns:vt="http://schemas.openxmlformats.org/officeDocument/2006/docPropsVTypes"/>
</file>