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2A4A"/>
          <w:sz w:val="36"/>
          <w:szCs w:val="36"/>
        </w:rPr>
        <w:t xml:space="preserve">TRUFFLES AI — FASB DISCLOSURE VENTURE</w:t>
      </w:r>
    </w:p>
    <w:p>
      <w:pPr>
        <w:spacing w:after="40"/>
      </w:pPr>
      <w:r>
        <w:rPr>
          <w:rFonts w:ascii="Arial" w:cs="Arial" w:eastAsia="Arial" w:hAnsi="Arial"/>
          <w:color w:val="2E75B6"/>
          <w:sz w:val="28"/>
          <w:szCs w:val="28"/>
        </w:rPr>
        <w:t xml:space="preserve">Founder Call Notes &amp; Action Items</w:t>
      </w:r>
    </w:p>
    <w:p>
      <w:pPr>
        <w:pBdr>
          <w:bottom w:val="single" w:color="2E75B6" w:sz="6" w:space="8"/>
        </w:pBdr>
        <w:spacing w:after="200"/>
      </w:pPr>
      <w:r>
        <w:rPr>
          <w:rFonts w:ascii="Arial" w:cs="Arial" w:eastAsia="Arial" w:hAnsi="Arial"/>
          <w:color w:val="666666"/>
          <w:sz w:val="20"/>
          <w:szCs w:val="20"/>
        </w:rPr>
        <w:t xml:space="preserve">Saturday, April 11, 2026  |  Evan Winter, Ujjwal Gupta, Max Robasson</w:t>
      </w:r>
    </w:p>
    <w:p>
      <w:pPr>
        <w:spacing w:after="200" w:before="200"/>
      </w:pPr>
    </w:p>
    <w:p>
      <w:pPr>
        <w:pStyle w:val="Heading1"/>
      </w:pPr>
      <w:r>
        <w:t xml:space="preserve">1. Website &amp; Brand Image</w:t>
      </w:r>
    </w:p>
    <w:p>
      <w:pPr>
        <w:spacing w:after="120"/>
      </w:pPr>
      <w:r>
        <w:rPr>
          <w:rFonts w:ascii="Arial" w:cs="Arial" w:eastAsia="Arial" w:hAnsi="Arial"/>
          <w:color w:val="333333"/>
          <w:sz w:val="22"/>
          <w:szCs w:val="22"/>
        </w:rPr>
        <w:t xml:space="preserve">We will add a light mode to the application and bring the first impression of a clean, white layout. The brand image and design have already come a long way. Max to share any tooling or brand designs that resonate — we will study them and incorporate strong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2F6FA" w:val="clear"/>
            <w:tcMar>
              <w:top w:type="dxa" w:w="100"/>
              <w:left w:type="dxa" w:w="200"/>
              <w:bottom w:type="dxa" w:w="100"/>
              <w:right w:type="dxa" w:w="200"/>
            </w:tcMar>
          </w:tcPr>
          <w:p>
            <w:r>
              <w:rPr>
                <w:rFonts w:ascii="Arial" w:cs="Arial" w:eastAsia="Arial" w:hAnsi="Arial"/>
                <w:b/>
                <w:bCs/>
                <w:color w:val="2E75B6"/>
                <w:sz w:val="20"/>
                <w:szCs w:val="20"/>
              </w:rPr>
              <w:t xml:space="preserve">CONCLUSION: </w:t>
            </w:r>
            <w:r>
              <w:rPr>
                <w:rFonts w:ascii="Arial" w:cs="Arial" w:eastAsia="Arial" w:hAnsi="Arial"/>
                <w:color w:val="333333"/>
                <w:sz w:val="20"/>
                <w:szCs w:val="20"/>
              </w:rPr>
              <w:t xml:space="preserve">Launch a white-background version and share with Max this weekend for full site exploration. We are 1 week away from a brand presence that the team can confidently sell behind.</w:t>
            </w:r>
          </w:p>
        </w:tc>
      </w:tr>
    </w:tbl>
    <w:p>
      <w:pPr>
        <w:spacing w:after="120" w:before="120"/>
      </w:pPr>
    </w:p>
    <w:p>
      <w:pPr>
        <w:pStyle w:val="Heading1"/>
      </w:pPr>
      <w:r>
        <w:t xml:space="preserve">2. Application UI/UX</w:t>
      </w:r>
    </w:p>
    <w:p>
      <w:pPr>
        <w:spacing w:after="120"/>
      </w:pPr>
      <w:r>
        <w:rPr>
          <w:rFonts w:ascii="Arial" w:cs="Arial" w:eastAsia="Arial" w:hAnsi="Arial"/>
          <w:color w:val="333333"/>
          <w:sz w:val="22"/>
          <w:szCs w:val="22"/>
        </w:rPr>
        <w:t xml:space="preserve">The application UI is currently the weaker element, but the team feels stronger after today’s call. We will immediately incorporate Max’s dashboard concepts and other elements that allow the user to move from a strong brand impression via the website to a clean, easily understood interface inside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2F6FA" w:val="clear"/>
            <w:tcMar>
              <w:top w:type="dxa" w:w="100"/>
              <w:left w:type="dxa" w:w="200"/>
              <w:bottom w:type="dxa" w:w="100"/>
              <w:right w:type="dxa" w:w="200"/>
            </w:tcMar>
          </w:tcPr>
          <w:p>
            <w:r>
              <w:rPr>
                <w:rFonts w:ascii="Arial" w:cs="Arial" w:eastAsia="Arial" w:hAnsi="Arial"/>
                <w:b/>
                <w:bCs/>
                <w:color w:val="2E75B6"/>
                <w:sz w:val="20"/>
                <w:szCs w:val="20"/>
              </w:rPr>
              <w:t xml:space="preserve">CONCLUSION: </w:t>
            </w:r>
            <w:r>
              <w:rPr>
                <w:rFonts w:ascii="Arial" w:cs="Arial" w:eastAsia="Arial" w:hAnsi="Arial"/>
                <w:color w:val="333333"/>
                <w:sz w:val="20"/>
                <w:szCs w:val="20"/>
              </w:rPr>
              <w:t xml:space="preserve">By early next week, we will have a polished landing page with a seamless transition into a clean and professional application design. Max will be able to explore and fully test all modules live in production.</w:t>
            </w:r>
          </w:p>
        </w:tc>
      </w:tr>
    </w:tbl>
    <w:p>
      <w:pPr>
        <w:spacing w:after="120" w:before="120"/>
      </w:pPr>
    </w:p>
    <w:p>
      <w:pPr>
        <w:pStyle w:val="Heading1"/>
      </w:pPr>
      <w:r>
        <w:t xml:space="preserve">3. Modules &amp; Product Scope</w:t>
      </w:r>
    </w:p>
    <w:p>
      <w:pPr>
        <w:spacing w:after="120"/>
      </w:pPr>
      <w:r>
        <w:rPr>
          <w:rFonts w:ascii="Arial" w:cs="Arial" w:eastAsia="Arial" w:hAnsi="Arial"/>
          <w:color w:val="333333"/>
          <w:sz w:val="22"/>
          <w:szCs w:val="22"/>
        </w:rPr>
        <w:t xml:space="preserve">We are nearly there on the 3rd module (segment reporting). We did not decide whether to cap the initial launch at 3 modules. Max is close on the terraform data for segments — if inspiration strikes or he’s in the flow, he’ll share the 4th module even if less polished, since the team can take over the build.</w:t>
      </w:r>
    </w:p>
    <w:p>
      <w:pPr>
        <w:spacing w:after="120"/>
      </w:pPr>
      <w:r>
        <w:rPr>
          <w:rFonts w:ascii="Arial" w:cs="Arial" w:eastAsia="Arial" w:hAnsi="Arial"/>
          <w:color w:val="333333"/>
          <w:sz w:val="22"/>
          <w:szCs w:val="22"/>
        </w:rPr>
        <w:t xml:space="preserve">Alternative philosophy: launch with 3, hear from early prospects what they need, then evidence speed by quickly shipping targeted modules that grab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2F6FA" w:val="clear"/>
            <w:tcMar>
              <w:top w:type="dxa" w:w="100"/>
              <w:left w:type="dxa" w:w="200"/>
              <w:bottom w:type="dxa" w:w="100"/>
              <w:right w:type="dxa" w:w="200"/>
            </w:tcMar>
          </w:tcPr>
          <w:p>
            <w:r>
              <w:rPr>
                <w:rFonts w:ascii="Arial" w:cs="Arial" w:eastAsia="Arial" w:hAnsi="Arial"/>
                <w:b/>
                <w:bCs/>
                <w:color w:val="2E75B6"/>
                <w:sz w:val="20"/>
                <w:szCs w:val="20"/>
              </w:rPr>
              <w:t xml:space="preserve">CONCLUSION: </w:t>
            </w:r>
            <w:r>
              <w:rPr>
                <w:rFonts w:ascii="Arial" w:cs="Arial" w:eastAsia="Arial" w:hAnsi="Arial"/>
                <w:color w:val="333333"/>
                <w:sz w:val="20"/>
                <w:szCs w:val="20"/>
              </w:rPr>
              <w:t xml:space="preserve">Launch with 3 modules. Sell with the “trinity” (Evan’s term) with DISE urgency as the “wedge.” Remain flexible and ready to quickly cater to early prospect needs with the ability to ship new modules fast.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5" w:sz="1"/>
              <w:left w:val="single" w:color="D4A843" w:sz="6"/>
              <w:bottom w:val="single" w:color="E8D5B5" w:sz="1"/>
              <w:right w:val="single" w:color="E8D5B5" w:sz="1"/>
            </w:tcBorders>
            <w:shd w:fill="FDF8EF" w:val="clear"/>
            <w:tcMar>
              <w:top w:type="dxa" w:w="80"/>
              <w:left w:type="dxa" w:w="200"/>
              <w:bottom w:type="dxa" w:w="80"/>
              <w:right w:type="dxa" w:w="200"/>
            </w:tcMar>
          </w:tcPr>
          <w:p>
            <w:r>
              <w:rPr>
                <w:rFonts w:ascii="Arial" w:cs="Arial" w:eastAsia="Arial" w:hAnsi="Arial"/>
                <w:b/>
                <w:bCs/>
                <w:color w:val="B8860B"/>
                <w:sz w:val="20"/>
                <w:szCs w:val="20"/>
              </w:rPr>
              <w:t xml:space="preserve">NOTE: </w:t>
            </w:r>
            <w:r>
              <w:rPr>
                <w:rFonts w:ascii="Arial" w:cs="Arial" w:eastAsia="Arial" w:hAnsi="Arial"/>
                <w:color w:val="333333"/>
                <w:sz w:val="20"/>
                <w:szCs w:val="20"/>
              </w:rPr>
              <w:t xml:space="preserve">Consider leading early pitches with Income Tax Reconciliation (ASU 2023-09) rather than DISE. Reason: ASU 2023-09 is already effective — companies are in their first compliance year right now and feeling active pain. DISE (effective for FY beginning after Dec 15, 2026) is a future obligation. Leading with “we solve your pain today” is a faster close than “prepare for next year.” Use DISE as the expansion upsell and the urgency narrative for the larger contract.</w:t>
            </w:r>
          </w:p>
        </w:tc>
      </w:tr>
    </w:tbl>
    <w:p>
      <w:pPr>
        <w:spacing w:after="120" w:before="120"/>
      </w:pPr>
    </w:p>
    <w:p>
      <w:pPr>
        <w:pStyle w:val="Heading1"/>
      </w:pPr>
      <w:r>
        <w:t xml:space="preserve">4. SOC 2 &amp; Audit Compliance</w:t>
      </w:r>
    </w:p>
    <w:p>
      <w:pPr>
        <w:spacing w:after="120"/>
      </w:pPr>
      <w:r>
        <w:rPr>
          <w:rFonts w:ascii="Arial" w:cs="Arial" w:eastAsia="Arial" w:hAnsi="Arial"/>
          <w:color w:val="333333"/>
          <w:sz w:val="22"/>
          <w:szCs w:val="22"/>
        </w:rPr>
        <w:t xml:space="preserve">Evan shared nuance that there is a mandatory monitoring period for SOC 2 Type II compliance. The team needs to resource approximately $15K urgently to commence.</w:t>
      </w:r>
    </w:p>
    <w:p>
      <w:pPr>
        <w:spacing w:after="120"/>
      </w:pPr>
      <w:r>
        <w:rPr>
          <w:rFonts w:ascii="Arial" w:cs="Arial" w:eastAsia="Arial" w:hAnsi="Arial"/>
          <w:color w:val="333333"/>
          <w:sz w:val="22"/>
          <w:szCs w:val="22"/>
        </w:rPr>
        <w:t xml:space="preserve">We have some things in motion to mitigate this via the raise, and our anchor client (fingers crossed) may convert and allow us to fund this independently. However, we are strongest if we dive in fully together — fundraise together and pull the trigger on audits once we have visibility on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2F6FA" w:val="clear"/>
            <w:tcMar>
              <w:top w:type="dxa" w:w="100"/>
              <w:left w:type="dxa" w:w="200"/>
              <w:bottom w:type="dxa" w:w="100"/>
              <w:right w:type="dxa" w:w="200"/>
            </w:tcMar>
          </w:tcPr>
          <w:p>
            <w:r>
              <w:rPr>
                <w:rFonts w:ascii="Arial" w:cs="Arial" w:eastAsia="Arial" w:hAnsi="Arial"/>
                <w:b/>
                <w:bCs/>
                <w:color w:val="2E75B6"/>
                <w:sz w:val="20"/>
                <w:szCs w:val="20"/>
              </w:rPr>
              <w:t xml:space="preserve">CONCLUSION: </w:t>
            </w:r>
            <w:r>
              <w:rPr>
                <w:rFonts w:ascii="Arial" w:cs="Arial" w:eastAsia="Arial" w:hAnsi="Arial"/>
                <w:color w:val="333333"/>
                <w:sz w:val="20"/>
                <w:szCs w:val="20"/>
              </w:rPr>
              <w:t xml:space="preserve">HUGE urgency to commence audits NOW. We have done the legwork and can start the audit immediately. Fund raise together and trigger audits once capital visibility exists.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5" w:sz="1"/>
              <w:left w:val="single" w:color="D4A843" w:sz="6"/>
              <w:bottom w:val="single" w:color="E8D5B5" w:sz="1"/>
              <w:right w:val="single" w:color="E8D5B5" w:sz="1"/>
            </w:tcBorders>
            <w:shd w:fill="FDF8EF" w:val="clear"/>
            <w:tcMar>
              <w:top w:type="dxa" w:w="80"/>
              <w:left w:type="dxa" w:w="200"/>
              <w:bottom w:type="dxa" w:w="80"/>
              <w:right w:type="dxa" w:w="200"/>
            </w:tcMar>
          </w:tcPr>
          <w:p>
            <w:r>
              <w:rPr>
                <w:rFonts w:ascii="Arial" w:cs="Arial" w:eastAsia="Arial" w:hAnsi="Arial"/>
                <w:b/>
                <w:bCs/>
                <w:color w:val="B8860B"/>
                <w:sz w:val="20"/>
                <w:szCs w:val="20"/>
              </w:rPr>
              <w:t xml:space="preserve">NOTE: </w:t>
            </w:r>
            <w:r>
              <w:rPr>
                <w:rFonts w:ascii="Arial" w:cs="Arial" w:eastAsia="Arial" w:hAnsi="Arial"/>
                <w:color w:val="333333"/>
                <w:sz w:val="20"/>
                <w:szCs w:val="20"/>
              </w:rPr>
              <w:t xml:space="preserve">Select a compliance automation platform (Vanta, Drata, or Secureframe) this week. These platforms cost $10K–15K/year and dramatically accelerate the process. SOC 2 Type I realistic timeline is 8–12 weeks from audit commencement, not 6. Starting June 1 means a report in hand by late August at the earliest. Fortune 500 procurement teams typically require SOC 2 before signing contracts involving financial data — this becomes the bottleneck for converting LOIs to paid deals. Every week of delay on triggering SOC 2 is a week added to the back end of the sales timeline.</w:t>
            </w:r>
          </w:p>
        </w:tc>
      </w:tr>
    </w:tbl>
    <w:p>
      <w:pPr>
        <w:spacing w:after="120" w:before="120"/>
      </w:pPr>
    </w:p>
    <w:p>
      <w:pPr>
        <w:pStyle w:val="Heading1"/>
      </w:pPr>
      <w:r>
        <w:t xml:space="preserve">5. Fundraise</w:t>
      </w:r>
    </w:p>
    <w:p>
      <w:pPr>
        <w:spacing w:after="120"/>
      </w:pPr>
      <w:r>
        <w:rPr>
          <w:rFonts w:ascii="Arial" w:cs="Arial" w:eastAsia="Arial" w:hAnsi="Arial"/>
          <w:color w:val="333333"/>
          <w:sz w:val="22"/>
          <w:szCs w:val="22"/>
        </w:rPr>
        <w:t xml:space="preserve">We have an existing client (without exclusivity) who we are serving well and who will connect us with 10–15 funders this month. We must get in front of Google — if we can close funding from Google as a stellar use case for Cortex, that is a powerful proof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2F6FA" w:val="clear"/>
            <w:tcMar>
              <w:top w:type="dxa" w:w="100"/>
              <w:left w:type="dxa" w:w="200"/>
              <w:bottom w:type="dxa" w:w="100"/>
              <w:right w:type="dxa" w:w="200"/>
            </w:tcMar>
          </w:tcPr>
          <w:p>
            <w:r>
              <w:rPr>
                <w:rFonts w:ascii="Arial" w:cs="Arial" w:eastAsia="Arial" w:hAnsi="Arial"/>
                <w:b/>
                <w:bCs/>
                <w:color w:val="2E75B6"/>
                <w:sz w:val="20"/>
                <w:szCs w:val="20"/>
              </w:rPr>
              <w:t xml:space="preserve">CONCLUSION: </w:t>
            </w:r>
            <w:r>
              <w:rPr>
                <w:rFonts w:ascii="Arial" w:cs="Arial" w:eastAsia="Arial" w:hAnsi="Arial"/>
                <w:color w:val="333333"/>
                <w:sz w:val="20"/>
                <w:szCs w:val="20"/>
              </w:rPr>
              <w:t xml:space="preserve">We will pursue this and want to tease this vertical. Ideal scenario: 3-founder team ASAP so investors see this not as a pivot but as a clear and undeniable direction. If we have collective confidence, the raise becomes straightforward.</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5" w:sz="1"/>
              <w:left w:val="single" w:color="D4A843" w:sz="6"/>
              <w:bottom w:val="single" w:color="E8D5B5" w:sz="1"/>
              <w:right w:val="single" w:color="E8D5B5" w:sz="1"/>
            </w:tcBorders>
            <w:shd w:fill="FDF8EF" w:val="clear"/>
            <w:tcMar>
              <w:top w:type="dxa" w:w="80"/>
              <w:left w:type="dxa" w:w="200"/>
              <w:bottom w:type="dxa" w:w="80"/>
              <w:right w:type="dxa" w:w="200"/>
            </w:tcMar>
          </w:tcPr>
          <w:p>
            <w:r>
              <w:rPr>
                <w:rFonts w:ascii="Arial" w:cs="Arial" w:eastAsia="Arial" w:hAnsi="Arial"/>
                <w:b/>
                <w:bCs/>
                <w:color w:val="B8860B"/>
                <w:sz w:val="20"/>
                <w:szCs w:val="20"/>
              </w:rPr>
              <w:t xml:space="preserve">NOTE: </w:t>
            </w:r>
            <w:r>
              <w:rPr>
                <w:rFonts w:ascii="Arial" w:cs="Arial" w:eastAsia="Arial" w:hAnsi="Arial"/>
                <w:color w:val="333333"/>
                <w:sz w:val="20"/>
                <w:szCs w:val="20"/>
              </w:rPr>
              <w:t xml:space="preserve">The CIM prepared by Erah Capital (Alexander Verville) needs to be updated before going to investors. Current CIM positions Truffles as a credit risk OS for NBFIs/lenders with DISE as one of six modules. If Max is joining as a co-founder and the Fortune 500 DISE vertical is the primary growth engine, the investor narrative, team section, use of proceeds, and target investor list all need revision. Alex should be briefed on the Max situation before Wave 1 outreach begins. Sending the current CIM and then verbally explaining a different strategy creates confusion during diligence.</w:t>
            </w:r>
          </w:p>
        </w:tc>
      </w:tr>
    </w:tbl>
    <w:p>
      <w:pPr>
        <w:spacing w:after="120" w:before="120"/>
      </w:pPr>
    </w:p>
    <w:p>
      <w:pPr>
        <w:pStyle w:val="Heading1"/>
      </w:pPr>
      <w:r>
        <w:t xml:space="preserve">6. Team &amp; Commitment</w:t>
      </w:r>
    </w:p>
    <w:p>
      <w:pPr>
        <w:spacing w:after="120"/>
      </w:pPr>
      <w:r>
        <w:rPr>
          <w:rFonts w:ascii="Arial" w:cs="Arial" w:eastAsia="Arial" w:hAnsi="Arial"/>
          <w:color w:val="333333"/>
          <w:sz w:val="22"/>
          <w:szCs w:val="22"/>
        </w:rPr>
        <w:t xml:space="preserve">Max to reflect on his personal life and decide together with the team if/when to go all-in and execute everything as a unit as soon as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2F6FA" w:val="clear"/>
            <w:tcMar>
              <w:top w:type="dxa" w:w="100"/>
              <w:left w:type="dxa" w:w="200"/>
              <w:bottom w:type="dxa" w:w="100"/>
              <w:right w:type="dxa" w:w="200"/>
            </w:tcMar>
          </w:tcPr>
          <w:p>
            <w:r>
              <w:rPr>
                <w:rFonts w:ascii="Arial" w:cs="Arial" w:eastAsia="Arial" w:hAnsi="Arial"/>
                <w:b/>
                <w:bCs/>
                <w:color w:val="2E75B6"/>
                <w:sz w:val="20"/>
                <w:szCs w:val="20"/>
              </w:rPr>
              <w:t xml:space="preserve">CONCLUSION: </w:t>
            </w:r>
            <w:r>
              <w:rPr>
                <w:rFonts w:ascii="Arial" w:cs="Arial" w:eastAsia="Arial" w:hAnsi="Arial"/>
                <w:color w:val="333333"/>
                <w:sz w:val="20"/>
                <w:szCs w:val="20"/>
              </w:rPr>
              <w:t xml:space="preserve">The team’s position is clear. Max will reflect and the team will discuss during the Vegas meeting.</w:t>
            </w:r>
          </w:p>
        </w:tc>
      </w:tr>
    </w:tbl>
    <w:p>
      <w:pPr>
        <w:spacing w:after="120" w:before="120"/>
      </w:pPr>
    </w:p>
    <w:p>
      <w:pPr>
        <w:pStyle w:val="Heading1"/>
      </w:pPr>
      <w:r>
        <w:t xml:space="preserve">7. Founder / Shareholder Agreement</w:t>
      </w:r>
    </w:p>
    <w:p>
      <w:pPr>
        <w:spacing w:after="120"/>
      </w:pPr>
      <w:r>
        <w:rPr>
          <w:rFonts w:ascii="Arial" w:cs="Arial" w:eastAsia="Arial" w:hAnsi="Arial"/>
          <w:color w:val="333333"/>
          <w:sz w:val="22"/>
          <w:szCs w:val="22"/>
        </w:rPr>
        <w:t xml:space="preserve">Depending on Max’s decision, the team should close the founder/shareholder agreement during the Vegas visit. The team should allocate deep work time to redline and commit on a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2F6FA" w:val="clear"/>
            <w:tcMar>
              <w:top w:type="dxa" w:w="100"/>
              <w:left w:type="dxa" w:w="200"/>
              <w:bottom w:type="dxa" w:w="100"/>
              <w:right w:type="dxa" w:w="200"/>
            </w:tcMar>
          </w:tcPr>
          <w:p>
            <w:r>
              <w:rPr>
                <w:rFonts w:ascii="Arial" w:cs="Arial" w:eastAsia="Arial" w:hAnsi="Arial"/>
                <w:b/>
                <w:bCs/>
                <w:color w:val="2E75B6"/>
                <w:sz w:val="20"/>
                <w:szCs w:val="20"/>
              </w:rPr>
              <w:t xml:space="preserve">CONCLUSION: </w:t>
            </w:r>
            <w:r>
              <w:rPr>
                <w:rFonts w:ascii="Arial" w:cs="Arial" w:eastAsia="Arial" w:hAnsi="Arial"/>
                <w:color w:val="333333"/>
                <w:sz w:val="20"/>
                <w:szCs w:val="20"/>
              </w:rPr>
              <w:t xml:space="preserve">Do not allow April 24 to pass without a clear agreement so all parties can execute on this opportunity with full clarity.</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5" w:sz="1"/>
              <w:left w:val="single" w:color="D4A843" w:sz="6"/>
              <w:bottom w:val="single" w:color="E8D5B5" w:sz="1"/>
              <w:right w:val="single" w:color="E8D5B5" w:sz="1"/>
            </w:tcBorders>
            <w:shd w:fill="FDF8EF" w:val="clear"/>
            <w:tcMar>
              <w:top w:type="dxa" w:w="80"/>
              <w:left w:type="dxa" w:w="200"/>
              <w:bottom w:type="dxa" w:w="80"/>
              <w:right w:type="dxa" w:w="200"/>
            </w:tcMar>
          </w:tcPr>
          <w:p>
            <w:r>
              <w:rPr>
                <w:rFonts w:ascii="Arial" w:cs="Arial" w:eastAsia="Arial" w:hAnsi="Arial"/>
                <w:b/>
                <w:bCs/>
                <w:color w:val="B8860B"/>
                <w:sz w:val="20"/>
                <w:szCs w:val="20"/>
              </w:rPr>
              <w:t xml:space="preserve">NOTE: </w:t>
            </w:r>
            <w:r>
              <w:rPr>
                <w:rFonts w:ascii="Arial" w:cs="Arial" w:eastAsia="Arial" w:hAnsi="Arial"/>
                <w:color w:val="333333"/>
                <w:sz w:val="20"/>
                <w:szCs w:val="20"/>
              </w:rPr>
              <w:t xml:space="preserve">The equity structure should be defined before meeting in Vegas, not negotiated under time pressure in person. Recommended framework: performance-based vesting tied to closed revenue milestones (e.g., base equity grant with additional vesting at $500K, $1M, $1.5M, $2M in closed revenue by Dec 31, 2026). This aligns incentives and protects all parties. “Closed revenue” should be precisely defined as signed contract with first invoice paid — not LOIs or verbal commitments. Max should receive the proposed framework in writing before April 24 so he can consider it thoughtfully.</w:t>
            </w:r>
          </w:p>
        </w:tc>
      </w:tr>
    </w:tbl>
    <w:p>
      <w:pPr>
        <w:spacing w:after="120" w:before="120"/>
      </w:pPr>
    </w:p>
    <w:p>
      <w:pPr>
        <w:pStyle w:val="Heading1"/>
      </w:pPr>
      <w:r>
        <w:t xml:space="preserve">8. Domain Expertise &amp; Early Execution</w:t>
      </w:r>
    </w:p>
    <w:p>
      <w:pPr>
        <w:spacing w:after="120"/>
      </w:pPr>
      <w:r>
        <w:rPr>
          <w:rFonts w:ascii="Arial" w:cs="Arial" w:eastAsia="Arial" w:hAnsi="Arial"/>
          <w:color w:val="333333"/>
          <w:sz w:val="22"/>
          <w:szCs w:val="22"/>
        </w:rPr>
        <w:t xml:space="preserve">The team will quickly become domain experts and will execute for early clients. Evan and Ujjwal have executed and served clients well for 18 months in areas with far less certainty.</w:t>
      </w:r>
    </w:p>
    <w:p>
      <w:pPr>
        <w:spacing w:after="120"/>
      </w:pPr>
      <w:r>
        <w:rPr>
          <w:rFonts w:ascii="Arial" w:cs="Arial" w:eastAsia="Arial" w:hAnsi="Arial"/>
          <w:color w:val="333333"/>
          <w:sz w:val="22"/>
          <w:szCs w:val="22"/>
        </w:rPr>
        <w:t xml:space="preserve">Once the team raises, they will also hire a CPA. Evan has a trusted CPA friend (wife of a current client and mentor) who can serve as a user for the module she considers needed for her business — a learn-by-doing approach. Evan will speak with them next week.</w:t>
      </w:r>
    </w:p>
    <w:p>
      <w:pPr>
        <w:spacing w:after="120"/>
      </w:pPr>
      <w:r>
        <w:rPr>
          <w:rFonts w:ascii="Arial" w:cs="Arial" w:eastAsia="Arial" w:hAnsi="Arial"/>
          <w:color w:val="333333"/>
          <w:sz w:val="22"/>
          <w:szCs w:val="22"/>
        </w:rPr>
        <w:t xml:space="preserve">Ujjwal is spending the rest of the weekend studying the “trinity” (DISE, Income Tax Reconciliation, Lease Disclosures) in depth. Max to continue sharing materials.</w:t>
      </w:r>
    </w:p>
    <w:p>
      <w:pPr>
        <w:spacing w:after="120" w:before="120"/>
      </w:pPr>
    </w:p>
    <w:p>
      <w:r>
        <w:br w:type="page"/>
      </w:r>
    </w:p>
    <w:p>
      <w:pPr>
        <w:pBdr>
          <w:bottom w:val="single" w:color="2E8B57" w:sz="6" w:space="8"/>
        </w:pBdr>
        <w:spacing w:after="200"/>
      </w:pPr>
      <w:r>
        <w:rPr>
          <w:rFonts w:ascii="Arial" w:cs="Arial" w:eastAsia="Arial" w:hAnsi="Arial"/>
          <w:b/>
          <w:bCs/>
          <w:color w:val="2E8B57"/>
          <w:sz w:val="32"/>
          <w:szCs w:val="32"/>
        </w:rPr>
        <w:t xml:space="preserve">MAX’S PRE-CALL STRATEGIC FRAMEWORK</w:t>
      </w:r>
    </w:p>
    <w:p>
      <w:pPr>
        <w:spacing w:after="200"/>
      </w:pPr>
      <w:r>
        <w:rPr>
          <w:rFonts w:ascii="Arial" w:cs="Arial" w:eastAsia="Arial" w:hAnsi="Arial"/>
          <w:i/>
          <w:iCs/>
          <w:color w:val="666666"/>
          <w:sz w:val="20"/>
          <w:szCs w:val="20"/>
        </w:rPr>
        <w:t xml:space="preserve">Max shared the following strategic positioning angles before the Saturday call. These represent his vision for how Truffles can carve a defensible position in the disclosure automation market.</w:t>
      </w:r>
    </w:p>
    <w:p>
      <w:pPr>
        <w:spacing w:after="120" w:before="120"/>
      </w:pPr>
    </w:p>
    <w:p>
      <w:pPr>
        <w:pStyle w:val="Heading2"/>
      </w:pPr>
      <w:r>
        <w:t xml:space="preserve">I. Own the GL-to-Disclosure Pipeline</w:t>
      </w:r>
    </w:p>
    <w:p>
      <w:pPr>
        <w:spacing w:after="120"/>
      </w:pPr>
      <w:r>
        <w:rPr>
          <w:rFonts w:ascii="Arial" w:cs="Arial" w:eastAsia="Arial" w:hAnsi="Arial"/>
          <w:color w:val="333333"/>
          <w:sz w:val="22"/>
          <w:szCs w:val="22"/>
        </w:rPr>
        <w:t xml:space="preserve">Max identifies a gap in the market: no one currently owns the translation layer between General Ledger data (SAP, Oracle) and final SEC disclosure output. Workiva handles the disclosure formatting side. ERP vendors handle the GL input side. The mapping — turning raw GL account data into FASB-compliant disaggregated categories — is where Big 4 firms charge $800K–$1.2M in manual labor.</w:t>
      </w:r>
    </w:p>
    <w:p>
      <w:pPr>
        <w:spacing w:after="120"/>
      </w:pPr>
      <w:r>
        <w:rPr>
          <w:rFonts w:ascii="Arial" w:cs="Arial" w:eastAsia="Arial" w:hAnsi="Arial"/>
          <w:color w:val="333333"/>
          <w:sz w:val="22"/>
          <w:szCs w:val="22"/>
        </w:rPr>
        <w:t xml:space="preserve">Truffles’ positioning: become the automated middleware that replaces that manual mapping. This is the defensible wedge — once deployed, switching means re-mapping every GL account, which auditors would need to re-test.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2F6FA" w:val="clear"/>
            <w:tcMar>
              <w:top w:type="dxa" w:w="100"/>
              <w:left w:type="dxa" w:w="200"/>
              <w:bottom w:type="dxa" w:w="100"/>
              <w:right w:type="dxa" w:w="200"/>
            </w:tcMar>
          </w:tcPr>
          <w:p>
            <w:r>
              <w:rPr>
                <w:rFonts w:ascii="Arial" w:cs="Arial" w:eastAsia="Arial" w:hAnsi="Arial"/>
                <w:b/>
                <w:bCs/>
                <w:color w:val="2E75B6"/>
                <w:sz w:val="20"/>
                <w:szCs w:val="20"/>
              </w:rPr>
              <w:t xml:space="preserve">CONCLUSION: </w:t>
            </w:r>
            <w:r>
              <w:rPr>
                <w:rFonts w:ascii="Arial" w:cs="Arial" w:eastAsia="Arial" w:hAnsi="Arial"/>
                <w:color w:val="333333"/>
                <w:sz w:val="20"/>
                <w:szCs w:val="20"/>
              </w:rPr>
              <w:t xml:space="preserve">This is Max’s strongest strategic insight. The GL-to-disclosure mapping layer is genuinely unowned, genuinely painful, and genuinely defensible. Build all product marketing around this positioning.</w:t>
            </w:r>
          </w:p>
        </w:tc>
      </w:tr>
    </w:tbl>
    <w:p>
      <w:pPr>
        <w:spacing w:after="120" w:before="120"/>
      </w:pPr>
    </w:p>
    <w:p>
      <w:pPr>
        <w:pStyle w:val="Heading2"/>
      </w:pPr>
      <w:r>
        <w:t xml:space="preserve">II. Price to Kill Big 4 Manual Process</w:t>
      </w:r>
    </w:p>
    <w:p>
      <w:pPr>
        <w:spacing w:after="120"/>
      </w:pPr>
      <w:r>
        <w:rPr>
          <w:rFonts w:ascii="Arial" w:cs="Arial" w:eastAsia="Arial" w:hAnsi="Arial"/>
          <w:color w:val="333333"/>
          <w:sz w:val="22"/>
          <w:szCs w:val="22"/>
        </w:rPr>
        <w:t xml:space="preserve">Max frames the competitive target correctly: Truffles is not competing with Bloomberg terminals or Workiva licenses. The competition is the $800K–$1.2M consulting engagement where 4–6 KPMG/Deloitte consultants sit in a conference room for months manually mapping GL accounts to DISE categories.</w:t>
      </w:r>
    </w:p>
    <w:p>
      <w:pPr>
        <w:spacing w:after="120"/>
      </w:pPr>
      <w:r>
        <w:rPr>
          <w:rFonts w:ascii="Arial" w:cs="Arial" w:eastAsia="Arial" w:hAnsi="Arial"/>
          <w:color w:val="333333"/>
          <w:sz w:val="22"/>
          <w:szCs w:val="22"/>
        </w:rPr>
        <w:t xml:space="preserve">At $150K–$300K, Truffles eliminates the need for that team entirely. The CFO’s mental model should be: “I’m saving $500K–$900K on a compliance mandate I can’t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5" w:sz="1"/>
              <w:left w:val="single" w:color="D4A843" w:sz="6"/>
              <w:bottom w:val="single" w:color="E8D5B5" w:sz="1"/>
              <w:right w:val="single" w:color="E8D5B5" w:sz="1"/>
            </w:tcBorders>
            <w:shd w:fill="FDF8EF" w:val="clear"/>
            <w:tcMar>
              <w:top w:type="dxa" w:w="80"/>
              <w:left w:type="dxa" w:w="200"/>
              <w:bottom w:type="dxa" w:w="80"/>
              <w:right w:type="dxa" w:w="200"/>
            </w:tcMar>
          </w:tcPr>
          <w:p>
            <w:r>
              <w:rPr>
                <w:rFonts w:ascii="Arial" w:cs="Arial" w:eastAsia="Arial" w:hAnsi="Arial"/>
                <w:b/>
                <w:bCs/>
                <w:color w:val="B8860B"/>
                <w:sz w:val="20"/>
                <w:szCs w:val="20"/>
              </w:rPr>
              <w:t xml:space="preserve">NOTE: </w:t>
            </w:r>
            <w:r>
              <w:rPr>
                <w:rFonts w:ascii="Arial" w:cs="Arial" w:eastAsia="Arial" w:hAnsi="Arial"/>
                <w:color w:val="333333"/>
                <w:sz w:val="20"/>
                <w:szCs w:val="20"/>
              </w:rPr>
              <w:t xml:space="preserve">Pricing sweet spot is $200K–$300K for Fortune 500. Below $150K triggers “too cheap to trust” risk for a product touching SEC-critical financial data. Consider $100K–$125K only for 2–3 design partner deals where the client agrees to be a reference. First 2–3 deals can sacrifice margin for velocity — everything changes once you can say “we’re deployed at [Company X].”</w:t>
            </w:r>
          </w:p>
        </w:tc>
      </w:tr>
    </w:tbl>
    <w:p>
      <w:pPr>
        <w:spacing w:after="120" w:before="120"/>
      </w:pPr>
    </w:p>
    <w:p>
      <w:pPr>
        <w:pStyle w:val="Heading2"/>
      </w:pPr>
      <w:r>
        <w:t xml:space="preserve">III. DISE Deadline as Sales Wedge</w:t>
      </w:r>
    </w:p>
    <w:p>
      <w:pPr>
        <w:spacing w:after="120"/>
      </w:pPr>
      <w:r>
        <w:rPr>
          <w:rFonts w:ascii="Arial" w:cs="Arial" w:eastAsia="Arial" w:hAnsi="Arial"/>
          <w:color w:val="333333"/>
          <w:sz w:val="22"/>
          <w:szCs w:val="22"/>
        </w:rPr>
        <w:t xml:space="preserve">Max correctly identifies the DISE compliance deadline (FY beginning after Dec 15, 2026 — meaning calendar-year companies must comply starting with 2027 annual statements) as a forcing function. Companies need systems ready by January 2027, which means the buying window is right now through Q3 2026.</w:t>
      </w:r>
    </w:p>
    <w:p>
      <w:pPr>
        <w:spacing w:after="120"/>
      </w:pPr>
      <w:r>
        <w:rPr>
          <w:rFonts w:ascii="Arial" w:cs="Arial" w:eastAsia="Arial" w:hAnsi="Arial"/>
          <w:color w:val="333333"/>
          <w:sz w:val="22"/>
          <w:szCs w:val="22"/>
        </w:rPr>
        <w:t xml:space="preserve">First-mover advantage is real: whoever gets deployed at 3–5 Fortune 500 companies first owns the reference-customer advantage for years. Auditors who test and validate one vendor’s methodology become reluctant to approve a second untested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2F6FA" w:val="clear"/>
            <w:tcMar>
              <w:top w:type="dxa" w:w="100"/>
              <w:left w:type="dxa" w:w="200"/>
              <w:bottom w:type="dxa" w:w="100"/>
              <w:right w:type="dxa" w:w="200"/>
            </w:tcMar>
          </w:tcPr>
          <w:p>
            <w:r>
              <w:rPr>
                <w:rFonts w:ascii="Arial" w:cs="Arial" w:eastAsia="Arial" w:hAnsi="Arial"/>
                <w:b/>
                <w:bCs/>
                <w:color w:val="2E75B6"/>
                <w:sz w:val="20"/>
                <w:szCs w:val="20"/>
              </w:rPr>
              <w:t xml:space="preserve">CONCLUSION: </w:t>
            </w:r>
            <w:r>
              <w:rPr>
                <w:rFonts w:ascii="Arial" w:cs="Arial" w:eastAsia="Arial" w:hAnsi="Arial"/>
                <w:color w:val="333333"/>
                <w:sz w:val="20"/>
                <w:szCs w:val="20"/>
              </w:rPr>
              <w:t xml:space="preserve">DISE urgency is the primary GTM narrative. Every pitch should open with: “Your 2027 10-K requires DISE compliance. Your auditor will test your methodology starting Q1 2027. Are you ready?” The answer for most companies is no.</w:t>
            </w:r>
          </w:p>
        </w:tc>
      </w:tr>
    </w:tbl>
    <w:p>
      <w:pPr>
        <w:spacing w:after="120" w:before="120"/>
      </w:pPr>
    </w:p>
    <w:p>
      <w:pPr>
        <w:pStyle w:val="Heading2"/>
      </w:pPr>
      <w:r>
        <w:t xml:space="preserve">IV. AI Narrative Drafter as Standalone Product</w:t>
      </w:r>
    </w:p>
    <w:p>
      <w:pPr>
        <w:spacing w:after="120"/>
      </w:pPr>
      <w:r>
        <w:rPr>
          <w:rFonts w:ascii="Arial" w:cs="Arial" w:eastAsia="Arial" w:hAnsi="Arial"/>
          <w:color w:val="333333"/>
          <w:sz w:val="22"/>
          <w:szCs w:val="22"/>
        </w:rPr>
        <w:t xml:space="preserve">Max proposes an AI tool that auto-generates the qualitative footnote disclosures in 10-K filings — the narrative paragraphs describing accounting policies, lease commitments, tax positions, etc. Priced at $30K–$60K/year as standalone SaaS.</w:t>
      </w:r>
    </w:p>
    <w:p>
      <w:pPr>
        <w:spacing w:after="120"/>
      </w:pPr>
      <w:r>
        <w:rPr>
          <w:rFonts w:ascii="Arial" w:cs="Arial" w:eastAsia="Arial" w:hAnsi="Arial"/>
          <w:color w:val="333333"/>
          <w:sz w:val="22"/>
          <w:szCs w:val="22"/>
        </w:rPr>
        <w:t xml:space="preserve">Strategic value: at this price point, it falls below most Fortune 500 procurement thresholds, meaning sales cycles of 4–8 weeks instead of 4–8 months. This becomes the “land” in a land-and-expand strategy — sell the drafter fast, build the relationship, then upsell the full GL-to-disclosure pipeline at $200K+.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5" w:sz="1"/>
              <w:left w:val="single" w:color="D4A843" w:sz="6"/>
              <w:bottom w:val="single" w:color="E8D5B5" w:sz="1"/>
              <w:right w:val="single" w:color="E8D5B5" w:sz="1"/>
            </w:tcBorders>
            <w:shd w:fill="FDF8EF" w:val="clear"/>
            <w:tcMar>
              <w:top w:type="dxa" w:w="80"/>
              <w:left w:type="dxa" w:w="200"/>
              <w:bottom w:type="dxa" w:w="80"/>
              <w:right w:type="dxa" w:w="200"/>
            </w:tcMar>
          </w:tcPr>
          <w:p>
            <w:r>
              <w:rPr>
                <w:rFonts w:ascii="Arial" w:cs="Arial" w:eastAsia="Arial" w:hAnsi="Arial"/>
                <w:b/>
                <w:bCs/>
                <w:color w:val="B8860B"/>
                <w:sz w:val="20"/>
                <w:szCs w:val="20"/>
              </w:rPr>
              <w:t xml:space="preserve">NOTE: </w:t>
            </w:r>
            <w:r>
              <w:rPr>
                <w:rFonts w:ascii="Arial" w:cs="Arial" w:eastAsia="Arial" w:hAnsi="Arial"/>
                <w:color w:val="333333"/>
                <w:sz w:val="20"/>
                <w:szCs w:val="20"/>
              </w:rPr>
              <w:t xml:space="preserve">This is the most interesting new angle. It solves the cold-start problem by giving Max something he can sell quickly without full procurement cycles. Risk: at $30K–$60K it’s also easier for Workiva or even a general-purpose AI tool to replicate. Recommendation: build this as a feature of the platform (not a separate product) and offer it as a standalone entry point only when the full deal faces procurement delays. Don’t let it become the whole business.</w:t>
            </w:r>
          </w:p>
        </w:tc>
      </w:tr>
    </w:tbl>
    <w:p>
      <w:pPr>
        <w:spacing w:after="120" w:before="120"/>
      </w:pPr>
    </w:p>
    <w:p>
      <w:pPr>
        <w:pStyle w:val="Heading2"/>
      </w:pPr>
      <w:r>
        <w:t xml:space="preserve">V. Audit Trail as Regulatory Moat</w:t>
      </w:r>
    </w:p>
    <w:p>
      <w:pPr>
        <w:spacing w:after="120"/>
      </w:pPr>
      <w:r>
        <w:rPr>
          <w:rFonts w:ascii="Arial" w:cs="Arial" w:eastAsia="Arial" w:hAnsi="Arial"/>
          <w:color w:val="333333"/>
          <w:sz w:val="22"/>
          <w:szCs w:val="22"/>
        </w:rPr>
        <w:t xml:space="preserve">Max identifies that a complete, immutable audit trail showing exactly how each GL line item was mapped to each DISE disclosure category creates genuine switching costs. Once an external auditor (EY, Deloitte, PwC) has tested and signed off on Truffles’ mapping methodology, switching to a competitor forces the auditor to re-test everything from scratch.</w:t>
      </w:r>
    </w:p>
    <w:p>
      <w:pPr>
        <w:spacing w:after="120"/>
      </w:pPr>
      <w:r>
        <w:rPr>
          <w:rFonts w:ascii="Arial" w:cs="Arial" w:eastAsia="Arial" w:hAnsi="Arial"/>
          <w:color w:val="333333"/>
          <w:sz w:val="22"/>
          <w:szCs w:val="22"/>
        </w:rPr>
        <w:t xml:space="preserve">This is how Workiva became sticky in SEC disclosure management — auditors got comfortable with the output format, and companies didn’t want to disrupt that comfort.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F2F6FA" w:val="clear"/>
            <w:tcMar>
              <w:top w:type="dxa" w:w="100"/>
              <w:left w:type="dxa" w:w="200"/>
              <w:bottom w:type="dxa" w:w="100"/>
              <w:right w:type="dxa" w:w="200"/>
            </w:tcMar>
          </w:tcPr>
          <w:p>
            <w:r>
              <w:rPr>
                <w:rFonts w:ascii="Arial" w:cs="Arial" w:eastAsia="Arial" w:hAnsi="Arial"/>
                <w:b/>
                <w:bCs/>
                <w:color w:val="2E75B6"/>
                <w:sz w:val="20"/>
                <w:szCs w:val="20"/>
              </w:rPr>
              <w:t xml:space="preserve">CONCLUSION: </w:t>
            </w:r>
            <w:r>
              <w:rPr>
                <w:rFonts w:ascii="Arial" w:cs="Arial" w:eastAsia="Arial" w:hAnsi="Arial"/>
                <w:color w:val="333333"/>
                <w:sz w:val="20"/>
                <w:szCs w:val="20"/>
              </w:rPr>
              <w:t xml:space="preserve">Build audit trail functionality from Day 1, not as an afterthought. Every mapping decision should be logged with timestamp, user, rationale, and FASB citation. This is both a product feature and a strategic moat.</w:t>
            </w:r>
          </w:p>
        </w:tc>
      </w:tr>
    </w:tbl>
    <w:p>
      <w:pPr>
        <w:spacing w:after="120" w:before="120"/>
      </w:pPr>
    </w:p>
    <w:p>
      <w:pPr>
        <w:pStyle w:val="Heading2"/>
      </w:pPr>
      <w:r>
        <w:t xml:space="preserve">VI. CPA Co-Founder / Advisor / Early Hire</w:t>
      </w:r>
    </w:p>
    <w:p>
      <w:pPr>
        <w:spacing w:after="120"/>
      </w:pPr>
      <w:r>
        <w:rPr>
          <w:rFonts w:ascii="Arial" w:cs="Arial" w:eastAsia="Arial" w:hAnsi="Arial"/>
          <w:color w:val="333333"/>
          <w:sz w:val="22"/>
          <w:szCs w:val="22"/>
        </w:rPr>
        <w:t xml:space="preserve">Max raises a critical team gap: the venture needs someone who speaks fluently about ASU 2024-03 paragraph-level requirements, understands what auditors will test, and can sit across from a Fortune 500 controller for a peer-level conversation about disclosure methodology.</w:t>
      </w:r>
    </w:p>
    <w:p>
      <w:pPr>
        <w:spacing w:after="120"/>
      </w:pPr>
      <w:r>
        <w:rPr>
          <w:rFonts w:ascii="Arial" w:cs="Arial" w:eastAsia="Arial" w:hAnsi="Arial"/>
          <w:color w:val="333333"/>
          <w:sz w:val="22"/>
          <w:szCs w:val="22"/>
        </w:rPr>
        <w:t xml:space="preserve">Max partially fills this from the sales side, but the product and delivery side needs its own domain expert. Evan’s CPA contact (wife of current client/mentor) is a promising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B5" w:sz="1"/>
              <w:left w:val="single" w:color="D4A843" w:sz="6"/>
              <w:bottom w:val="single" w:color="E8D5B5" w:sz="1"/>
              <w:right w:val="single" w:color="E8D5B5" w:sz="1"/>
            </w:tcBorders>
            <w:shd w:fill="FDF8EF" w:val="clear"/>
            <w:tcMar>
              <w:top w:type="dxa" w:w="80"/>
              <w:left w:type="dxa" w:w="200"/>
              <w:bottom w:type="dxa" w:w="80"/>
              <w:right w:type="dxa" w:w="200"/>
            </w:tcMar>
          </w:tcPr>
          <w:p>
            <w:r>
              <w:rPr>
                <w:rFonts w:ascii="Arial" w:cs="Arial" w:eastAsia="Arial" w:hAnsi="Arial"/>
                <w:b/>
                <w:bCs/>
                <w:color w:val="B8860B"/>
                <w:sz w:val="20"/>
                <w:szCs w:val="20"/>
              </w:rPr>
              <w:t xml:space="preserve">NOTE: </w:t>
            </w:r>
            <w:r>
              <w:rPr>
                <w:rFonts w:ascii="Arial" w:cs="Arial" w:eastAsia="Arial" w:hAnsi="Arial"/>
                <w:color w:val="333333"/>
                <w:sz w:val="20"/>
                <w:szCs w:val="20"/>
              </w:rPr>
              <w:t xml:space="preserve">A fractional CPA advisor (ex-Big 4 senior manager level) at $5K–$10K/month is sufficient initially. This person doesn’t need to be a co-founder — an advisor with 0.5–1% equity and a monthly retainer works. Key requirement: someone who has personally prepared or reviewed DISE-category disclosures or income tax rate reconciliations at a Fortune 500 company. Evan should pursue the CPA contact this week and also ask Max for names from his KPMG network (once legal situation is clarified).</w:t>
            </w:r>
          </w:p>
        </w:tc>
      </w:tr>
    </w:tbl>
    <w:p>
      <w:pPr>
        <w:spacing w:after="120" w:before="120"/>
      </w:pPr>
    </w:p>
    <w:p>
      <w:r>
        <w:br w:type="page"/>
      </w:r>
    </w:p>
    <w:p>
      <w:pPr>
        <w:pBdr>
          <w:bottom w:val="single" w:color="C0392B" w:sz="6" w:space="8"/>
        </w:pBdr>
        <w:spacing w:after="200"/>
      </w:pPr>
      <w:r>
        <w:rPr>
          <w:rFonts w:ascii="Arial" w:cs="Arial" w:eastAsia="Arial" w:hAnsi="Arial"/>
          <w:b/>
          <w:bCs/>
          <w:color w:val="C0392B"/>
          <w:sz w:val="32"/>
          <w:szCs w:val="32"/>
        </w:rPr>
        <w:t xml:space="preserve">CRITICAL ITEMS NOT ADDRESSED ON THE CALL</w:t>
      </w:r>
    </w:p>
    <w:p>
      <w:pPr>
        <w:spacing w:after="120" w:before="120"/>
      </w:pPr>
    </w:p>
    <w:p>
      <w:pPr>
        <w:pStyle w:val="Heading2"/>
      </w:pPr>
      <w:r>
        <w:t xml:space="preserve">A. Max’s Non-Compete / Non-Solicitation from KPMG</w:t>
      </w:r>
    </w:p>
    <w:p>
      <w:pPr>
        <w:spacing w:after="120"/>
      </w:pPr>
      <w:r>
        <w:rPr>
          <w:rFonts w:ascii="Arial" w:cs="Arial" w:eastAsia="Arial" w:hAnsi="Arial"/>
          <w:color w:val="333333"/>
          <w:sz w:val="22"/>
          <w:szCs w:val="22"/>
        </w:rPr>
        <w:t xml:space="preserve">This is the single highest-risk item in the entire venture and was not discussed on the call. Max’s KPMG employment agreement almost certainly contains non-compete and/or non-solicitation clauses. If his key contacts are current KPMG advisory clients, a non-solicit clause could freeze the entire sales pipeline.</w:t>
      </w:r>
    </w:p>
    <w:p>
      <w:pPr>
        <w:spacing w:after="120"/>
      </w:pPr>
      <w:r>
        <w:rPr>
          <w:rFonts w:ascii="Arial" w:cs="Arial" w:eastAsia="Arial" w:hAnsi="Arial"/>
          <w:color w:val="333333"/>
          <w:sz w:val="22"/>
          <w:szCs w:val="22"/>
        </w:rPr>
        <w:t xml:space="preserve">This must be resolved BEFORE the operating agreement is signed on April 24. Recommended: Max consults an employment attorney this week and shares the relevant restrictive covenant language with the team. The equity conversation and the legal exposure conversation cannot be separated — the value of Max’s contribution is directly tied to what he’s legally permitted to do after leaving KPMG.</w:t>
      </w:r>
    </w:p>
    <w:p>
      <w:pPr>
        <w:spacing w:after="120" w:before="120"/>
      </w:pPr>
    </w:p>
    <w:p>
      <w:pPr>
        <w:pStyle w:val="Heading2"/>
      </w:pPr>
      <w:r>
        <w:t xml:space="preserve">B. Max’s KPMG Departure Timeline</w:t>
      </w:r>
    </w:p>
    <w:p>
      <w:pPr>
        <w:spacing w:after="120"/>
      </w:pPr>
      <w:r>
        <w:rPr>
          <w:rFonts w:ascii="Arial" w:cs="Arial" w:eastAsia="Arial" w:hAnsi="Arial"/>
          <w:color w:val="333333"/>
          <w:sz w:val="22"/>
          <w:szCs w:val="22"/>
        </w:rPr>
        <w:t xml:space="preserve">The notes reference reflecting on “if/when we go all-in” but do not specify a target date for Max to give notice. The entire pipeline, LOI targets, and fundraise timeline depend on when Max goes full-time. Key questions: Is there a garden leave period? Can Max do warm introductions while still at KPMG, or does that create risk? What’s the minimum viable commitment if Max isn’t ready to leave immediately?</w:t>
      </w:r>
    </w:p>
    <w:p>
      <w:pPr>
        <w:spacing w:after="120" w:before="120"/>
      </w:pPr>
    </w:p>
    <w:p>
      <w:pPr>
        <w:pStyle w:val="Heading2"/>
      </w:pPr>
      <w:r>
        <w:t xml:space="preserve">C. Pricing Strategy</w:t>
      </w:r>
    </w:p>
    <w:p>
      <w:pPr>
        <w:spacing w:after="120"/>
      </w:pPr>
      <w:r>
        <w:rPr>
          <w:rFonts w:ascii="Arial" w:cs="Arial" w:eastAsia="Arial" w:hAnsi="Arial"/>
          <w:color w:val="333333"/>
          <w:sz w:val="22"/>
          <w:szCs w:val="22"/>
        </w:rPr>
        <w:t xml:space="preserve">The call discussed modules and positioning but the notes don’t capture agreement on pricing. At $150K–$300K per account (vs. KPMG’s $800K–$1.2M), the team has a strong value proposition. But the first 2–3 deals may need “design partner” pricing at $100K–$125K to get early adopters who become reference clients. This pricing framework should be aligned before the first pitch on May 7.</w:t>
      </w:r>
    </w:p>
    <w:p>
      <w:pPr>
        <w:spacing w:after="120" w:before="120"/>
      </w:pPr>
    </w:p>
    <w:p>
      <w:pPr>
        <w:pStyle w:val="Heading2"/>
      </w:pPr>
      <w:r>
        <w:t xml:space="preserve">D. Auditor Relationship Strategy</w:t>
      </w:r>
    </w:p>
    <w:p>
      <w:pPr>
        <w:spacing w:after="120"/>
      </w:pPr>
      <w:r>
        <w:rPr>
          <w:rFonts w:ascii="Arial" w:cs="Arial" w:eastAsia="Arial" w:hAnsi="Arial"/>
          <w:color w:val="333333"/>
          <w:sz w:val="22"/>
          <w:szCs w:val="22"/>
        </w:rPr>
        <w:t xml:space="preserve">Fortune 500 clients have external auditors (usually Big 4) who must be comfortable with how the tool generates disclosures, because they sign off on the 10-K. If a client’s EY or Deloitte audit team says “we’re not comfortable relying on output from an unproven vendor,” the client drops you. Building auditor comfort — ideally before deals close — should be part of the sales strategy.</w:t>
      </w:r>
    </w:p>
    <w:p>
      <w:pPr>
        <w:spacing w:after="120" w:before="120"/>
      </w:pPr>
    </w:p>
    <w:p>
      <w:r>
        <w:br w:type="page"/>
      </w:r>
    </w:p>
    <w:p>
      <w:pPr>
        <w:pBdr>
          <w:bottom w:val="single" w:color="2E75B6" w:sz="6" w:space="8"/>
        </w:pBdr>
        <w:spacing w:after="200"/>
      </w:pPr>
      <w:r>
        <w:rPr>
          <w:rFonts w:ascii="Arial" w:cs="Arial" w:eastAsia="Arial" w:hAnsi="Arial"/>
          <w:b/>
          <w:bCs/>
          <w:color w:val="1B2A4A"/>
          <w:sz w:val="32"/>
          <w:szCs w:val="32"/>
        </w:rPr>
        <w:t xml:space="preserve">CONSOLIDATED ACTION ITEMS</w:t>
      </w:r>
    </w:p>
    <w:p>
      <w:pPr>
        <w:spacing w:after="120" w:before="120"/>
      </w:pPr>
    </w:p>
    <w:p>
      <w:pPr>
        <w:pStyle w:val="Heading2"/>
      </w:pPr>
      <w:r>
        <w:t xml:space="preserve">This Weekend (Apr 12–13)</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Launch white-background website version and share with Max for review </w:t>
      </w:r>
      <w:r>
        <w:rPr>
          <w:rFonts w:ascii="Arial" w:cs="Arial" w:eastAsia="Arial" w:hAnsi="Arial"/>
          <w:i/>
          <w:iCs/>
          <w:color w:val="666666"/>
          <w:sz w:val="20"/>
          <w:szCs w:val="20"/>
        </w:rPr>
        <w:t xml:space="preserve">(Owner: Ujjwal + Evan)</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Ujjwal deep-dive study of the FASB trinity (DISE, ASU 2023-09, ASC 842) </w:t>
      </w:r>
      <w:r>
        <w:rPr>
          <w:rFonts w:ascii="Arial" w:cs="Arial" w:eastAsia="Arial" w:hAnsi="Arial"/>
          <w:i/>
          <w:iCs/>
          <w:color w:val="666666"/>
          <w:sz w:val="20"/>
          <w:szCs w:val="20"/>
        </w:rPr>
        <w:t xml:space="preserve">(Owner: Ujjwal)</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Max to share any remaining compliance materials and brand design references </w:t>
      </w:r>
      <w:r>
        <w:rPr>
          <w:rFonts w:ascii="Arial" w:cs="Arial" w:eastAsia="Arial" w:hAnsi="Arial"/>
          <w:i/>
          <w:iCs/>
          <w:color w:val="666666"/>
          <w:sz w:val="20"/>
          <w:szCs w:val="20"/>
        </w:rPr>
        <w:t xml:space="preserve">(Owner: Max)</w:t>
      </w:r>
    </w:p>
    <w:p>
      <w:pPr>
        <w:spacing w:after="120" w:before="120"/>
      </w:pPr>
    </w:p>
    <w:p>
      <w:pPr>
        <w:pStyle w:val="Heading2"/>
      </w:pPr>
      <w:r>
        <w:t xml:space="preserve">Week of Apr 13–17</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3rd module (segment reporting) live in production </w:t>
      </w:r>
      <w:r>
        <w:rPr>
          <w:rFonts w:ascii="Arial" w:cs="Arial" w:eastAsia="Arial" w:hAnsi="Arial"/>
          <w:i/>
          <w:iCs/>
          <w:color w:val="666666"/>
          <w:sz w:val="20"/>
          <w:szCs w:val="20"/>
        </w:rPr>
        <w:t xml:space="preserve">(Owner: Ujjwal)</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Polished landing page + clean application UI transition complete </w:t>
      </w:r>
      <w:r>
        <w:rPr>
          <w:rFonts w:ascii="Arial" w:cs="Arial" w:eastAsia="Arial" w:hAnsi="Arial"/>
          <w:i/>
          <w:iCs/>
          <w:color w:val="666666"/>
          <w:sz w:val="20"/>
          <w:szCs w:val="20"/>
        </w:rPr>
        <w:t xml:space="preserve">(Owner: Ujjwal + Evan)</w:t>
      </w:r>
    </w:p>
    <w:p>
      <w:pPr>
        <w:spacing w:after="80"/>
      </w:pPr>
      <w:r>
        <w:rPr>
          <w:rFonts w:ascii="Arial" w:cs="Arial" w:eastAsia="Arial" w:hAnsi="Arial"/>
          <w:b/>
          <w:bCs/>
          <w:color w:val="C0392B"/>
          <w:sz w:val="20"/>
          <w:szCs w:val="20"/>
        </w:rPr>
        <w:t xml:space="preserve">[CRITICAL] </w:t>
      </w:r>
      <w:r>
        <w:rPr>
          <w:rFonts w:ascii="Arial" w:cs="Arial" w:eastAsia="Arial" w:hAnsi="Arial"/>
          <w:color w:val="333333"/>
          <w:sz w:val="20"/>
          <w:szCs w:val="20"/>
        </w:rPr>
        <w:t xml:space="preserve">Max to review and provide non-compete / non-solicit clause language from KPMG employment agreement </w:t>
      </w:r>
      <w:r>
        <w:rPr>
          <w:rFonts w:ascii="Arial" w:cs="Arial" w:eastAsia="Arial" w:hAnsi="Arial"/>
          <w:i/>
          <w:iCs/>
          <w:color w:val="666666"/>
          <w:sz w:val="20"/>
          <w:szCs w:val="20"/>
        </w:rPr>
        <w:t xml:space="preserve">(Owner: Max)</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Select SOC 2 compliance automation platform (Vanta / Drata / Secureframe) </w:t>
      </w:r>
      <w:r>
        <w:rPr>
          <w:rFonts w:ascii="Arial" w:cs="Arial" w:eastAsia="Arial" w:hAnsi="Arial"/>
          <w:i/>
          <w:iCs/>
          <w:color w:val="666666"/>
          <w:sz w:val="20"/>
          <w:szCs w:val="20"/>
        </w:rPr>
        <w:t xml:space="preserve">(Owner: Evan)</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Brief Alex at Erah Capital on Max joining as co-founder; begin CIM revision </w:t>
      </w:r>
      <w:r>
        <w:rPr>
          <w:rFonts w:ascii="Arial" w:cs="Arial" w:eastAsia="Arial" w:hAnsi="Arial"/>
          <w:i/>
          <w:iCs/>
          <w:color w:val="666666"/>
          <w:sz w:val="20"/>
          <w:szCs w:val="20"/>
        </w:rPr>
        <w:t xml:space="preserve">(Owner: Evan)</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Refine product positioning around “GL-to-Disclosure Pipeline” narrative per Max’s framework </w:t>
      </w:r>
      <w:r>
        <w:rPr>
          <w:rFonts w:ascii="Arial" w:cs="Arial" w:eastAsia="Arial" w:hAnsi="Arial"/>
          <w:i/>
          <w:iCs/>
          <w:color w:val="666666"/>
          <w:sz w:val="20"/>
          <w:szCs w:val="20"/>
        </w:rPr>
        <w:t xml:space="preserve">(Owner: Evan + Ujjwal)</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Scope AI narrative drafter as fast-close entry product ($30K–60K tier) </w:t>
      </w:r>
      <w:r>
        <w:rPr>
          <w:rFonts w:ascii="Arial" w:cs="Arial" w:eastAsia="Arial" w:hAnsi="Arial"/>
          <w:i/>
          <w:iCs/>
          <w:color w:val="666666"/>
          <w:sz w:val="20"/>
          <w:szCs w:val="20"/>
        </w:rPr>
        <w:t xml:space="preserve">(Owner: Ujjwal)</w:t>
      </w:r>
    </w:p>
    <w:p>
      <w:pPr>
        <w:spacing w:after="120" w:before="120"/>
      </w:pPr>
    </w:p>
    <w:p>
      <w:pPr>
        <w:pStyle w:val="Heading2"/>
      </w:pPr>
      <w:r>
        <w:t xml:space="preserve">Apr 18 (Saturday Call)</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Review website + app improvements; identify remaining gaps </w:t>
      </w:r>
      <w:r>
        <w:rPr>
          <w:rFonts w:ascii="Arial" w:cs="Arial" w:eastAsia="Arial" w:hAnsi="Arial"/>
          <w:i/>
          <w:iCs/>
          <w:color w:val="666666"/>
          <w:sz w:val="20"/>
          <w:szCs w:val="20"/>
        </w:rPr>
        <w:t xml:space="preserve">(Owner: All)</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Align on initial pitch targets and decide if ready for first pitch date </w:t>
      </w:r>
      <w:r>
        <w:rPr>
          <w:rFonts w:ascii="Arial" w:cs="Arial" w:eastAsia="Arial" w:hAnsi="Arial"/>
          <w:i/>
          <w:iCs/>
          <w:color w:val="666666"/>
          <w:sz w:val="20"/>
          <w:szCs w:val="20"/>
        </w:rPr>
        <w:t xml:space="preserve">(Owner: All)</w:t>
      </w:r>
    </w:p>
    <w:p>
      <w:pPr>
        <w:spacing w:after="80"/>
      </w:pPr>
      <w:r>
        <w:rPr>
          <w:rFonts w:ascii="Arial" w:cs="Arial" w:eastAsia="Arial" w:hAnsi="Arial"/>
          <w:b/>
          <w:bCs/>
          <w:color w:val="C0392B"/>
          <w:sz w:val="20"/>
          <w:szCs w:val="20"/>
        </w:rPr>
        <w:t xml:space="preserve">[CRITICAL] </w:t>
      </w:r>
      <w:r>
        <w:rPr>
          <w:rFonts w:ascii="Arial" w:cs="Arial" w:eastAsia="Arial" w:hAnsi="Arial"/>
          <w:color w:val="333333"/>
          <w:sz w:val="20"/>
          <w:szCs w:val="20"/>
        </w:rPr>
        <w:t xml:space="preserve">Discuss Max’s KPMG legal situation and departure timeline </w:t>
      </w:r>
      <w:r>
        <w:rPr>
          <w:rFonts w:ascii="Arial" w:cs="Arial" w:eastAsia="Arial" w:hAnsi="Arial"/>
          <w:i/>
          <w:iCs/>
          <w:color w:val="666666"/>
          <w:sz w:val="20"/>
          <w:szCs w:val="20"/>
        </w:rPr>
        <w:t xml:space="preserve">(Owner: All)</w:t>
      </w:r>
    </w:p>
    <w:p>
      <w:pPr>
        <w:spacing w:after="80"/>
      </w:pPr>
      <w:r>
        <w:rPr>
          <w:rFonts w:ascii="Arial" w:cs="Arial" w:eastAsia="Arial" w:hAnsi="Arial"/>
          <w:b/>
          <w:bCs/>
          <w:color w:val="C0392B"/>
          <w:sz w:val="20"/>
          <w:szCs w:val="20"/>
        </w:rPr>
        <w:t xml:space="preserve">[CRITICAL] </w:t>
      </w:r>
      <w:r>
        <w:rPr>
          <w:rFonts w:ascii="Arial" w:cs="Arial" w:eastAsia="Arial" w:hAnsi="Arial"/>
          <w:color w:val="333333"/>
          <w:sz w:val="20"/>
          <w:szCs w:val="20"/>
        </w:rPr>
        <w:t xml:space="preserve">Discuss equity framework proposal (performance-based milestones) </w:t>
      </w:r>
      <w:r>
        <w:rPr>
          <w:rFonts w:ascii="Arial" w:cs="Arial" w:eastAsia="Arial" w:hAnsi="Arial"/>
          <w:i/>
          <w:iCs/>
          <w:color w:val="666666"/>
          <w:sz w:val="20"/>
          <w:szCs w:val="20"/>
        </w:rPr>
        <w:t xml:space="preserve">(Owner: All)</w:t>
      </w:r>
    </w:p>
    <w:p>
      <w:pPr>
        <w:spacing w:after="120" w:before="120"/>
      </w:pPr>
    </w:p>
    <w:p>
      <w:pPr>
        <w:pStyle w:val="Heading2"/>
      </w:pPr>
      <w:r>
        <w:t xml:space="preserve">Apr 21–24 (Vegas)</w:t>
      </w:r>
    </w:p>
    <w:p>
      <w:pPr>
        <w:spacing w:after="80"/>
      </w:pPr>
      <w:r>
        <w:rPr>
          <w:rFonts w:ascii="Arial" w:cs="Arial" w:eastAsia="Arial" w:hAnsi="Arial"/>
          <w:b/>
          <w:bCs/>
          <w:color w:val="C0392B"/>
          <w:sz w:val="20"/>
          <w:szCs w:val="20"/>
        </w:rPr>
        <w:t xml:space="preserve">[CRITICAL] </w:t>
      </w:r>
      <w:r>
        <w:rPr>
          <w:rFonts w:ascii="Arial" w:cs="Arial" w:eastAsia="Arial" w:hAnsi="Arial"/>
          <w:color w:val="333333"/>
          <w:sz w:val="20"/>
          <w:szCs w:val="20"/>
        </w:rPr>
        <w:t xml:space="preserve">Sign operating agreement / founder shareholder agreement </w:t>
      </w:r>
      <w:r>
        <w:rPr>
          <w:rFonts w:ascii="Arial" w:cs="Arial" w:eastAsia="Arial" w:hAnsi="Arial"/>
          <w:i/>
          <w:iCs/>
          <w:color w:val="666666"/>
          <w:sz w:val="20"/>
          <w:szCs w:val="20"/>
        </w:rPr>
        <w:t xml:space="preserve">(Owner: All)</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Align on pricing strategy ($100K–$125K design partner vs. $150K–$300K standard) </w:t>
      </w:r>
      <w:r>
        <w:rPr>
          <w:rFonts w:ascii="Arial" w:cs="Arial" w:eastAsia="Arial" w:hAnsi="Arial"/>
          <w:i/>
          <w:iCs/>
          <w:color w:val="666666"/>
          <w:sz w:val="20"/>
          <w:szCs w:val="20"/>
        </w:rPr>
        <w:t xml:space="preserve">(Owner: All)</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Finalize pitch deck and demo flow for May 7 target </w:t>
      </w:r>
      <w:r>
        <w:rPr>
          <w:rFonts w:ascii="Arial" w:cs="Arial" w:eastAsia="Arial" w:hAnsi="Arial"/>
          <w:i/>
          <w:iCs/>
          <w:color w:val="666666"/>
          <w:sz w:val="20"/>
          <w:szCs w:val="20"/>
        </w:rPr>
        <w:t xml:space="preserve">(Owner: All)</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Evan to speak with CPA contact re: becoming a module user/tester </w:t>
      </w:r>
      <w:r>
        <w:rPr>
          <w:rFonts w:ascii="Arial" w:cs="Arial" w:eastAsia="Arial" w:hAnsi="Arial"/>
          <w:i/>
          <w:iCs/>
          <w:color w:val="666666"/>
          <w:sz w:val="20"/>
          <w:szCs w:val="20"/>
        </w:rPr>
        <w:t xml:space="preserve">(Owner: Evan)</w:t>
      </w:r>
    </w:p>
    <w:p>
      <w:pPr>
        <w:spacing w:after="120" w:before="120"/>
      </w:pPr>
    </w:p>
    <w:p>
      <w:pPr>
        <w:pStyle w:val="Heading2"/>
      </w:pPr>
      <w:r>
        <w:t xml:space="preserve">Apr 25 – May 7 (Pre-Pitch Sprint)</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Obsessive pitch and demo rehearsals — convince Max first </w:t>
      </w:r>
      <w:r>
        <w:rPr>
          <w:rFonts w:ascii="Arial" w:cs="Arial" w:eastAsia="Arial" w:hAnsi="Arial"/>
          <w:i/>
          <w:iCs/>
          <w:color w:val="666666"/>
          <w:sz w:val="20"/>
          <w:szCs w:val="20"/>
        </w:rPr>
        <w:t xml:space="preserve">(Owner: All)</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Anticipate and prepare answers for likely prospect questions </w:t>
      </w:r>
      <w:r>
        <w:rPr>
          <w:rFonts w:ascii="Arial" w:cs="Arial" w:eastAsia="Arial" w:hAnsi="Arial"/>
          <w:i/>
          <w:iCs/>
          <w:color w:val="666666"/>
          <w:sz w:val="20"/>
          <w:szCs w:val="20"/>
        </w:rPr>
        <w:t xml:space="preserve">(Owner: All)</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First third-party pitch (May 7) </w:t>
      </w:r>
      <w:r>
        <w:rPr>
          <w:rFonts w:ascii="Arial" w:cs="Arial" w:eastAsia="Arial" w:hAnsi="Arial"/>
          <w:i/>
          <w:iCs/>
          <w:color w:val="666666"/>
          <w:sz w:val="20"/>
          <w:szCs w:val="20"/>
        </w:rPr>
        <w:t xml:space="preserve">(Owner: Evan + Ujjwal (+ Max if available))</w:t>
      </w:r>
    </w:p>
    <w:p>
      <w:pPr>
        <w:spacing w:after="120" w:before="120"/>
      </w:pPr>
    </w:p>
    <w:p>
      <w:pPr>
        <w:pStyle w:val="Heading2"/>
      </w:pPr>
      <w:r>
        <w:t xml:space="preserve">May – June</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Pursue first LOI from early prospect </w:t>
      </w:r>
      <w:r>
        <w:rPr>
          <w:rFonts w:ascii="Arial" w:cs="Arial" w:eastAsia="Arial" w:hAnsi="Arial"/>
          <w:i/>
          <w:iCs/>
          <w:color w:val="666666"/>
          <w:sz w:val="20"/>
          <w:szCs w:val="20"/>
        </w:rPr>
        <w:t xml:space="preserve">(Owner: Max + Evan)</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Investor meetings via Erah Capital + existing client introductions </w:t>
      </w:r>
      <w:r>
        <w:rPr>
          <w:rFonts w:ascii="Arial" w:cs="Arial" w:eastAsia="Arial" w:hAnsi="Arial"/>
          <w:i/>
          <w:iCs/>
          <w:color w:val="666666"/>
          <w:sz w:val="20"/>
          <w:szCs w:val="20"/>
        </w:rPr>
        <w:t xml:space="preserve">(Owner: Evan)</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Commence SOC 2 audit (target: June 1 at latest) </w:t>
      </w:r>
      <w:r>
        <w:rPr>
          <w:rFonts w:ascii="Arial" w:cs="Arial" w:eastAsia="Arial" w:hAnsi="Arial"/>
          <w:i/>
          <w:iCs/>
          <w:color w:val="666666"/>
          <w:sz w:val="20"/>
          <w:szCs w:val="20"/>
        </w:rPr>
        <w:t xml:space="preserve">(Owner: Evan)</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Hire India-based GTM support person to shadow Max </w:t>
      </w:r>
      <w:r>
        <w:rPr>
          <w:rFonts w:ascii="Arial" w:cs="Arial" w:eastAsia="Arial" w:hAnsi="Arial"/>
          <w:i/>
          <w:iCs/>
          <w:color w:val="666666"/>
          <w:sz w:val="20"/>
          <w:szCs w:val="20"/>
        </w:rPr>
        <w:t xml:space="preserve">(Owner: Evan + Max)</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Updated CIM reflecting 3-founder team + DISE vertical to investors </w:t>
      </w:r>
      <w:r>
        <w:rPr>
          <w:rFonts w:ascii="Arial" w:cs="Arial" w:eastAsia="Arial" w:hAnsi="Arial"/>
          <w:i/>
          <w:iCs/>
          <w:color w:val="666666"/>
          <w:sz w:val="20"/>
          <w:szCs w:val="20"/>
        </w:rPr>
        <w:t xml:space="preserve">(Owner: Evan + Alex (Erah))</w:t>
      </w:r>
    </w:p>
    <w:p>
      <w:pPr>
        <w:spacing w:after="80"/>
      </w:pPr>
      <w:r>
        <w:rPr>
          <w:rFonts w:ascii="Arial" w:cs="Arial" w:eastAsia="Arial" w:hAnsi="Arial"/>
          <w:b/>
          <w:bCs/>
          <w:color w:val="E67E22"/>
          <w:sz w:val="20"/>
          <w:szCs w:val="20"/>
        </w:rPr>
        <w:t xml:space="preserve">[HIGH] </w:t>
      </w:r>
      <w:r>
        <w:rPr>
          <w:rFonts w:ascii="Arial" w:cs="Arial" w:eastAsia="Arial" w:hAnsi="Arial"/>
          <w:color w:val="333333"/>
          <w:sz w:val="20"/>
          <w:szCs w:val="20"/>
        </w:rPr>
        <w:t xml:space="preserve">Engage fractional CPA advisor (ex-Big 4 senior manager) for product validation and sales support </w:t>
      </w:r>
      <w:r>
        <w:rPr>
          <w:rFonts w:ascii="Arial" w:cs="Arial" w:eastAsia="Arial" w:hAnsi="Arial"/>
          <w:i/>
          <w:iCs/>
          <w:color w:val="666666"/>
          <w:sz w:val="20"/>
          <w:szCs w:val="20"/>
        </w:rPr>
        <w:t xml:space="preserve">(Owner: Evan + Max)</w:t>
      </w:r>
    </w:p>
    <w:p>
      <w:pPr>
        <w:spacing w:after="300" w:before="300"/>
      </w:pPr>
    </w:p>
    <w:p>
      <w:pPr>
        <w:pBdr>
          <w:top w:val="single" w:color="CCCCCC" w:sz="2" w:space="8"/>
        </w:pBdr>
        <w:spacing w:before="200"/>
      </w:pPr>
      <w:r>
        <w:rPr>
          <w:rFonts w:ascii="Arial" w:cs="Arial" w:eastAsia="Arial" w:hAnsi="Arial"/>
          <w:i/>
          <w:iCs/>
          <w:color w:val="666666"/>
          <w:sz w:val="16"/>
          <w:szCs w:val="16"/>
        </w:rPr>
        <w:t xml:space="preserve">Prepared: April 12, 2026  |  Distribution: Evan Winter, Ujjwal Gupta, Max Robasson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Truffles AI LLC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Arial" w:cs="Arial" w:eastAsia="Arial" w:hAnsi="Arial"/>
        <w:color w:val="666666"/>
        <w:sz w:val="16"/>
        <w:szCs w:val="16"/>
      </w:rPr>
      <w:t xml:space="preserve">TRUFFLES AI  |  CONFIDENTIAL</w:t>
    </w:r>
    <w:r>
      <w:rPr>
        <w:rFonts w:ascii="Arial" w:cs="Arial" w:eastAsia="Arial" w:hAnsi="Arial"/>
        <w:color w:val="666666"/>
        <w:sz w:val="16"/>
        <w:szCs w:val="16"/>
      </w:rPr>
      <w:t xml:space="preserve">	Founder Call Notes — April 11,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2026-04-12T08:27:13.494Z</dcterms:created>
  <dcterms:modified xsi:type="dcterms:W3CDTF">2026-04-12T08:27:13.494Z</dcterms:modified>
</cp:coreProperties>
</file>

<file path=docProps/custom.xml><?xml version="1.0" encoding="utf-8"?>
<Properties xmlns="http://schemas.openxmlformats.org/officeDocument/2006/custom-properties" xmlns:vt="http://schemas.openxmlformats.org/officeDocument/2006/docPropsVTypes"/>
</file>