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pPr>
      <w:r>
        <w:rPr>
          <w:rFonts w:ascii="Arial" w:cs="Arial" w:eastAsia="Arial" w:hAnsi="Arial"/>
          <w:b/>
          <w:bCs/>
          <w:color w:val="1A4E8C"/>
          <w:sz w:val="60"/>
          <w:szCs w:val="60"/>
        </w:rPr>
        <w:t xml:space="preserve">Hakim Arezki</w:t>
      </w:r>
    </w:p>
    <w:p>
      <w:pPr>
        <w:spacing w:after="40" w:before="0"/>
      </w:pPr>
      <w:r>
        <w:rPr>
          <w:rFonts w:ascii="Arial" w:cs="Arial" w:eastAsia="Arial" w:hAnsi="Arial"/>
          <w:color w:val="5A5A5A"/>
          <w:sz w:val="23"/>
          <w:szCs w:val="23"/>
        </w:rPr>
        <w:t xml:space="preserve">Lead Data Engineer · Tech Lead Big Data · Ph.D. · 14 ans d'expérience</w:t>
      </w:r>
    </w:p>
    <w:p>
      <w:pPr>
        <w:spacing w:after="120" w:before="0"/>
      </w:pPr>
      <w:r>
        <w:rPr>
          <w:rFonts w:ascii="Arial" w:cs="Arial" w:eastAsia="Arial" w:hAnsi="Arial"/>
          <w:color w:val="5A5A5A"/>
          <w:sz w:val="19"/>
          <w:szCs w:val="19"/>
        </w:rPr>
        <w:t xml:space="preserve">📞 0633661248</w:t>
      </w:r>
      <w:r>
        <w:rPr>
          <w:rFonts w:ascii="Arial" w:cs="Arial" w:eastAsia="Arial" w:hAnsi="Arial"/>
          <w:color w:val="5A5A5A"/>
          <w:sz w:val="19"/>
          <w:szCs w:val="19"/>
        </w:rPr>
        <w:t xml:space="preserve">   |   📧 harezki@kiras.fr</w:t>
      </w:r>
      <w:r>
        <w:rPr>
          <w:rFonts w:ascii="Arial" w:cs="Arial" w:eastAsia="Arial" w:hAnsi="Arial"/>
          <w:color w:val="5A5A5A"/>
          <w:sz w:val="19"/>
          <w:szCs w:val="19"/>
        </w:rPr>
        <w:t xml:space="preserve">   |   🔗 linkedin.com/in/hakim-arezki</w:t>
      </w:r>
    </w:p>
    <w:p>
      <w:pPr>
        <w:pBdr>
          <w:bottom w:val="single" w:color="1A4E8C" w:sz="10" w:space="4"/>
        </w:pBdr>
        <w:spacing w:after="100" w:before="320"/>
      </w:pPr>
      <w:r>
        <w:rPr>
          <w:rFonts w:ascii="Arial" w:cs="Arial" w:eastAsia="Arial" w:hAnsi="Arial"/>
          <w:b/>
          <w:bCs/>
          <w:color w:val="1A4E8C"/>
          <w:spacing w:val="40"/>
          <w:sz w:val="24"/>
          <w:szCs w:val="24"/>
        </w:rPr>
        <w:t xml:space="preserve">PROFIL</w:t>
      </w:r>
    </w:p>
    <w:p>
      <w:pPr>
        <w:spacing w:after="60" w:before="80"/>
        <w:jc w:val="both"/>
      </w:pPr>
      <w:r>
        <w:rPr>
          <w:rFonts w:ascii="Arial" w:cs="Arial" w:eastAsia="Arial" w:hAnsi="Arial"/>
          <w:color w:val="1C1C1C"/>
          <w:sz w:val="20"/>
          <w:szCs w:val="20"/>
        </w:rPr>
        <w:t xml:space="preserve">Depuis plus de 14 ans, j'interviens comme Tech Lead et Lead Data Engineer auprès de grandes organisations — TotalEnergies, RATP, BPCE, BIL Luxembourg — avec un fil directeur constant : transformer des données complexes en valeur opérationnelle fiable, à grande échelle.</w:t>
      </w:r>
    </w:p>
    <w:p>
      <w:pPr>
        <w:spacing w:after="60" w:before="0"/>
        <w:jc w:val="both"/>
      </w:pPr>
      <w:r>
        <w:rPr>
          <w:rFonts w:ascii="Arial" w:cs="Arial" w:eastAsia="Arial" w:hAnsi="Arial"/>
          <w:color w:val="1C1C1C"/>
          <w:sz w:val="20"/>
          <w:szCs w:val="20"/>
        </w:rPr>
        <w:t xml:space="preserve">Ce qui me caractérise, c'est une capacité à couvrir l'ensemble du spectre data : de la conception des architectures cibles (Data Lake, Data Warehouse, Data Mesh) à l'industrialisation des pipelines ETL/ELT, en passant par la gouvernance, la qualité des données, le DataOps et l'encadrement des équipes. Je suis à l'aise autant dans la discussion stratégique avec les DSI et les métiers que dans les revues de code avec les data engineers.</w:t>
      </w:r>
    </w:p>
    <w:p>
      <w:pPr>
        <w:spacing w:after="80" w:before="0"/>
        <w:jc w:val="both"/>
      </w:pPr>
      <w:r>
        <w:rPr>
          <w:rFonts w:ascii="Arial" w:cs="Arial" w:eastAsia="Arial" w:hAnsi="Arial"/>
          <w:color w:val="1C1C1C"/>
          <w:sz w:val="20"/>
          <w:szCs w:val="20"/>
        </w:rPr>
        <w:t xml:space="preserve">GCP et Snowflake constituent aujourd'hui l'essentiel de mon terrain de jeu cloud. J'ai également mené des projets de migration de flux SAS vers des solutions modernes, et j'apporte une sensibilité forte à l'observabilité, au data lineage et aux standards de qualité — des sujets que je considère non négociables en production.</w:t>
      </w:r>
    </w:p>
    <w:p>
      <w:pPr>
        <w:pBdr>
          <w:bottom w:val="single" w:color="1A4E8C" w:sz="10" w:space="4"/>
        </w:pBdr>
        <w:spacing w:after="100" w:before="320"/>
      </w:pPr>
      <w:r>
        <w:rPr>
          <w:rFonts w:ascii="Arial" w:cs="Arial" w:eastAsia="Arial" w:hAnsi="Arial"/>
          <w:b/>
          <w:bCs/>
          <w:color w:val="1A4E8C"/>
          <w:spacing w:val="40"/>
          <w:sz w:val="24"/>
          <w:szCs w:val="24"/>
        </w:rPr>
        <w:t xml:space="preserve">COMPÉTENCES CLÉS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BF2FA" w:val="clear"/>
            <w:tcMar>
              <w:top w:type="dxa" w:w="70"/>
              <w:left w:type="dxa" w:w="110"/>
              <w:bottom w:type="dxa" w:w="70"/>
              <w:right w:type="dxa" w:w="110"/>
            </w:tcMar>
          </w:tcPr>
          <w:p>
            <w:pPr>
              <w:jc w:val="center"/>
            </w:pPr>
            <w:r>
              <w:rPr>
                <w:rFonts w:ascii="Arial" w:cs="Arial" w:eastAsia="Arial" w:hAnsi="Arial"/>
                <w:b/>
                <w:bCs/>
                <w:color w:val="1A4E8C"/>
                <w:sz w:val="17"/>
                <w:szCs w:val="17"/>
              </w:rPr>
              <w:t xml:space="preserve">Pipelines ETL/ELT &amp; orchestration</w:t>
            </w:r>
          </w:p>
        </w:tc>
        <w:tc>
          <w:tcPr>
            <w:tcW w:type="dxa" w:w="3120"/>
            <w:tcBorders>
              <w:top w:val="none" w:color="FFFFFF" w:sz="0"/>
              <w:left w:val="none" w:color="FFFFFF" w:sz="0"/>
              <w:bottom w:val="none" w:color="FFFFFF" w:sz="0"/>
              <w:right w:val="none" w:color="FFFFFF" w:sz="0"/>
            </w:tcBorders>
            <w:shd w:fill="EBF2FA" w:val="clear"/>
            <w:tcMar>
              <w:top w:type="dxa" w:w="70"/>
              <w:left w:type="dxa" w:w="110"/>
              <w:bottom w:type="dxa" w:w="70"/>
              <w:right w:type="dxa" w:w="110"/>
            </w:tcMar>
          </w:tcPr>
          <w:p>
            <w:pPr>
              <w:jc w:val="center"/>
            </w:pPr>
            <w:r>
              <w:rPr>
                <w:rFonts w:ascii="Arial" w:cs="Arial" w:eastAsia="Arial" w:hAnsi="Arial"/>
                <w:b/>
                <w:bCs/>
                <w:color w:val="1A4E8C"/>
                <w:sz w:val="17"/>
                <w:szCs w:val="17"/>
              </w:rPr>
              <w:t xml:space="preserve">GCP · BigQuery · Snowflake</w:t>
            </w:r>
          </w:p>
        </w:tc>
        <w:tc>
          <w:tcPr>
            <w:tcW w:type="dxa" w:w="3120"/>
            <w:tcBorders>
              <w:top w:val="none" w:color="FFFFFF" w:sz="0"/>
              <w:left w:val="none" w:color="FFFFFF" w:sz="0"/>
              <w:bottom w:val="none" w:color="FFFFFF" w:sz="0"/>
              <w:right w:val="none" w:color="FFFFFF" w:sz="0"/>
            </w:tcBorders>
            <w:shd w:fill="EBF2FA" w:val="clear"/>
            <w:tcMar>
              <w:top w:type="dxa" w:w="70"/>
              <w:left w:type="dxa" w:w="110"/>
              <w:bottom w:type="dxa" w:w="70"/>
              <w:right w:type="dxa" w:w="110"/>
            </w:tcMar>
          </w:tcPr>
          <w:p>
            <w:pPr>
              <w:jc w:val="center"/>
            </w:pPr>
            <w:r>
              <w:rPr>
                <w:rFonts w:ascii="Arial" w:cs="Arial" w:eastAsia="Arial" w:hAnsi="Arial"/>
                <w:b/>
                <w:bCs/>
                <w:color w:val="1A4E8C"/>
                <w:sz w:val="17"/>
                <w:szCs w:val="17"/>
              </w:rPr>
              <w:t xml:space="preserve">CI/CD · DataOps · Observabilité</w:t>
            </w:r>
          </w:p>
        </w:tc>
      </w:tr>
    </w:tbl>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BF2FA" w:val="clear"/>
            <w:tcMar>
              <w:top w:type="dxa" w:w="70"/>
              <w:left w:type="dxa" w:w="110"/>
              <w:bottom w:type="dxa" w:w="70"/>
              <w:right w:type="dxa" w:w="110"/>
            </w:tcMar>
          </w:tcPr>
          <w:p>
            <w:pPr>
              <w:jc w:val="center"/>
            </w:pPr>
            <w:r>
              <w:rPr>
                <w:rFonts w:ascii="Arial" w:cs="Arial" w:eastAsia="Arial" w:hAnsi="Arial"/>
                <w:b/>
                <w:bCs/>
                <w:color w:val="1A4E8C"/>
                <w:sz w:val="17"/>
                <w:szCs w:val="17"/>
              </w:rPr>
              <w:t xml:space="preserve">Gouvernance &amp; Data Lineage</w:t>
            </w:r>
          </w:p>
        </w:tc>
        <w:tc>
          <w:tcPr>
            <w:tcW w:type="dxa" w:w="3120"/>
            <w:tcBorders>
              <w:top w:val="none" w:color="FFFFFF" w:sz="0"/>
              <w:left w:val="none" w:color="FFFFFF" w:sz="0"/>
              <w:bottom w:val="none" w:color="FFFFFF" w:sz="0"/>
              <w:right w:val="none" w:color="FFFFFF" w:sz="0"/>
            </w:tcBorders>
            <w:shd w:fill="EBF2FA" w:val="clear"/>
            <w:tcMar>
              <w:top w:type="dxa" w:w="70"/>
              <w:left w:type="dxa" w:w="110"/>
              <w:bottom w:type="dxa" w:w="70"/>
              <w:right w:type="dxa" w:w="110"/>
            </w:tcMar>
          </w:tcPr>
          <w:p>
            <w:pPr>
              <w:jc w:val="center"/>
            </w:pPr>
            <w:r>
              <w:rPr>
                <w:rFonts w:ascii="Arial" w:cs="Arial" w:eastAsia="Arial" w:hAnsi="Arial"/>
                <w:b/>
                <w:bCs/>
                <w:color w:val="1A4E8C"/>
                <w:sz w:val="17"/>
                <w:szCs w:val="17"/>
              </w:rPr>
              <w:t xml:space="preserve">Migration SAS → Cloud moderne</w:t>
            </w:r>
          </w:p>
        </w:tc>
        <w:tc>
          <w:tcPr>
            <w:tcW w:type="dxa" w:w="3120"/>
            <w:tcBorders>
              <w:top w:val="none" w:color="FFFFFF" w:sz="0"/>
              <w:left w:val="none" w:color="FFFFFF" w:sz="0"/>
              <w:bottom w:val="none" w:color="FFFFFF" w:sz="0"/>
              <w:right w:val="none" w:color="FFFFFF" w:sz="0"/>
            </w:tcBorders>
            <w:shd w:fill="EBF2FA" w:val="clear"/>
            <w:tcMar>
              <w:top w:type="dxa" w:w="70"/>
              <w:left w:type="dxa" w:w="110"/>
              <w:bottom w:type="dxa" w:w="70"/>
              <w:right w:type="dxa" w:w="110"/>
            </w:tcMar>
          </w:tcPr>
          <w:p>
            <w:pPr>
              <w:jc w:val="center"/>
            </w:pPr>
            <w:r>
              <w:rPr>
                <w:rFonts w:ascii="Arial" w:cs="Arial" w:eastAsia="Arial" w:hAnsi="Arial"/>
                <w:b/>
                <w:bCs/>
                <w:color w:val="1A4E8C"/>
                <w:sz w:val="17"/>
                <w:szCs w:val="17"/>
              </w:rPr>
              <w:t xml:space="preserve">Architecture Data (Lake / Mesh / House)</w:t>
            </w:r>
          </w:p>
        </w:tc>
      </w:tr>
    </w:tbl>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BF2FA" w:val="clear"/>
            <w:tcMar>
              <w:top w:type="dxa" w:w="70"/>
              <w:left w:type="dxa" w:w="110"/>
              <w:bottom w:type="dxa" w:w="70"/>
              <w:right w:type="dxa" w:w="110"/>
            </w:tcMar>
          </w:tcPr>
          <w:p>
            <w:pPr>
              <w:jc w:val="center"/>
            </w:pPr>
            <w:r>
              <w:rPr>
                <w:rFonts w:ascii="Arial" w:cs="Arial" w:eastAsia="Arial" w:hAnsi="Arial"/>
                <w:b/>
                <w:bCs/>
                <w:color w:val="1A4E8C"/>
                <w:sz w:val="17"/>
                <w:szCs w:val="17"/>
              </w:rPr>
              <w:t xml:space="preserve">Tech Lead &amp; encadrement équipes</w:t>
            </w:r>
          </w:p>
        </w:tc>
        <w:tc>
          <w:tcPr>
            <w:tcW w:type="dxa" w:w="3120"/>
            <w:tcBorders>
              <w:top w:val="none" w:color="FFFFFF" w:sz="0"/>
              <w:left w:val="none" w:color="FFFFFF" w:sz="0"/>
              <w:bottom w:val="none" w:color="FFFFFF" w:sz="0"/>
              <w:right w:val="none" w:color="FFFFFF" w:sz="0"/>
            </w:tcBorders>
            <w:shd w:fill="EBF2FA" w:val="clear"/>
            <w:tcMar>
              <w:top w:type="dxa" w:w="70"/>
              <w:left w:type="dxa" w:w="110"/>
              <w:bottom w:type="dxa" w:w="70"/>
              <w:right w:type="dxa" w:w="110"/>
            </w:tcMar>
          </w:tcPr>
          <w:p>
            <w:pPr>
              <w:jc w:val="center"/>
            </w:pPr>
            <w:r>
              <w:rPr>
                <w:rFonts w:ascii="Arial" w:cs="Arial" w:eastAsia="Arial" w:hAnsi="Arial"/>
                <w:b/>
                <w:bCs/>
                <w:color w:val="1A4E8C"/>
                <w:sz w:val="17"/>
                <w:szCs w:val="17"/>
              </w:rPr>
              <w:t xml:space="preserve">Qualité &amp; sécurité des données</w:t>
            </w:r>
          </w:p>
        </w:tc>
        <w:tc>
          <w:tcPr>
            <w:tcW w:type="dxa" w:w="3120"/>
            <w:tcBorders>
              <w:top w:val="none" w:color="FFFFFF" w:sz="0"/>
              <w:left w:val="none" w:color="FFFFFF" w:sz="0"/>
              <w:bottom w:val="none" w:color="FFFFFF" w:sz="0"/>
              <w:right w:val="none" w:color="FFFFFF" w:sz="0"/>
            </w:tcBorders>
            <w:shd w:fill="EBF2FA" w:val="clear"/>
            <w:tcMar>
              <w:top w:type="dxa" w:w="70"/>
              <w:left w:type="dxa" w:w="110"/>
              <w:bottom w:type="dxa" w:w="70"/>
              <w:right w:type="dxa" w:w="110"/>
            </w:tcMar>
          </w:tcPr>
          <w:p>
            <w:pPr>
              <w:jc w:val="center"/>
            </w:pPr>
            <w:r>
              <w:rPr>
                <w:rFonts w:ascii="Arial" w:cs="Arial" w:eastAsia="Arial" w:hAnsi="Arial"/>
                <w:b/>
                <w:bCs/>
                <w:color w:val="1A4E8C"/>
                <w:sz w:val="17"/>
                <w:szCs w:val="17"/>
              </w:rPr>
              <w:t xml:space="preserve">IA générative · LLMs · RAG</w:t>
            </w:r>
          </w:p>
        </w:tc>
      </w:tr>
    </w:tbl>
    <w:p>
      <w:pPr>
        <w:spacing w:before="80"/>
      </w:pPr>
    </w:p>
    <w:p>
      <w:pPr>
        <w:pBdr>
          <w:bottom w:val="single" w:color="1A4E8C" w:sz="10" w:space="4"/>
        </w:pBdr>
        <w:spacing w:after="100" w:before="320"/>
      </w:pPr>
      <w:r>
        <w:rPr>
          <w:rFonts w:ascii="Arial" w:cs="Arial" w:eastAsia="Arial" w:hAnsi="Arial"/>
          <w:b/>
          <w:bCs/>
          <w:color w:val="1A4E8C"/>
          <w:spacing w:val="40"/>
          <w:sz w:val="24"/>
          <w:szCs w:val="24"/>
        </w:rPr>
        <w:t xml:space="preserve">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BF2FA" w:val="clear"/>
            <w:tcMar>
              <w:top w:type="dxa" w:w="70"/>
              <w:left w:type="dxa" w:w="100"/>
              <w:bottom w:type="dxa" w:w="70"/>
              <w:right w:type="dxa" w:w="80"/>
            </w:tcMar>
          </w:tcPr>
          <w:p>
            <w:r>
              <w:rPr>
                <w:rFonts w:ascii="Arial" w:cs="Arial" w:eastAsia="Arial" w:hAnsi="Arial"/>
                <w:b/>
                <w:bCs/>
                <w:color w:val="1A4E8C"/>
                <w:sz w:val="18"/>
                <w:szCs w:val="18"/>
              </w:rPr>
              <w:t xml:space="preserve">Cloud &amp; Data Platform</w:t>
            </w:r>
          </w:p>
        </w:tc>
        <w:tc>
          <w:tcPr>
            <w:tcW w:type="dxa" w:w="7160"/>
            <w:tcBorders>
              <w:top w:val="none" w:color="FFFFFF" w:sz="0"/>
              <w:left w:val="none" w:color="FFFFFF" w:sz="0"/>
              <w:bottom w:val="none" w:color="FFFFFF" w:sz="0"/>
              <w:right w:val="none" w:color="FFFFFF" w:sz="0"/>
            </w:tcBorders>
            <w:shd w:fill="EBF2FA" w:val="clear"/>
            <w:tcMar>
              <w:top w:type="dxa" w:w="70"/>
              <w:left w:type="dxa" w:w="100"/>
              <w:bottom w:type="dxa" w:w="70"/>
              <w:right w:type="dxa" w:w="80"/>
            </w:tcMar>
          </w:tcPr>
          <w:p>
            <w:r>
              <w:rPr>
                <w:rFonts w:ascii="Arial" w:cs="Arial" w:eastAsia="Arial" w:hAnsi="Arial"/>
                <w:color w:val="1C1C1C"/>
                <w:sz w:val="18"/>
                <w:szCs w:val="18"/>
              </w:rPr>
              <w:t xml:space="preserve">GCP (BigQuery, Dataflow, Dataproc, Pub/Sub, Cloud Run, Vertex AI), Azure, AWS, Snowflake, Databricks</w:t>
            </w:r>
          </w:p>
        </w:tc>
      </w:tr>
      <w:tr>
        <w:tc>
          <w:tcPr>
            <w:tcW w:type="dxa" w:w="2200"/>
            <w:tcBorders>
              <w:top w:val="none" w:color="FFFFFF" w:sz="0"/>
              <w:left w:val="none" w:color="FFFFFF" w:sz="0"/>
              <w:bottom w:val="none" w:color="FFFFFF" w:sz="0"/>
              <w:right w:val="none" w:color="FFFFFF" w:sz="0"/>
            </w:tcBorders>
            <w:shd w:fill="FFFFFF" w:val="clear"/>
            <w:tcMar>
              <w:top w:type="dxa" w:w="70"/>
              <w:left w:type="dxa" w:w="100"/>
              <w:bottom w:type="dxa" w:w="70"/>
              <w:right w:type="dxa" w:w="80"/>
            </w:tcMar>
          </w:tcPr>
          <w:p>
            <w:r>
              <w:rPr>
                <w:rFonts w:ascii="Arial" w:cs="Arial" w:eastAsia="Arial" w:hAnsi="Arial"/>
                <w:b/>
                <w:bCs/>
                <w:color w:val="1A4E8C"/>
                <w:sz w:val="18"/>
                <w:szCs w:val="18"/>
              </w:rPr>
              <w:t xml:space="preserve">Langages</w:t>
            </w:r>
          </w:p>
        </w:tc>
        <w:tc>
          <w:tcPr>
            <w:tcW w:type="dxa" w:w="7160"/>
            <w:tcBorders>
              <w:top w:val="none" w:color="FFFFFF" w:sz="0"/>
              <w:left w:val="none" w:color="FFFFFF" w:sz="0"/>
              <w:bottom w:val="none" w:color="FFFFFF" w:sz="0"/>
              <w:right w:val="none" w:color="FFFFFF" w:sz="0"/>
            </w:tcBorders>
            <w:shd w:fill="FFFFFF" w:val="clear"/>
            <w:tcMar>
              <w:top w:type="dxa" w:w="70"/>
              <w:left w:type="dxa" w:w="100"/>
              <w:bottom w:type="dxa" w:w="70"/>
              <w:right w:type="dxa" w:w="80"/>
            </w:tcMar>
          </w:tcPr>
          <w:p>
            <w:r>
              <w:rPr>
                <w:rFonts w:ascii="Arial" w:cs="Arial" w:eastAsia="Arial" w:hAnsi="Arial"/>
                <w:color w:val="1C1C1C"/>
                <w:sz w:val="18"/>
                <w:szCs w:val="18"/>
              </w:rPr>
              <w:t xml:space="preserve">Python, SQL, Scala, Java, TypeScript</w:t>
            </w:r>
          </w:p>
        </w:tc>
      </w:tr>
      <w:tr>
        <w:tc>
          <w:tcPr>
            <w:tcW w:type="dxa" w:w="2200"/>
            <w:tcBorders>
              <w:top w:val="none" w:color="FFFFFF" w:sz="0"/>
              <w:left w:val="none" w:color="FFFFFF" w:sz="0"/>
              <w:bottom w:val="none" w:color="FFFFFF" w:sz="0"/>
              <w:right w:val="none" w:color="FFFFFF" w:sz="0"/>
            </w:tcBorders>
            <w:shd w:fill="EBF2FA" w:val="clear"/>
            <w:tcMar>
              <w:top w:type="dxa" w:w="70"/>
              <w:left w:type="dxa" w:w="100"/>
              <w:bottom w:type="dxa" w:w="70"/>
              <w:right w:type="dxa" w:w="80"/>
            </w:tcMar>
          </w:tcPr>
          <w:p>
            <w:r>
              <w:rPr>
                <w:rFonts w:ascii="Arial" w:cs="Arial" w:eastAsia="Arial" w:hAnsi="Arial"/>
                <w:b/>
                <w:bCs/>
                <w:color w:val="1A4E8C"/>
                <w:sz w:val="18"/>
                <w:szCs w:val="18"/>
              </w:rPr>
              <w:t xml:space="preserve">ETL/ELT &amp; Orchestration</w:t>
            </w:r>
          </w:p>
        </w:tc>
        <w:tc>
          <w:tcPr>
            <w:tcW w:type="dxa" w:w="7160"/>
            <w:tcBorders>
              <w:top w:val="none" w:color="FFFFFF" w:sz="0"/>
              <w:left w:val="none" w:color="FFFFFF" w:sz="0"/>
              <w:bottom w:val="none" w:color="FFFFFF" w:sz="0"/>
              <w:right w:val="none" w:color="FFFFFF" w:sz="0"/>
            </w:tcBorders>
            <w:shd w:fill="EBF2FA" w:val="clear"/>
            <w:tcMar>
              <w:top w:type="dxa" w:w="70"/>
              <w:left w:type="dxa" w:w="100"/>
              <w:bottom w:type="dxa" w:w="70"/>
              <w:right w:type="dxa" w:w="80"/>
            </w:tcMar>
          </w:tcPr>
          <w:p>
            <w:r>
              <w:rPr>
                <w:rFonts w:ascii="Arial" w:cs="Arial" w:eastAsia="Arial" w:hAnsi="Arial"/>
                <w:color w:val="1C1C1C"/>
                <w:sz w:val="18"/>
                <w:szCs w:val="18"/>
              </w:rPr>
              <w:t xml:space="preserve">Airflow, DBT, Spark, Kafka, XDI, n8n, Make</w:t>
            </w:r>
          </w:p>
        </w:tc>
      </w:tr>
      <w:tr>
        <w:tc>
          <w:tcPr>
            <w:tcW w:type="dxa" w:w="2200"/>
            <w:tcBorders>
              <w:top w:val="none" w:color="FFFFFF" w:sz="0"/>
              <w:left w:val="none" w:color="FFFFFF" w:sz="0"/>
              <w:bottom w:val="none" w:color="FFFFFF" w:sz="0"/>
              <w:right w:val="none" w:color="FFFFFF" w:sz="0"/>
            </w:tcBorders>
            <w:shd w:fill="FFFFFF" w:val="clear"/>
            <w:tcMar>
              <w:top w:type="dxa" w:w="70"/>
              <w:left w:type="dxa" w:w="100"/>
              <w:bottom w:type="dxa" w:w="70"/>
              <w:right w:type="dxa" w:w="80"/>
            </w:tcMar>
          </w:tcPr>
          <w:p>
            <w:r>
              <w:rPr>
                <w:rFonts w:ascii="Arial" w:cs="Arial" w:eastAsia="Arial" w:hAnsi="Arial"/>
                <w:b/>
                <w:bCs/>
                <w:color w:val="1A4E8C"/>
                <w:sz w:val="18"/>
                <w:szCs w:val="18"/>
              </w:rPr>
              <w:t xml:space="preserve">Architecture &amp; Patterns</w:t>
            </w:r>
          </w:p>
        </w:tc>
        <w:tc>
          <w:tcPr>
            <w:tcW w:type="dxa" w:w="7160"/>
            <w:tcBorders>
              <w:top w:val="none" w:color="FFFFFF" w:sz="0"/>
              <w:left w:val="none" w:color="FFFFFF" w:sz="0"/>
              <w:bottom w:val="none" w:color="FFFFFF" w:sz="0"/>
              <w:right w:val="none" w:color="FFFFFF" w:sz="0"/>
            </w:tcBorders>
            <w:shd w:fill="FFFFFF" w:val="clear"/>
            <w:tcMar>
              <w:top w:type="dxa" w:w="70"/>
              <w:left w:type="dxa" w:w="100"/>
              <w:bottom w:type="dxa" w:w="70"/>
              <w:right w:type="dxa" w:w="80"/>
            </w:tcMar>
          </w:tcPr>
          <w:p>
            <w:r>
              <w:rPr>
                <w:rFonts w:ascii="Arial" w:cs="Arial" w:eastAsia="Arial" w:hAnsi="Arial"/>
                <w:color w:val="1C1C1C"/>
                <w:sz w:val="18"/>
                <w:szCs w:val="18"/>
              </w:rPr>
              <w:t xml:space="preserve">Micro-services, Event-driven, Lambda, Hexagonale, Data Mesh, Data Lake/House, Serverless</w:t>
            </w:r>
          </w:p>
        </w:tc>
      </w:tr>
      <w:tr>
        <w:tc>
          <w:tcPr>
            <w:tcW w:type="dxa" w:w="2200"/>
            <w:tcBorders>
              <w:top w:val="none" w:color="FFFFFF" w:sz="0"/>
              <w:left w:val="none" w:color="FFFFFF" w:sz="0"/>
              <w:bottom w:val="none" w:color="FFFFFF" w:sz="0"/>
              <w:right w:val="none" w:color="FFFFFF" w:sz="0"/>
            </w:tcBorders>
            <w:shd w:fill="EBF2FA" w:val="clear"/>
            <w:tcMar>
              <w:top w:type="dxa" w:w="70"/>
              <w:left w:type="dxa" w:w="100"/>
              <w:bottom w:type="dxa" w:w="70"/>
              <w:right w:type="dxa" w:w="80"/>
            </w:tcMar>
          </w:tcPr>
          <w:p>
            <w:r>
              <w:rPr>
                <w:rFonts w:ascii="Arial" w:cs="Arial" w:eastAsia="Arial" w:hAnsi="Arial"/>
                <w:b/>
                <w:bCs/>
                <w:color w:val="1A4E8C"/>
                <w:sz w:val="18"/>
                <w:szCs w:val="18"/>
              </w:rPr>
              <w:t xml:space="preserve">CI/CD &amp; DevOps</w:t>
            </w:r>
          </w:p>
        </w:tc>
        <w:tc>
          <w:tcPr>
            <w:tcW w:type="dxa" w:w="7160"/>
            <w:tcBorders>
              <w:top w:val="none" w:color="FFFFFF" w:sz="0"/>
              <w:left w:val="none" w:color="FFFFFF" w:sz="0"/>
              <w:bottom w:val="none" w:color="FFFFFF" w:sz="0"/>
              <w:right w:val="none" w:color="FFFFFF" w:sz="0"/>
            </w:tcBorders>
            <w:shd w:fill="EBF2FA" w:val="clear"/>
            <w:tcMar>
              <w:top w:type="dxa" w:w="70"/>
              <w:left w:type="dxa" w:w="100"/>
              <w:bottom w:type="dxa" w:w="70"/>
              <w:right w:type="dxa" w:w="80"/>
            </w:tcMar>
          </w:tcPr>
          <w:p>
            <w:r>
              <w:rPr>
                <w:rFonts w:ascii="Arial" w:cs="Arial" w:eastAsia="Arial" w:hAnsi="Arial"/>
                <w:color w:val="1C1C1C"/>
                <w:sz w:val="18"/>
                <w:szCs w:val="18"/>
              </w:rPr>
              <w:t xml:space="preserve">GitLab CI/CD, GitHub Actions, Azure DevOps, Docker, Terraform, Kubernetes, Helm</w:t>
            </w:r>
          </w:p>
        </w:tc>
      </w:tr>
      <w:tr>
        <w:tc>
          <w:tcPr>
            <w:tcW w:type="dxa" w:w="2200"/>
            <w:tcBorders>
              <w:top w:val="none" w:color="FFFFFF" w:sz="0"/>
              <w:left w:val="none" w:color="FFFFFF" w:sz="0"/>
              <w:bottom w:val="none" w:color="FFFFFF" w:sz="0"/>
              <w:right w:val="none" w:color="FFFFFF" w:sz="0"/>
            </w:tcBorders>
            <w:shd w:fill="FFFFFF" w:val="clear"/>
            <w:tcMar>
              <w:top w:type="dxa" w:w="70"/>
              <w:left w:type="dxa" w:w="100"/>
              <w:bottom w:type="dxa" w:w="70"/>
              <w:right w:type="dxa" w:w="80"/>
            </w:tcMar>
          </w:tcPr>
          <w:p>
            <w:r>
              <w:rPr>
                <w:rFonts w:ascii="Arial" w:cs="Arial" w:eastAsia="Arial" w:hAnsi="Arial"/>
                <w:b/>
                <w:bCs/>
                <w:color w:val="1A4E8C"/>
                <w:sz w:val="18"/>
                <w:szCs w:val="18"/>
              </w:rPr>
              <w:t xml:space="preserve">Qualité &amp; Observabilité</w:t>
            </w:r>
          </w:p>
        </w:tc>
        <w:tc>
          <w:tcPr>
            <w:tcW w:type="dxa" w:w="7160"/>
            <w:tcBorders>
              <w:top w:val="none" w:color="FFFFFF" w:sz="0"/>
              <w:left w:val="none" w:color="FFFFFF" w:sz="0"/>
              <w:bottom w:val="none" w:color="FFFFFF" w:sz="0"/>
              <w:right w:val="none" w:color="FFFFFF" w:sz="0"/>
            </w:tcBorders>
            <w:shd w:fill="FFFFFF" w:val="clear"/>
            <w:tcMar>
              <w:top w:type="dxa" w:w="70"/>
              <w:left w:type="dxa" w:w="100"/>
              <w:bottom w:type="dxa" w:w="70"/>
              <w:right w:type="dxa" w:w="80"/>
            </w:tcMar>
          </w:tcPr>
          <w:p>
            <w:r>
              <w:rPr>
                <w:rFonts w:ascii="Arial" w:cs="Arial" w:eastAsia="Arial" w:hAnsi="Arial"/>
                <w:color w:val="1C1C1C"/>
                <w:sz w:val="18"/>
                <w:szCs w:val="18"/>
              </w:rPr>
              <w:t xml:space="preserve">Great Expectations, Prometheus, Grafana, ELK, SonarQube, Checkmarx, WIZ, Langfuse</w:t>
            </w:r>
          </w:p>
        </w:tc>
      </w:tr>
      <w:tr>
        <w:tc>
          <w:tcPr>
            <w:tcW w:type="dxa" w:w="2200"/>
            <w:tcBorders>
              <w:top w:val="none" w:color="FFFFFF" w:sz="0"/>
              <w:left w:val="none" w:color="FFFFFF" w:sz="0"/>
              <w:bottom w:val="none" w:color="FFFFFF" w:sz="0"/>
              <w:right w:val="none" w:color="FFFFFF" w:sz="0"/>
            </w:tcBorders>
            <w:shd w:fill="EBF2FA" w:val="clear"/>
            <w:tcMar>
              <w:top w:type="dxa" w:w="70"/>
              <w:left w:type="dxa" w:w="100"/>
              <w:bottom w:type="dxa" w:w="70"/>
              <w:right w:type="dxa" w:w="80"/>
            </w:tcMar>
          </w:tcPr>
          <w:p>
            <w:r>
              <w:rPr>
                <w:rFonts w:ascii="Arial" w:cs="Arial" w:eastAsia="Arial" w:hAnsi="Arial"/>
                <w:b/>
                <w:bCs/>
                <w:color w:val="1A4E8C"/>
                <w:sz w:val="18"/>
                <w:szCs w:val="18"/>
              </w:rPr>
              <w:t xml:space="preserve">Bases de données</w:t>
            </w:r>
          </w:p>
        </w:tc>
        <w:tc>
          <w:tcPr>
            <w:tcW w:type="dxa" w:w="7160"/>
            <w:tcBorders>
              <w:top w:val="none" w:color="FFFFFF" w:sz="0"/>
              <w:left w:val="none" w:color="FFFFFF" w:sz="0"/>
              <w:bottom w:val="none" w:color="FFFFFF" w:sz="0"/>
              <w:right w:val="none" w:color="FFFFFF" w:sz="0"/>
            </w:tcBorders>
            <w:shd w:fill="EBF2FA" w:val="clear"/>
            <w:tcMar>
              <w:top w:type="dxa" w:w="70"/>
              <w:left w:type="dxa" w:w="100"/>
              <w:bottom w:type="dxa" w:w="70"/>
              <w:right w:type="dxa" w:w="80"/>
            </w:tcMar>
          </w:tcPr>
          <w:p>
            <w:r>
              <w:rPr>
                <w:rFonts w:ascii="Arial" w:cs="Arial" w:eastAsia="Arial" w:hAnsi="Arial"/>
                <w:color w:val="1C1C1C"/>
                <w:sz w:val="18"/>
                <w:szCs w:val="18"/>
              </w:rPr>
              <w:t xml:space="preserve">PostgreSQL, MongoDB, Redis, CosmosDB, HBase, Cassandra, Snowflake</w:t>
            </w:r>
          </w:p>
        </w:tc>
      </w:tr>
      <w:tr>
        <w:tc>
          <w:tcPr>
            <w:tcW w:type="dxa" w:w="2200"/>
            <w:tcBorders>
              <w:top w:val="none" w:color="FFFFFF" w:sz="0"/>
              <w:left w:val="none" w:color="FFFFFF" w:sz="0"/>
              <w:bottom w:val="none" w:color="FFFFFF" w:sz="0"/>
              <w:right w:val="none" w:color="FFFFFF" w:sz="0"/>
            </w:tcBorders>
            <w:shd w:fill="FFFFFF" w:val="clear"/>
            <w:tcMar>
              <w:top w:type="dxa" w:w="70"/>
              <w:left w:type="dxa" w:w="100"/>
              <w:bottom w:type="dxa" w:w="70"/>
              <w:right w:type="dxa" w:w="80"/>
            </w:tcMar>
          </w:tcPr>
          <w:p>
            <w:r>
              <w:rPr>
                <w:rFonts w:ascii="Arial" w:cs="Arial" w:eastAsia="Arial" w:hAnsi="Arial"/>
                <w:b/>
                <w:bCs/>
                <w:color w:val="1A4E8C"/>
                <w:sz w:val="18"/>
                <w:szCs w:val="18"/>
              </w:rPr>
              <w:t xml:space="preserve">BI / Reporting</w:t>
            </w:r>
          </w:p>
        </w:tc>
        <w:tc>
          <w:tcPr>
            <w:tcW w:type="dxa" w:w="7160"/>
            <w:tcBorders>
              <w:top w:val="none" w:color="FFFFFF" w:sz="0"/>
              <w:left w:val="none" w:color="FFFFFF" w:sz="0"/>
              <w:bottom w:val="none" w:color="FFFFFF" w:sz="0"/>
              <w:right w:val="none" w:color="FFFFFF" w:sz="0"/>
            </w:tcBorders>
            <w:shd w:fill="FFFFFF" w:val="clear"/>
            <w:tcMar>
              <w:top w:type="dxa" w:w="70"/>
              <w:left w:type="dxa" w:w="100"/>
              <w:bottom w:type="dxa" w:w="70"/>
              <w:right w:type="dxa" w:w="80"/>
            </w:tcMar>
          </w:tcPr>
          <w:p>
            <w:r>
              <w:rPr>
                <w:rFonts w:ascii="Arial" w:cs="Arial" w:eastAsia="Arial" w:hAnsi="Arial"/>
                <w:color w:val="1C1C1C"/>
                <w:sz w:val="18"/>
                <w:szCs w:val="18"/>
              </w:rPr>
              <w:t xml:space="preserve">Power BI, Grafana, Streamlit, Tableau</w:t>
            </w:r>
          </w:p>
        </w:tc>
      </w:tr>
      <w:tr>
        <w:tc>
          <w:tcPr>
            <w:tcW w:type="dxa" w:w="2200"/>
            <w:tcBorders>
              <w:top w:val="none" w:color="FFFFFF" w:sz="0"/>
              <w:left w:val="none" w:color="FFFFFF" w:sz="0"/>
              <w:bottom w:val="none" w:color="FFFFFF" w:sz="0"/>
              <w:right w:val="none" w:color="FFFFFF" w:sz="0"/>
            </w:tcBorders>
            <w:shd w:fill="EBF2FA" w:val="clear"/>
            <w:tcMar>
              <w:top w:type="dxa" w:w="70"/>
              <w:left w:type="dxa" w:w="100"/>
              <w:bottom w:type="dxa" w:w="70"/>
              <w:right w:type="dxa" w:w="80"/>
            </w:tcMar>
          </w:tcPr>
          <w:p>
            <w:r>
              <w:rPr>
                <w:rFonts w:ascii="Arial" w:cs="Arial" w:eastAsia="Arial" w:hAnsi="Arial"/>
                <w:b/>
                <w:bCs/>
                <w:color w:val="1A4E8C"/>
                <w:sz w:val="18"/>
                <w:szCs w:val="18"/>
              </w:rPr>
              <w:t xml:space="preserve">IA &amp; LLMs</w:t>
            </w:r>
          </w:p>
        </w:tc>
        <w:tc>
          <w:tcPr>
            <w:tcW w:type="dxa" w:w="7160"/>
            <w:tcBorders>
              <w:top w:val="none" w:color="FFFFFF" w:sz="0"/>
              <w:left w:val="none" w:color="FFFFFF" w:sz="0"/>
              <w:bottom w:val="none" w:color="FFFFFF" w:sz="0"/>
              <w:right w:val="none" w:color="FFFFFF" w:sz="0"/>
            </w:tcBorders>
            <w:shd w:fill="EBF2FA" w:val="clear"/>
            <w:tcMar>
              <w:top w:type="dxa" w:w="70"/>
              <w:left w:type="dxa" w:w="100"/>
              <w:bottom w:type="dxa" w:w="70"/>
              <w:right w:type="dxa" w:w="80"/>
            </w:tcMar>
          </w:tcPr>
          <w:p>
            <w:r>
              <w:rPr>
                <w:rFonts w:ascii="Arial" w:cs="Arial" w:eastAsia="Arial" w:hAnsi="Arial"/>
                <w:color w:val="1C1C1C"/>
                <w:sz w:val="18"/>
                <w:szCs w:val="18"/>
              </w:rPr>
              <w:t xml:space="preserve">LangChain, LlamaIndex, FAISS, PGVector, RAG, GPT, Claude, LLaMA, Mistral</w:t>
            </w:r>
          </w:p>
        </w:tc>
      </w:tr>
    </w:tbl>
    <w:p>
      <w:pPr>
        <w:spacing w:before="80"/>
      </w:pPr>
    </w:p>
    <w:p>
      <w:pPr>
        <w:pBdr>
          <w:bottom w:val="single" w:color="1A4E8C" w:sz="10" w:space="4"/>
        </w:pBdr>
        <w:spacing w:after="100" w:before="320"/>
      </w:pPr>
      <w:r>
        <w:rPr>
          <w:rFonts w:ascii="Arial" w:cs="Arial" w:eastAsia="Arial" w:hAnsi="Arial"/>
          <w:b/>
          <w:bCs/>
          <w:color w:val="1A4E8C"/>
          <w:spacing w:val="40"/>
          <w:sz w:val="24"/>
          <w:szCs w:val="24"/>
        </w:rPr>
        <w:t xml:space="preserve">EXPÉRIENCES PROFESSIONNELLES</w:t>
      </w:r>
    </w:p>
    <w:p>
      <w:pPr>
        <w:spacing w:after="40" w:before="220"/>
      </w:pPr>
      <w:r>
        <w:rPr>
          <w:rFonts w:ascii="Arial" w:cs="Arial" w:eastAsia="Arial" w:hAnsi="Arial"/>
          <w:b/>
          <w:bCs/>
          <w:color w:val="1C1C1C"/>
          <w:sz w:val="23"/>
          <w:szCs w:val="23"/>
        </w:rPr>
        <w:t xml:space="preserve">Lead Data IA &amp; OPS</w:t>
      </w:r>
      <w:r>
        <w:rPr>
          <w:rFonts w:ascii="Arial" w:cs="Arial" w:eastAsia="Arial" w:hAnsi="Arial"/>
          <w:b/>
          <w:bCs/>
          <w:color w:val="2563A8"/>
          <w:sz w:val="21"/>
          <w:szCs w:val="21"/>
        </w:rPr>
        <w:t xml:space="preserve">  ·  BIL – Banque Internationale à Luxembourg</w:t>
      </w:r>
      <w:r>
        <w:rPr>
          <w:rFonts w:ascii="Arial" w:cs="Arial" w:eastAsia="Arial" w:hAnsi="Arial"/>
          <w:i/>
          <w:iCs/>
          <w:color w:val="5A5A5A"/>
          <w:sz w:val="19"/>
          <w:szCs w:val="19"/>
        </w:rPr>
        <w:t xml:space="preserve">  ·  01/2026 – Présent</w:t>
      </w:r>
    </w:p>
    <w:p>
      <w:pPr>
        <w:spacing w:after="60" w:before="40"/>
        <w:jc w:val="both"/>
      </w:pPr>
      <w:r>
        <w:rPr>
          <w:rFonts w:ascii="Arial" w:cs="Arial" w:eastAsia="Arial" w:hAnsi="Arial"/>
          <w:i/>
          <w:iCs/>
          <w:color w:val="5A5A5A"/>
          <w:sz w:val="19"/>
          <w:szCs w:val="19"/>
        </w:rPr>
        <w:t xml:space="preserve">Conception et déploiement d'une plateforme sécurisée de chatbot client dédiée au risque de crédit, avec des capacités avancées d'IA générative, d'automatisation documentaire et d'orchestration de services IA.</w:t>
      </w:r>
    </w:p>
    <w:p>
      <w:pPr>
        <w:spacing w:after="30" w:before="100"/>
      </w:pPr>
      <w:r>
        <w:rPr>
          <w:rFonts w:ascii="Arial" w:cs="Arial" w:eastAsia="Arial" w:hAnsi="Arial"/>
          <w:b/>
          <w:bCs/>
          <w:color w:val="2563A8"/>
          <w:sz w:val="20"/>
          <w:szCs w:val="20"/>
        </w:rPr>
        <w:t xml:space="preserve">Architecture &amp; DevOps</w:t>
      </w:r>
    </w:p>
    <w:p>
      <w:pPr>
        <w:spacing w:after="30" w:before="30"/>
        <w:jc w:val="both"/>
      </w:pPr>
      <w:r>
        <w:rPr>
          <w:rFonts w:ascii="Arial" w:cs="Arial" w:eastAsia="Arial" w:hAnsi="Arial"/>
          <w:color w:val="1C1C1C"/>
          <w:sz w:val="19"/>
          <w:szCs w:val="19"/>
        </w:rPr>
        <w:t xml:space="preserve">J'ai conçu une architecture micro-services Python (FastAPI) scalable et orientée événements (Redis Streams, Kafka), avec un routeur d'inférence intelligent multi-LLMs (OpenAI, Azure OpenAI, Claude, Mistral, LLaMA) intégrant fallback automatique, cache distribué et gestion fine des budgets de latence. L'ensemble repose sur des patterns éprouvés : séparation stricte des responsabilités entre services, dégradation contrôlée en cas de panne, et circuit breakers pour protéger les dépendances externes.</w:t>
      </w:r>
    </w:p>
    <w:p>
      <w:pPr>
        <w:spacing w:after="30" w:before="30"/>
        <w:jc w:val="both"/>
      </w:pPr>
      <w:r>
        <w:rPr>
          <w:rFonts w:ascii="Arial" w:cs="Arial" w:eastAsia="Arial" w:hAnsi="Arial"/>
          <w:color w:val="1C1C1C"/>
          <w:sz w:val="19"/>
          <w:szCs w:val="19"/>
        </w:rPr>
        <w:t xml:space="preserve">Le delivery s'appuie sur une chaîne CI/CD complète via Azure DevOps et GitLab — pipelines de build, tests automatisés à chaque niveau (unitaires, intégration, contrat, charge, résilience), déploiements conteneurisés via Docker. L'observabilité est traitée comme une exigence de premier ordre : dashboards Prometheus/Grafana pour la latence, le taux d'erreur et la disponibilité, Langfuse pour la qualité des réponses LLM.</w:t>
      </w:r>
    </w:p>
    <w:p>
      <w:pPr>
        <w:spacing w:after="30" w:before="100"/>
      </w:pPr>
      <w:r>
        <w:rPr>
          <w:rFonts w:ascii="Arial" w:cs="Arial" w:eastAsia="Arial" w:hAnsi="Arial"/>
          <w:b/>
          <w:bCs/>
          <w:color w:val="2563A8"/>
          <w:sz w:val="20"/>
          <w:szCs w:val="20"/>
        </w:rPr>
        <w:t xml:space="preserve">Ce que j'y fais au quotidien</w:t>
      </w:r>
    </w:p>
    <w:p>
      <w:pPr>
        <w:spacing w:after="30" w:before="30"/>
        <w:jc w:val="both"/>
      </w:pPr>
      <w:r>
        <w:rPr>
          <w:rFonts w:ascii="Arial" w:cs="Arial" w:eastAsia="Arial" w:hAnsi="Arial"/>
          <w:color w:val="1C1C1C"/>
          <w:sz w:val="19"/>
          <w:szCs w:val="19"/>
        </w:rPr>
        <w:t xml:space="preserve">J'assure les revues de code, définis les standards d'ingénierie (ADR, SLA) et accompagne les équipes sur les bonnes pratiques. La gouvernance est intégrée dès la conception : RBAC, chiffrement des embeddings, RGPD, auditabilité complète des décisions IA. Je collabore étroitement avec les équipes Risque, Finance et Compliance pour traduire des contraintes métiers exigeantes en solutions concrètes et traçables.</w:t>
      </w:r>
    </w:p>
    <w:p>
      <w:pPr>
        <w:spacing w:after="10" w:before="40"/>
      </w:pPr>
      <w:r>
        <w:rPr>
          <w:rFonts w:ascii="Arial" w:cs="Arial" w:eastAsia="Arial" w:hAnsi="Arial"/>
          <w:b/>
          <w:bCs/>
          <w:color w:val="1A4E8C"/>
          <w:sz w:val="18"/>
          <w:szCs w:val="18"/>
        </w:rPr>
        <w:t xml:space="preserve">Stack : </w:t>
      </w:r>
      <w:r>
        <w:rPr>
          <w:rFonts w:ascii="Arial" w:cs="Arial" w:eastAsia="Arial" w:hAnsi="Arial"/>
          <w:color w:val="5A5A5A"/>
          <w:sz w:val="18"/>
          <w:szCs w:val="18"/>
        </w:rPr>
        <w:t xml:space="preserve">Python, FastAPI, Azure DevOps, GitLab, Docker | OpenAI/Azure OpenAI, Claude, Mistral, LLaMA, LangChain, LlamaIndex | FAISS, PGVector | Azure, Databricks, Snowflake | Redis Streams, Kafka, Oracle, Cosmos DB | Prometheus, Grafana, Langfuse, Power BI | RBAC, RGPD</w:t>
      </w:r>
    </w:p>
    <w:p>
      <w:pPr>
        <w:spacing w:before="60"/>
      </w:pPr>
    </w:p>
    <w:p>
      <w:pPr>
        <w:spacing w:after="40" w:before="220"/>
      </w:pPr>
      <w:r>
        <w:rPr>
          <w:rFonts w:ascii="Arial" w:cs="Arial" w:eastAsia="Arial" w:hAnsi="Arial"/>
          <w:b/>
          <w:bCs/>
          <w:color w:val="1C1C1C"/>
          <w:sz w:val="23"/>
          <w:szCs w:val="23"/>
        </w:rPr>
        <w:t xml:space="preserve">Lead Data Engineer / IA</w:t>
      </w:r>
      <w:r>
        <w:rPr>
          <w:rFonts w:ascii="Arial" w:cs="Arial" w:eastAsia="Arial" w:hAnsi="Arial"/>
          <w:b/>
          <w:bCs/>
          <w:color w:val="2563A8"/>
          <w:sz w:val="21"/>
          <w:szCs w:val="21"/>
        </w:rPr>
        <w:t xml:space="preserve">  ·  TotalEnergies</w:t>
      </w:r>
      <w:r>
        <w:rPr>
          <w:rFonts w:ascii="Arial" w:cs="Arial" w:eastAsia="Arial" w:hAnsi="Arial"/>
          <w:i/>
          <w:iCs/>
          <w:color w:val="5A5A5A"/>
          <w:sz w:val="19"/>
          <w:szCs w:val="19"/>
        </w:rPr>
        <w:t xml:space="preserve">  ·  12/2020 – 12/2025</w:t>
      </w:r>
    </w:p>
    <w:p>
      <w:pPr>
        <w:spacing w:after="60" w:before="40"/>
        <w:jc w:val="both"/>
      </w:pPr>
      <w:r>
        <w:rPr>
          <w:rFonts w:ascii="Arial" w:cs="Arial" w:eastAsia="Arial" w:hAnsi="Arial"/>
          <w:i/>
          <w:iCs/>
          <w:color w:val="5A5A5A"/>
          <w:sz w:val="19"/>
          <w:szCs w:val="19"/>
        </w:rPr>
        <w:t xml:space="preserve">Cinq ans sur un périmètre large et exigeant : conception de la nouvelle data plateforme et du MDM, industrialisation des pipelines data, supervision des opérations de forage par l'IA, gouvernance et qualité des données en environnement industriel réglementé.</w:t>
      </w:r>
    </w:p>
    <w:p>
      <w:pPr>
        <w:spacing w:after="30" w:before="100"/>
      </w:pPr>
      <w:r>
        <w:rPr>
          <w:rFonts w:ascii="Arial" w:cs="Arial" w:eastAsia="Arial" w:hAnsi="Arial"/>
          <w:b/>
          <w:bCs/>
          <w:color w:val="2563A8"/>
          <w:sz w:val="20"/>
          <w:szCs w:val="20"/>
        </w:rPr>
        <w:t xml:space="preserve">Architecture &amp; DevOps</w:t>
      </w:r>
    </w:p>
    <w:p>
      <w:pPr>
        <w:spacing w:after="30" w:before="30"/>
        <w:jc w:val="both"/>
      </w:pPr>
      <w:r>
        <w:rPr>
          <w:rFonts w:ascii="Arial" w:cs="Arial" w:eastAsia="Arial" w:hAnsi="Arial"/>
          <w:color w:val="1C1C1C"/>
          <w:sz w:val="19"/>
          <w:szCs w:val="19"/>
        </w:rPr>
        <w:t xml:space="preserve">Les choix d'architecture ont été au cœur de cette mission. J'ai conçu et fait évoluer plusieurs patterns complémentaires : architecture Lambda pour combiner traitement batch et temps réel, architecture event-driven asynchrone (Kafka, Pub/Sub) pour découpler les services et absorber les pics de charge, et architecture hexagonale pour isoler la logique métier des dépendances techniques. Ces choix ont été documentés dans des ADR formels, discutés avec les architectes data et les équipes DSI.</w:t>
      </w:r>
    </w:p>
    <w:p>
      <w:pPr>
        <w:spacing w:after="30" w:before="30"/>
        <w:jc w:val="both"/>
      </w:pPr>
      <w:r>
        <w:rPr>
          <w:rFonts w:ascii="Arial" w:cs="Arial" w:eastAsia="Arial" w:hAnsi="Arial"/>
          <w:color w:val="1C1C1C"/>
          <w:sz w:val="19"/>
          <w:szCs w:val="19"/>
        </w:rPr>
        <w:t xml:space="preserve">Sur le volet DevOps, j'ai structuré la chaîne d'industrialisation complète : versioning Git avec conventions de branching, pipelines CI/CD sur GitLab intégrant les quality gates (SonarQube, Checkmarx, WIZ), conteneurisation Docker des services data, et déploiement orchestré sur GCP (Cloud Run, Dataproc). Les tests de non-régression et d'intégration sont systématiques à chaque déploiement. L'observabilité repose sur un monitoring temps réel de la qualité des données (Great Expectations), des alertes sur les distributions et taux de remplissage, et des dashboards Grafana pour les équipes opérationnelles.</w:t>
      </w:r>
    </w:p>
    <w:p>
      <w:pPr>
        <w:spacing w:after="30" w:before="100"/>
      </w:pPr>
      <w:r>
        <w:rPr>
          <w:rFonts w:ascii="Arial" w:cs="Arial" w:eastAsia="Arial" w:hAnsi="Arial"/>
          <w:b/>
          <w:bCs/>
          <w:color w:val="2563A8"/>
          <w:sz w:val="20"/>
          <w:szCs w:val="20"/>
        </w:rPr>
        <w:t xml:space="preserve">Pilotage technique</w:t>
      </w:r>
    </w:p>
    <w:p>
      <w:pPr>
        <w:spacing w:after="30" w:before="30"/>
        <w:jc w:val="both"/>
      </w:pPr>
      <w:r>
        <w:rPr>
          <w:rFonts w:ascii="Arial" w:cs="Arial" w:eastAsia="Arial" w:hAnsi="Arial"/>
          <w:color w:val="1C1C1C"/>
          <w:sz w:val="19"/>
          <w:szCs w:val="19"/>
        </w:rPr>
        <w:t xml:space="preserve">J'ai défini et fait respecter les bonnes pratiques de développement, de versioning et d'industrialisation — un travail de terrain qui passe par les revues de code, le suivi des standards de sécurité et des échanges réguliers avec les architectes data et les équipes DSI.</w:t>
      </w:r>
    </w:p>
    <w:p>
      <w:pPr>
        <w:spacing w:after="30" w:before="100"/>
      </w:pPr>
      <w:r>
        <w:rPr>
          <w:rFonts w:ascii="Arial" w:cs="Arial" w:eastAsia="Arial" w:hAnsi="Arial"/>
          <w:b/>
          <w:bCs/>
          <w:color w:val="2563A8"/>
          <w:sz w:val="20"/>
          <w:szCs w:val="20"/>
        </w:rPr>
        <w:t xml:space="preserve">Industrialisation &amp; migration de flux</w:t>
      </w:r>
    </w:p>
    <w:p>
      <w:pPr>
        <w:spacing w:after="30" w:before="30"/>
        <w:jc w:val="both"/>
      </w:pPr>
      <w:r>
        <w:rPr>
          <w:rFonts w:ascii="Arial" w:cs="Arial" w:eastAsia="Arial" w:hAnsi="Arial"/>
          <w:color w:val="1C1C1C"/>
          <w:sz w:val="19"/>
          <w:szCs w:val="19"/>
        </w:rPr>
        <w:t xml:space="preserve">J'ai conçu et maintenu des pipelines ETL/ELT à grande échelle pour l'ingestion et le traitement des logs time-séries des IoT (pression, températures, incidents de forage). La migration de flux legacy vers des solutions modernes fait partie des chantiers menés, avec une attention particulière portée à la documentation, à la supervision et à l'observabilité des traitements. L'orchestration s'appuie sur Airflow, Databricks et DBT, avec des API scalables par domaine de données.</w:t>
      </w:r>
    </w:p>
    <w:p>
      <w:pPr>
        <w:spacing w:after="30" w:before="100"/>
      </w:pPr>
      <w:r>
        <w:rPr>
          <w:rFonts w:ascii="Arial" w:cs="Arial" w:eastAsia="Arial" w:hAnsi="Arial"/>
          <w:b/>
          <w:bCs/>
          <w:color w:val="2563A8"/>
          <w:sz w:val="20"/>
          <w:szCs w:val="20"/>
        </w:rPr>
        <w:t xml:space="preserve">Gouvernance, qualité &amp; data lineage</w:t>
      </w:r>
    </w:p>
    <w:p>
      <w:pPr>
        <w:spacing w:after="30" w:before="30"/>
        <w:jc w:val="both"/>
      </w:pPr>
      <w:r>
        <w:rPr>
          <w:rFonts w:ascii="Arial" w:cs="Arial" w:eastAsia="Arial" w:hAnsi="Arial"/>
          <w:color w:val="1C1C1C"/>
          <w:sz w:val="19"/>
          <w:szCs w:val="19"/>
        </w:rPr>
        <w:t xml:space="preserve">Mise en place des DQI, contrôles automatisés et mécanismes de data lineage ; définition des standards de qualité et de traçabilité ; supervision de la conformité RGPD et des exigences de sécurité. J'ai structuré le cadre de gouvernance incluant les rôles, responsabilités et référentiels qualité partagés entre les équipes.</w:t>
      </w:r>
    </w:p>
    <w:p>
      <w:pPr>
        <w:spacing w:after="30" w:before="100"/>
      </w:pPr>
      <w:r>
        <w:rPr>
          <w:rFonts w:ascii="Arial" w:cs="Arial" w:eastAsia="Arial" w:hAnsi="Arial"/>
          <w:b/>
          <w:bCs/>
          <w:color w:val="2563A8"/>
          <w:sz w:val="20"/>
          <w:szCs w:val="20"/>
        </w:rPr>
        <w:t xml:space="preserve">Encadrement &amp; IA</w:t>
      </w:r>
    </w:p>
    <w:p>
      <w:pPr>
        <w:spacing w:after="30" w:before="30"/>
        <w:jc w:val="both"/>
      </w:pPr>
      <w:r>
        <w:rPr>
          <w:rFonts w:ascii="Arial" w:cs="Arial" w:eastAsia="Arial" w:hAnsi="Arial"/>
          <w:color w:val="1C1C1C"/>
          <w:sz w:val="19"/>
          <w:szCs w:val="19"/>
        </w:rPr>
        <w:t xml:space="preserve">J'ai encadré une équipe pluridisciplinaire d'environ 20 personnes, accompagné la montée en compétences des data engineers et facilité les échanges entre les équipes data, architecture, sécurité et métier. En parallèle, j'ai intégré des solutions GenIA (agents documentaires, RAG, LLMs) et déployé un module de détection de situations dangereuses sur chantier (YOLOV8 + LLM chains).</w:t>
      </w:r>
    </w:p>
    <w:p>
      <w:pPr>
        <w:spacing w:after="10" w:before="40"/>
      </w:pPr>
      <w:r>
        <w:rPr>
          <w:rFonts w:ascii="Arial" w:cs="Arial" w:eastAsia="Arial" w:hAnsi="Arial"/>
          <w:b/>
          <w:bCs/>
          <w:color w:val="1A4E8C"/>
          <w:sz w:val="18"/>
          <w:szCs w:val="18"/>
        </w:rPr>
        <w:t xml:space="preserve">Stack : </w:t>
      </w:r>
      <w:r>
        <w:rPr>
          <w:rFonts w:ascii="Arial" w:cs="Arial" w:eastAsia="Arial" w:hAnsi="Arial"/>
          <w:color w:val="5A5A5A"/>
          <w:sz w:val="18"/>
          <w:szCs w:val="18"/>
        </w:rPr>
        <w:t xml:space="preserve">Python (LangChain, FastAPI, Pandas), SQL | GCP (BigQuery, Dataflow, Dataproc, Pub/Sub, Cloud Storage, Cloud Run, Vertex AI) | Spark, Kafka, Databricks, Airflow, DBT | LLMs (GPT, LLaMA), FAISS, PGVector | Power BI, Redis, MongoDB | GitLab, SonarQube, Checkmarx, WIZ</w:t>
      </w:r>
    </w:p>
    <w:p>
      <w:pPr>
        <w:spacing w:before="60"/>
      </w:pPr>
    </w:p>
    <w:p>
      <w:pPr>
        <w:spacing w:after="40" w:before="220"/>
      </w:pPr>
      <w:r>
        <w:rPr>
          <w:rFonts w:ascii="Arial" w:cs="Arial" w:eastAsia="Arial" w:hAnsi="Arial"/>
          <w:b/>
          <w:bCs/>
          <w:color w:val="1C1C1C"/>
          <w:sz w:val="23"/>
          <w:szCs w:val="23"/>
        </w:rPr>
        <w:t xml:space="preserve">Tech Lead / Lead Data Scientist</w:t>
      </w:r>
      <w:r>
        <w:rPr>
          <w:rFonts w:ascii="Arial" w:cs="Arial" w:eastAsia="Arial" w:hAnsi="Arial"/>
          <w:b/>
          <w:bCs/>
          <w:color w:val="2563A8"/>
          <w:sz w:val="21"/>
          <w:szCs w:val="21"/>
        </w:rPr>
        <w:t xml:space="preserve">  ·  MSM – RATP, Alstom, Renault, IRT SystemX</w:t>
      </w:r>
      <w:r>
        <w:rPr>
          <w:rFonts w:ascii="Arial" w:cs="Arial" w:eastAsia="Arial" w:hAnsi="Arial"/>
          <w:i/>
          <w:iCs/>
          <w:color w:val="5A5A5A"/>
          <w:sz w:val="19"/>
          <w:szCs w:val="19"/>
        </w:rPr>
        <w:t xml:space="preserve">  ·  08/2018 – 12/2020</w:t>
      </w:r>
    </w:p>
    <w:p>
      <w:pPr>
        <w:spacing w:after="60" w:before="40"/>
        <w:jc w:val="both"/>
      </w:pPr>
      <w:r>
        <w:rPr>
          <w:rFonts w:ascii="Arial" w:cs="Arial" w:eastAsia="Arial" w:hAnsi="Arial"/>
          <w:i/>
          <w:iCs/>
          <w:color w:val="5A5A5A"/>
          <w:sz w:val="19"/>
          <w:szCs w:val="19"/>
        </w:rPr>
        <w:t xml:space="preserve">Développement d'un superviseur multimodal territorial pour le suivi, la prédiction et la gestion des flux de voyageurs.</w:t>
      </w:r>
    </w:p>
    <w:p>
      <w:pPr>
        <w:spacing w:after="30" w:before="30"/>
        <w:jc w:val="both"/>
      </w:pPr>
      <w:r>
        <w:rPr>
          <w:rFonts w:ascii="Arial" w:cs="Arial" w:eastAsia="Arial" w:hAnsi="Arial"/>
          <w:color w:val="1C1C1C"/>
          <w:sz w:val="19"/>
          <w:szCs w:val="19"/>
        </w:rPr>
        <w:t xml:space="preserve">J'ai piloté les équipes et organisé les projets en choisissant le socle technique et la plateforme cloud, validé les architectures micro-services, et formé les équipes métiers aux outils Big Data et DataViz. Côté data science : extraction OCR sur PDF/images, classification NLP (RNN LSTM, CNN), prédiction de flux voyageurs, mise en œuvre d'un datalake multicouches et déploiement d'un serveur Kafka avec authentification.</w:t>
      </w:r>
    </w:p>
    <w:p>
      <w:pPr>
        <w:spacing w:after="10" w:before="40"/>
      </w:pPr>
      <w:r>
        <w:rPr>
          <w:rFonts w:ascii="Arial" w:cs="Arial" w:eastAsia="Arial" w:hAnsi="Arial"/>
          <w:b/>
          <w:bCs/>
          <w:color w:val="1A4E8C"/>
          <w:sz w:val="18"/>
          <w:szCs w:val="18"/>
        </w:rPr>
        <w:t xml:space="preserve">Stack : </w:t>
      </w:r>
      <w:r>
        <w:rPr>
          <w:rFonts w:ascii="Arial" w:cs="Arial" w:eastAsia="Arial" w:hAnsi="Arial"/>
          <w:color w:val="5A5A5A"/>
          <w:sz w:val="18"/>
          <w:szCs w:val="18"/>
        </w:rPr>
        <w:t xml:space="preserve">Python (CNN, RNN, NLTK), Dataiku, GCP, Azure, OCR, Talend, Power BI, Docker, GitLab, SQL, MongoDB, Postgres, Saagie, ELK, Kafka</w:t>
      </w:r>
    </w:p>
    <w:p>
      <w:pPr>
        <w:spacing w:before="60"/>
      </w:pPr>
    </w:p>
    <w:p>
      <w:pPr>
        <w:spacing w:after="40" w:before="220"/>
      </w:pPr>
      <w:r>
        <w:rPr>
          <w:rFonts w:ascii="Arial" w:cs="Arial" w:eastAsia="Arial" w:hAnsi="Arial"/>
          <w:b/>
          <w:bCs/>
          <w:color w:val="1C1C1C"/>
          <w:sz w:val="23"/>
          <w:szCs w:val="23"/>
        </w:rPr>
        <w:t xml:space="preserve">Lead Data Scientist</w:t>
      </w:r>
      <w:r>
        <w:rPr>
          <w:rFonts w:ascii="Arial" w:cs="Arial" w:eastAsia="Arial" w:hAnsi="Arial"/>
          <w:b/>
          <w:bCs/>
          <w:color w:val="2563A8"/>
          <w:sz w:val="21"/>
          <w:szCs w:val="21"/>
        </w:rPr>
        <w:t xml:space="preserve">  ·  Banques &amp; Assurances (BPCE)</w:t>
      </w:r>
      <w:r>
        <w:rPr>
          <w:rFonts w:ascii="Arial" w:cs="Arial" w:eastAsia="Arial" w:hAnsi="Arial"/>
          <w:i/>
          <w:iCs/>
          <w:color w:val="5A5A5A"/>
          <w:sz w:val="19"/>
          <w:szCs w:val="19"/>
        </w:rPr>
        <w:t xml:space="preserve">  ·  01/2017 – 08/2018</w:t>
      </w:r>
    </w:p>
    <w:p>
      <w:pPr>
        <w:spacing w:after="60" w:before="40"/>
        <w:jc w:val="both"/>
      </w:pPr>
      <w:r>
        <w:rPr>
          <w:rFonts w:ascii="Arial" w:cs="Arial" w:eastAsia="Arial" w:hAnsi="Arial"/>
          <w:i/>
          <w:iCs/>
          <w:color w:val="5A5A5A"/>
          <w:sz w:val="19"/>
          <w:szCs w:val="19"/>
        </w:rPr>
        <w:t xml:space="preserve">Lutte contre le blanchiment, financement du terrorisme et détection de fraude en conformité RGPD.</w:t>
      </w:r>
    </w:p>
    <w:p>
      <w:pPr>
        <w:spacing w:after="30" w:before="30"/>
        <w:jc w:val="both"/>
      </w:pPr>
      <w:r>
        <w:rPr>
          <w:rFonts w:ascii="Arial" w:cs="Arial" w:eastAsia="Arial" w:hAnsi="Arial"/>
          <w:color w:val="1C1C1C"/>
          <w:sz w:val="19"/>
          <w:szCs w:val="19"/>
        </w:rPr>
        <w:t xml:space="preserve">Conception d'un moteur de matching (logique exacte, floue, phonétique) pour rapprocher entités suspectes et clients ; réduction des faux positifs via TF-IDF et matrices de confusion ; mise en place du Data Catalog (ELK) et suivi du Data Lineage via Apache Atlas. Intégration et déploiement continus via GitLab en mode TDD.</w:t>
      </w:r>
    </w:p>
    <w:p>
      <w:pPr>
        <w:spacing w:after="10" w:before="40"/>
      </w:pPr>
      <w:r>
        <w:rPr>
          <w:rFonts w:ascii="Arial" w:cs="Arial" w:eastAsia="Arial" w:hAnsi="Arial"/>
          <w:b/>
          <w:bCs/>
          <w:color w:val="1A4E8C"/>
          <w:sz w:val="18"/>
          <w:szCs w:val="18"/>
        </w:rPr>
        <w:t xml:space="preserve">Stack : </w:t>
      </w:r>
      <w:r>
        <w:rPr>
          <w:rFonts w:ascii="Arial" w:cs="Arial" w:eastAsia="Arial" w:hAnsi="Arial"/>
          <w:color w:val="5A5A5A"/>
          <w:sz w:val="18"/>
          <w:szCs w:val="18"/>
        </w:rPr>
        <w:t xml:space="preserve">Python (Sklearn, NLTK, H2O), AWS, Spark, Power BI, ELK, Agile Scrum</w:t>
      </w:r>
    </w:p>
    <w:p>
      <w:pPr>
        <w:spacing w:before="60"/>
      </w:pPr>
    </w:p>
    <w:p>
      <w:pPr>
        <w:spacing w:after="40" w:before="220"/>
      </w:pPr>
      <w:r>
        <w:rPr>
          <w:rFonts w:ascii="Arial" w:cs="Arial" w:eastAsia="Arial" w:hAnsi="Arial"/>
          <w:b/>
          <w:bCs/>
          <w:color w:val="1C1C1C"/>
          <w:sz w:val="23"/>
          <w:szCs w:val="23"/>
        </w:rPr>
        <w:t xml:space="preserve">Lead Data Scientist</w:t>
      </w:r>
      <w:r>
        <w:rPr>
          <w:rFonts w:ascii="Arial" w:cs="Arial" w:eastAsia="Arial" w:hAnsi="Arial"/>
          <w:b/>
          <w:bCs/>
          <w:color w:val="2563A8"/>
          <w:sz w:val="21"/>
          <w:szCs w:val="21"/>
        </w:rPr>
        <w:t xml:space="preserve">  ·  Retail de luxe</w:t>
      </w:r>
      <w:r>
        <w:rPr>
          <w:rFonts w:ascii="Arial" w:cs="Arial" w:eastAsia="Arial" w:hAnsi="Arial"/>
          <w:i/>
          <w:iCs/>
          <w:color w:val="5A5A5A"/>
          <w:sz w:val="19"/>
          <w:szCs w:val="19"/>
        </w:rPr>
        <w:t xml:space="preserve">  ·  09/2015 – 01/2017</w:t>
      </w:r>
    </w:p>
    <w:p>
      <w:pPr>
        <w:spacing w:after="60" w:before="40"/>
        <w:jc w:val="both"/>
      </w:pPr>
      <w:r>
        <w:rPr>
          <w:rFonts w:ascii="Arial" w:cs="Arial" w:eastAsia="Arial" w:hAnsi="Arial"/>
          <w:i/>
          <w:iCs/>
          <w:color w:val="5A5A5A"/>
          <w:sz w:val="19"/>
          <w:szCs w:val="19"/>
        </w:rPr>
        <w:t xml:space="preserve">Expérience client intelligente, analyse des KPIs de fidélisation et moteur de recommandation.</w:t>
      </w:r>
    </w:p>
    <w:p>
      <w:pPr>
        <w:spacing w:after="30" w:before="30"/>
        <w:jc w:val="both"/>
      </w:pPr>
      <w:r>
        <w:rPr>
          <w:rFonts w:ascii="Arial" w:cs="Arial" w:eastAsia="Arial" w:hAnsi="Arial"/>
          <w:color w:val="1C1C1C"/>
          <w:sz w:val="19"/>
          <w:szCs w:val="19"/>
        </w:rPr>
        <w:t xml:space="preserve">Analyse du churn et de la rétention clients ; prédiction des comportements d'achat ; moteur de recommandation par filtrage collaboratif (corrélations de Pearson). Migration Oracle SQL vers Cassandra via Sqoop, capture de flux asynchrones Kafka, analyses temps réel Spark/Storm.</w:t>
      </w:r>
    </w:p>
    <w:p>
      <w:pPr>
        <w:spacing w:after="10" w:before="40"/>
      </w:pPr>
      <w:r>
        <w:rPr>
          <w:rFonts w:ascii="Arial" w:cs="Arial" w:eastAsia="Arial" w:hAnsi="Arial"/>
          <w:b/>
          <w:bCs/>
          <w:color w:val="1A4E8C"/>
          <w:sz w:val="18"/>
          <w:szCs w:val="18"/>
        </w:rPr>
        <w:t xml:space="preserve">Stack : </w:t>
      </w:r>
      <w:r>
        <w:rPr>
          <w:rFonts w:ascii="Arial" w:cs="Arial" w:eastAsia="Arial" w:hAnsi="Arial"/>
          <w:color w:val="5A5A5A"/>
          <w:sz w:val="18"/>
          <w:szCs w:val="18"/>
        </w:rPr>
        <w:t xml:space="preserve">Python (Sklearn, H2O), Hadoop, Kafka, Power BI, ETL</w:t>
      </w:r>
    </w:p>
    <w:p>
      <w:pPr>
        <w:spacing w:before="60"/>
      </w:pPr>
    </w:p>
    <w:p>
      <w:pPr>
        <w:spacing w:after="40" w:before="220"/>
      </w:pPr>
      <w:r>
        <w:rPr>
          <w:rFonts w:ascii="Arial" w:cs="Arial" w:eastAsia="Arial" w:hAnsi="Arial"/>
          <w:b/>
          <w:bCs/>
          <w:color w:val="1C1C1C"/>
          <w:sz w:val="23"/>
          <w:szCs w:val="23"/>
        </w:rPr>
        <w:t xml:space="preserve">Data Scientist</w:t>
      </w:r>
      <w:r>
        <w:rPr>
          <w:rFonts w:ascii="Arial" w:cs="Arial" w:eastAsia="Arial" w:hAnsi="Arial"/>
          <w:b/>
          <w:bCs/>
          <w:color w:val="2563A8"/>
          <w:sz w:val="21"/>
          <w:szCs w:val="21"/>
        </w:rPr>
        <w:t xml:space="preserve">  ·  BeamLabs / Lotsys &amp; Française des Jeux</w:t>
      </w:r>
      <w:r>
        <w:rPr>
          <w:rFonts w:ascii="Arial" w:cs="Arial" w:eastAsia="Arial" w:hAnsi="Arial"/>
          <w:i/>
          <w:iCs/>
          <w:color w:val="5A5A5A"/>
          <w:sz w:val="19"/>
          <w:szCs w:val="19"/>
        </w:rPr>
        <w:t xml:space="preserve">  ·  11/2014 – 09/2015</w:t>
      </w:r>
    </w:p>
    <w:p>
      <w:pPr>
        <w:spacing w:after="60" w:before="40"/>
        <w:jc w:val="both"/>
      </w:pPr>
      <w:r>
        <w:rPr>
          <w:rFonts w:ascii="Arial" w:cs="Arial" w:eastAsia="Arial" w:hAnsi="Arial"/>
          <w:i/>
          <w:iCs/>
          <w:color w:val="5A5A5A"/>
          <w:sz w:val="19"/>
          <w:szCs w:val="19"/>
        </w:rPr>
        <w:t xml:space="preserve">Mise en place du socle Big Data de la FDJ, moteur de recommandation temps réel et marketing prédictif (confidentiel).</w:t>
      </w:r>
    </w:p>
    <w:p>
      <w:pPr>
        <w:spacing w:after="30" w:before="30"/>
        <w:jc w:val="both"/>
      </w:pPr>
      <w:r>
        <w:rPr>
          <w:rFonts w:ascii="Arial" w:cs="Arial" w:eastAsia="Arial" w:hAnsi="Arial"/>
          <w:color w:val="1C1C1C"/>
          <w:sz w:val="19"/>
          <w:szCs w:val="19"/>
        </w:rPr>
        <w:t xml:space="preserve">Croisement de données internes (transactions, clics, historique de jeux) avec des données exogènes web-crawlées (météo, géolocalisation, socio-économique). Web scraping distribué, architecture Hadoop/HBase, indexation ElasticSearch.</w:t>
      </w:r>
    </w:p>
    <w:p>
      <w:pPr>
        <w:spacing w:after="10" w:before="40"/>
      </w:pPr>
      <w:r>
        <w:rPr>
          <w:rFonts w:ascii="Arial" w:cs="Arial" w:eastAsia="Arial" w:hAnsi="Arial"/>
          <w:b/>
          <w:bCs/>
          <w:color w:val="1A4E8C"/>
          <w:sz w:val="18"/>
          <w:szCs w:val="18"/>
        </w:rPr>
        <w:t xml:space="preserve">Stack : </w:t>
      </w:r>
      <w:r>
        <w:rPr>
          <w:rFonts w:ascii="Arial" w:cs="Arial" w:eastAsia="Arial" w:hAnsi="Arial"/>
          <w:color w:val="5A5A5A"/>
          <w:sz w:val="18"/>
          <w:szCs w:val="18"/>
        </w:rPr>
        <w:t xml:space="preserve">Python (Sklearn, NLTK, H2O), Spark, SQL, ElasticSearch, Kibana, Hortonworks</w:t>
      </w:r>
    </w:p>
    <w:p>
      <w:pPr>
        <w:spacing w:before="60"/>
      </w:pPr>
    </w:p>
    <w:p>
      <w:pPr>
        <w:spacing w:after="40" w:before="220"/>
      </w:pPr>
      <w:r>
        <w:rPr>
          <w:rFonts w:ascii="Arial" w:cs="Arial" w:eastAsia="Arial" w:hAnsi="Arial"/>
          <w:b/>
          <w:bCs/>
          <w:color w:val="1C1C1C"/>
          <w:sz w:val="23"/>
          <w:szCs w:val="23"/>
        </w:rPr>
        <w:t xml:space="preserve">Ingénieur R&amp;D – Ph.D.</w:t>
      </w:r>
      <w:r>
        <w:rPr>
          <w:rFonts w:ascii="Arial" w:cs="Arial" w:eastAsia="Arial" w:hAnsi="Arial"/>
          <w:b/>
          <w:bCs/>
          <w:color w:val="2563A8"/>
          <w:sz w:val="21"/>
          <w:szCs w:val="21"/>
        </w:rPr>
        <w:t xml:space="preserve">  ·  CentraleSupélec / LPICM, Université Paris-Saclay</w:t>
      </w:r>
      <w:r>
        <w:rPr>
          <w:rFonts w:ascii="Arial" w:cs="Arial" w:eastAsia="Arial" w:hAnsi="Arial"/>
          <w:i/>
          <w:iCs/>
          <w:color w:val="5A5A5A"/>
          <w:sz w:val="19"/>
          <w:szCs w:val="19"/>
        </w:rPr>
        <w:t xml:space="preserve">  ·  02/2010 – 10/2014</w:t>
      </w:r>
    </w:p>
    <w:p>
      <w:pPr>
        <w:spacing w:after="60" w:before="40"/>
        <w:jc w:val="both"/>
      </w:pPr>
      <w:r>
        <w:rPr>
          <w:rFonts w:ascii="Arial" w:cs="Arial" w:eastAsia="Arial" w:hAnsi="Arial"/>
          <w:i/>
          <w:iCs/>
          <w:color w:val="5A5A5A"/>
          <w:sz w:val="19"/>
          <w:szCs w:val="19"/>
        </w:rPr>
        <w:t xml:space="preserve">ML appliqué aux nanotechnologies photovoltaïques. Modélisation graphène, simulation de transistors, optimisation de l'absorption optique.</w:t>
      </w:r>
    </w:p>
    <w:p>
      <w:pPr>
        <w:spacing w:after="30" w:before="30"/>
        <w:jc w:val="both"/>
      </w:pPr>
      <w:r>
        <w:rPr>
          <w:rFonts w:ascii="Arial" w:cs="Arial" w:eastAsia="Arial" w:hAnsi="Arial"/>
          <w:color w:val="1C1C1C"/>
          <w:sz w:val="19"/>
          <w:szCs w:val="19"/>
        </w:rPr>
        <w:t xml:space="preserve">18 articles scientifiques publiés dans des revues internationales — 7 conférences (présentations orales et écrites).</w:t>
      </w:r>
    </w:p>
    <w:p>
      <w:pPr>
        <w:spacing w:after="10" w:before="40"/>
      </w:pPr>
      <w:r>
        <w:rPr>
          <w:rFonts w:ascii="Arial" w:cs="Arial" w:eastAsia="Arial" w:hAnsi="Arial"/>
          <w:b/>
          <w:bCs/>
          <w:color w:val="1A4E8C"/>
          <w:sz w:val="18"/>
          <w:szCs w:val="18"/>
        </w:rPr>
        <w:t xml:space="preserve">Stack : </w:t>
      </w:r>
      <w:r>
        <w:rPr>
          <w:rFonts w:ascii="Arial" w:cs="Arial" w:eastAsia="Arial" w:hAnsi="Arial"/>
          <w:color w:val="5A5A5A"/>
          <w:sz w:val="18"/>
          <w:szCs w:val="18"/>
        </w:rPr>
        <w:t xml:space="preserve">Python, R, R-Shiny, Lumerical, Java</w:t>
      </w:r>
    </w:p>
    <w:p>
      <w:pPr>
        <w:spacing w:before="80"/>
      </w:pPr>
    </w:p>
    <w:p>
      <w:pPr>
        <w:pBdr>
          <w:bottom w:val="single" w:color="1A4E8C" w:sz="10" w:space="4"/>
        </w:pBdr>
        <w:spacing w:after="100" w:before="320"/>
      </w:pPr>
      <w:r>
        <w:rPr>
          <w:rFonts w:ascii="Arial" w:cs="Arial" w:eastAsia="Arial" w:hAnsi="Arial"/>
          <w:b/>
          <w:bCs/>
          <w:color w:val="1A4E8C"/>
          <w:spacing w:val="40"/>
          <w:sz w:val="24"/>
          <w:szCs w:val="24"/>
        </w:rPr>
        <w:t xml:space="preserve">FORMATION</w:t>
      </w:r>
    </w:p>
    <w:p>
      <w:pPr>
        <w:spacing w:after="10" w:before="70"/>
      </w:pPr>
      <w:r>
        <w:rPr>
          <w:rFonts w:ascii="Arial" w:cs="Arial" w:eastAsia="Arial" w:hAnsi="Arial"/>
          <w:b/>
          <w:bCs/>
          <w:color w:val="1C1C1C"/>
          <w:sz w:val="20"/>
          <w:szCs w:val="20"/>
        </w:rPr>
        <w:t xml:space="preserve">Ph.D. — CentraleSupélec, Université Paris-Saclay</w:t>
      </w:r>
    </w:p>
    <w:p>
      <w:pPr>
        <w:spacing w:after="10" w:before="0"/>
      </w:pPr>
      <w:r>
        <w:rPr>
          <w:rFonts w:ascii="Arial" w:cs="Arial" w:eastAsia="Arial" w:hAnsi="Arial"/>
          <w:color w:val="5A5A5A"/>
          <w:sz w:val="19"/>
          <w:szCs w:val="19"/>
        </w:rPr>
        <w:t xml:space="preserve">Master of Sciences — Université Pierre et Marie Curie Paris VI</w:t>
      </w:r>
    </w:p>
    <w:p>
      <w:pPr>
        <w:spacing w:after="60" w:before="0"/>
      </w:pPr>
      <w:r>
        <w:rPr>
          <w:rFonts w:ascii="Arial" w:cs="Arial" w:eastAsia="Arial" w:hAnsi="Arial"/>
          <w:color w:val="5A5A5A"/>
          <w:sz w:val="19"/>
          <w:szCs w:val="19"/>
        </w:rPr>
        <w:t xml:space="preserve">Maîtrise en Sciences de l'Ingénieur — Université Paris Diderot Paris VII</w:t>
      </w:r>
    </w:p>
    <w:p>
      <w:pPr>
        <w:pBdr>
          <w:bottom w:val="single" w:color="1A4E8C" w:sz="10" w:space="4"/>
        </w:pBdr>
        <w:spacing w:after="100" w:before="320"/>
      </w:pPr>
      <w:r>
        <w:rPr>
          <w:rFonts w:ascii="Arial" w:cs="Arial" w:eastAsia="Arial" w:hAnsi="Arial"/>
          <w:b/>
          <w:bCs/>
          <w:color w:val="1A4E8C"/>
          <w:spacing w:val="40"/>
          <w:sz w:val="24"/>
          <w:szCs w:val="24"/>
        </w:rPr>
        <w:t xml:space="preserve">PUBLICATIONS &amp; CONFÉRENCES</w:t>
      </w:r>
    </w:p>
    <w:p>
      <w:pPr>
        <w:pStyle w:val="ListParagraph"/>
        <w:numPr>
          <w:ilvl w:val="0"/>
          <w:numId w:val="2"/>
        </w:numPr>
        <w:spacing w:after="24" w:before="24"/>
      </w:pPr>
      <w:r>
        <w:rPr>
          <w:rFonts w:ascii="Arial" w:cs="Arial" w:eastAsia="Arial" w:hAnsi="Arial"/>
          <w:color w:val="1C1C1C"/>
          <w:sz w:val="19"/>
          <w:szCs w:val="19"/>
        </w:rPr>
        <w:t xml:space="preserve">Architecture of a Public Transport Supervision System Using Hybridization Models Based on Real and Predictive Data — IEEE Xplore (DSD 2020)</w:t>
      </w:r>
    </w:p>
    <w:p>
      <w:pPr>
        <w:pStyle w:val="ListParagraph"/>
        <w:numPr>
          <w:ilvl w:val="0"/>
          <w:numId w:val="2"/>
        </w:numPr>
        <w:spacing w:after="24" w:before="24"/>
      </w:pPr>
      <w:r>
        <w:rPr>
          <w:rFonts w:ascii="Arial" w:cs="Arial" w:eastAsia="Arial" w:hAnsi="Arial"/>
          <w:color w:val="1C1C1C"/>
          <w:sz w:val="19"/>
          <w:szCs w:val="19"/>
        </w:rPr>
        <w:t xml:space="preserve">Disruption impact on the offer and demand on the public transport network in Paris</w:t>
      </w:r>
    </w:p>
    <w:p>
      <w:pPr>
        <w:pStyle w:val="ListParagraph"/>
        <w:numPr>
          <w:ilvl w:val="0"/>
          <w:numId w:val="2"/>
        </w:numPr>
        <w:spacing w:after="24" w:before="24"/>
      </w:pPr>
      <w:r>
        <w:rPr>
          <w:rFonts w:ascii="Arial" w:cs="Arial" w:eastAsia="Arial" w:hAnsi="Arial"/>
          <w:color w:val="1C1C1C"/>
          <w:sz w:val="19"/>
          <w:szCs w:val="19"/>
        </w:rPr>
        <w:t xml:space="preserve">Big Data Paris 2018 — Speaker : « We can tell you by what external context your sales is influenced »</w:t>
      </w:r>
    </w:p>
    <w:p>
      <w:pPr>
        <w:spacing w:before="80"/>
      </w:pPr>
    </w:p>
    <w:p>
      <w:pPr>
        <w:pBdr>
          <w:bottom w:val="single" w:color="1A4E8C" w:sz="10" w:space="4"/>
        </w:pBdr>
        <w:spacing w:after="100" w:before="320"/>
      </w:pPr>
      <w:r>
        <w:rPr>
          <w:rFonts w:ascii="Arial" w:cs="Arial" w:eastAsia="Arial" w:hAnsi="Arial"/>
          <w:b/>
          <w:bCs/>
          <w:color w:val="1A4E8C"/>
          <w:spacing w:val="40"/>
          <w:sz w:val="24"/>
          <w:szCs w:val="24"/>
        </w:rPr>
        <w:t xml:space="preserve">LANGUES</w:t>
      </w:r>
    </w:p>
    <w:p>
      <w:pPr>
        <w:spacing w:before="60"/>
      </w:pPr>
      <w:r>
        <w:rPr>
          <w:rFonts w:ascii="Arial" w:cs="Arial" w:eastAsia="Arial" w:hAnsi="Arial"/>
          <w:b/>
          <w:bCs/>
          <w:color w:val="1C1C1C"/>
          <w:sz w:val="19"/>
          <w:szCs w:val="19"/>
        </w:rPr>
        <w:t xml:space="preserve">Français : </w:t>
      </w:r>
      <w:r>
        <w:rPr>
          <w:rFonts w:ascii="Arial" w:cs="Arial" w:eastAsia="Arial" w:hAnsi="Arial"/>
          <w:color w:val="1C1C1C"/>
          <w:sz w:val="19"/>
          <w:szCs w:val="19"/>
        </w:rPr>
        <w:t xml:space="preserve">bilingue</w:t>
      </w:r>
      <w:r>
        <w:rPr>
          <w:rFonts w:ascii="Arial" w:cs="Arial" w:eastAsia="Arial" w:hAnsi="Arial"/>
          <w:b/>
          <w:bCs/>
          <w:color w:val="1C1C1C"/>
          <w:sz w:val="19"/>
          <w:szCs w:val="19"/>
        </w:rPr>
        <w:t xml:space="preserve">     Anglais : </w:t>
      </w:r>
      <w:r>
        <w:rPr>
          <w:rFonts w:ascii="Arial" w:cs="Arial" w:eastAsia="Arial" w:hAnsi="Arial"/>
          <w:color w:val="1C1C1C"/>
          <w:sz w:val="19"/>
          <w:szCs w:val="19"/>
        </w:rPr>
        <w:t xml:space="preserve">courant</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2026-05-04T12:20:51.135Z</dcterms:created>
  <dcterms:modified xsi:type="dcterms:W3CDTF">2026-05-04T12:20:51.136Z</dcterms:modified>
</cp:coreProperties>
</file>

<file path=docProps/custom.xml><?xml version="1.0" encoding="utf-8"?>
<Properties xmlns="http://schemas.openxmlformats.org/officeDocument/2006/custom-properties" xmlns:vt="http://schemas.openxmlformats.org/officeDocument/2006/docPropsVTypes"/>
</file>