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PRÉPARATION</w:t>
      </w:r>
      <w:r>
        <w:t xml:space="preserve"> </w:t>
      </w:r>
      <w:r>
        <w:t xml:space="preserve">DU</w:t>
      </w:r>
      <w:r>
        <w:t xml:space="preserve"> </w:t>
      </w:r>
      <w:r>
        <w:t xml:space="preserve">POINT</w:t>
      </w:r>
      <w:r>
        <w:t xml:space="preserve"> </w:t>
      </w:r>
      <w:r>
        <w:t xml:space="preserve">DE</w:t>
      </w:r>
      <w:r>
        <w:t xml:space="preserve"> </w:t>
      </w:r>
      <w:r>
        <w:t xml:space="preserve">RESTITUTION</w:t>
      </w:r>
    </w:p>
    <w:p>
      <w:pPr>
        <w:pStyle w:val="Author"/>
      </w:pPr>
      <w:r>
        <w:t xml:space="preserve">Enedis</w:t>
      </w:r>
      <w:r>
        <w:t xml:space="preserve"> </w:t>
      </w:r>
      <w:r>
        <w:t xml:space="preserve">via</w:t>
      </w:r>
      <w:r>
        <w:t xml:space="preserve"> </w:t>
      </w:r>
      <w:r>
        <w:t xml:space="preserve">Yélé</w:t>
      </w:r>
      <w:r>
        <w:t xml:space="preserve"> </w:t>
      </w:r>
      <w:r>
        <w:t xml:space="preserve">Consulting</w:t>
      </w:r>
      <w:r>
        <w:t xml:space="preserve"> </w:t>
      </w:r>
      <w:r>
        <w:t xml:space="preserve">·</w:t>
      </w:r>
      <w:r>
        <w:t xml:space="preserve"> </w:t>
      </w:r>
      <w:r>
        <w:t xml:space="preserve">lundi</w:t>
      </w:r>
      <w:r>
        <w:t xml:space="preserve"> </w:t>
      </w:r>
      <w:r>
        <w:t xml:space="preserve">8</w:t>
      </w:r>
      <w:r>
        <w:t xml:space="preserve"> </w:t>
      </w:r>
      <w:r>
        <w:t xml:space="preserve">septembre</w:t>
      </w:r>
      <w:r>
        <w:t xml:space="preserve"> </w:t>
      </w:r>
      <w:r>
        <w:t xml:space="preserve">2026</w:t>
      </w:r>
    </w:p>
    <w:p>
      <w:pPr>
        <w:pStyle w:val="Heading2"/>
      </w:pPr>
      <w:bookmarkStart w:id="20" w:name="où-vous-en-êtes"/>
      <w:r>
        <w:t xml:space="preserve">Où vous en êtes</w:t>
      </w:r>
      <w:bookmarkEnd w:id="20"/>
    </w:p>
    <w:p>
      <w:pPr>
        <w:pStyle w:val="FirstParagraph"/>
      </w:pPr>
      <w:r>
        <w:t xml:space="preserve">Vous n’êtes pas candidat, vous êtes sollicité. Le recruteur vous a contacté le</w:t>
      </w:r>
      <w:r>
        <w:t xml:space="preserve"> </w:t>
      </w:r>
      <w:r>
        <w:t xml:space="preserve">4 septembre, le démarrage est annoncé au 21 septembre, soit dans deux semaines.</w:t>
      </w:r>
      <w:r>
        <w:t xml:space="preserve"> </w:t>
      </w:r>
      <w:r>
        <w:t xml:space="preserve">Un intermédiaire qui appelle à quinze jours du démarrage n’est pas en position</w:t>
      </w:r>
      <w:r>
        <w:t xml:space="preserve"> </w:t>
      </w:r>
      <w:r>
        <w:t xml:space="preserve">de marchander.</w:t>
      </w:r>
    </w:p>
    <w:p>
      <w:pPr>
        <w:pStyle w:val="BodyText"/>
      </w:pPr>
      <w:r>
        <w:t xml:space="preserve">L’exercice de lundi n’est pas un examen technique. Un cabinet de conseil vous</w:t>
      </w:r>
      <w:r>
        <w:t xml:space="preserve"> </w:t>
      </w:r>
      <w:r>
        <w:t xml:space="preserve">demande de restituer votre compréhension d’un besoin : il teste votre façon de</w:t>
      </w:r>
      <w:r>
        <w:t xml:space="preserve"> </w:t>
      </w:r>
      <w:r>
        <w:t xml:space="preserve">structurer un problème avant de vous présenter à son client.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os-cinq-points-dappui"/>
      <w:r>
        <w:t xml:space="preserve">Vos cinq points d’appui</w:t>
      </w:r>
      <w:bookmarkEnd w:id="21"/>
    </w:p>
    <w:p>
      <w:pPr>
        <w:pStyle w:val="Heading3"/>
      </w:pPr>
      <w:bookmarkStart w:id="22" w:name="mcp-en-production-sur-deux-contextes"/>
      <w:r>
        <w:t xml:space="preserve">1. MCP en production, sur deux contextes</w:t>
      </w:r>
      <w:bookmarkEnd w:id="22"/>
    </w:p>
    <w:p>
      <w:pPr>
        <w:pStyle w:val="FirstParagraph"/>
      </w:pPr>
      <w:r>
        <w:t xml:space="preserve">C’est devenu votre différenciateur le plus rare, et il tombe exactement sur ce</w:t>
      </w:r>
      <w:r>
        <w:t xml:space="preserve"> </w:t>
      </w:r>
      <w:r>
        <w:t xml:space="preserve">que l’annonce demande — des agents « capables d’exploiter des bases</w:t>
      </w:r>
      <w:r>
        <w:t xml:space="preserve"> </w:t>
      </w:r>
      <w:r>
        <w:t xml:space="preserve">documentaires métiers et d’accéder à des APIs internes ».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TotalEnergies</w:t>
      </w:r>
      <w:r>
        <w:t xml:space="preserve"> </w:t>
      </w:r>
      <w:r>
        <w:t xml:space="preserve">: serveurs MCP exposant les données de forage, pour</w:t>
      </w:r>
      <w:r>
        <w:t xml:space="preserve"> </w:t>
      </w:r>
      <w:r>
        <w:t xml:space="preserve">l’analyse automatisée des rapports journaliers et des incidents par des</w:t>
      </w:r>
      <w:r>
        <w:t xml:space="preserve"> </w:t>
      </w:r>
      <w:r>
        <w:t xml:space="preserve">agents IA. Contexte industriel, données d’exploitation. C’est votre</w:t>
      </w:r>
      <w:r>
        <w:t xml:space="preserve"> </w:t>
      </w:r>
      <w:r>
        <w:t xml:space="preserve">meilleure référence sur cette mission, devant tout le reste.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BIL</w:t>
      </w:r>
      <w:r>
        <w:t xml:space="preserve"> </w:t>
      </w:r>
      <w:r>
        <w:t xml:space="preserve">: serveurs MCP exposant les métadonnées clients issues de Snowflake.</w:t>
      </w:r>
      <w:r>
        <w:t xml:space="preserve"> </w:t>
      </w:r>
      <w:r>
        <w:t xml:space="preserve">Deuxième contexte, secteur régulé — ce n’est donc pas un coup unique.</w:t>
      </w:r>
    </w:p>
    <w:p>
      <w:pPr>
        <w:pStyle w:val="FirstParagraph"/>
      </w:pPr>
      <w:r>
        <w:t xml:space="preserve">Très peu de candidats auront MCP en production. Ne le laissez pas passer</w:t>
      </w:r>
      <w:r>
        <w:t xml:space="preserve"> </w:t>
      </w:r>
      <w:r>
        <w:t xml:space="preserve">comme une ligne parmi d’autres.</w:t>
      </w:r>
    </w:p>
    <w:p>
      <w:pPr>
        <w:pStyle w:val="Heading3"/>
      </w:pPr>
      <w:bookmarkStart w:id="23" w:name="Xdda681beca5e652041f922284b5f7e90ed79482"/>
      <w:r>
        <w:t xml:space="preserve">2. La réversibilité, et l’argument que personne d’autre ne fera</w:t>
      </w:r>
      <w:bookmarkEnd w:id="23"/>
    </w:p>
    <w:p>
      <w:pPr>
        <w:pStyle w:val="FirstParagraph"/>
      </w:pPr>
      <w:r>
        <w:t xml:space="preserve">L’annonce l’exige explicitement : « garantir la réversibilité des solutions</w:t>
      </w:r>
      <w:r>
        <w:t xml:space="preserve"> </w:t>
      </w:r>
      <w:r>
        <w:t xml:space="preserve">mises en place ». Or MCP en est précisément un levier — exposer les API</w:t>
      </w:r>
      <w:r>
        <w:t xml:space="preserve"> </w:t>
      </w:r>
      <w:r>
        <w:t xml:space="preserve">internes derrière un protocole ouvert plutôt que derrière des connecteurs</w:t>
      </w:r>
      <w:r>
        <w:t xml:space="preserve"> </w:t>
      </w:r>
      <w:r>
        <w:t xml:space="preserve">propres à un framework permet de changer d’orchestrateur, de framework ou de</w:t>
      </w:r>
      <w:r>
        <w:t xml:space="preserve"> </w:t>
      </w:r>
      <w:r>
        <w:t xml:space="preserve">modèle sans réécrire les intégrations.</w:t>
      </w:r>
    </w:p>
    <w:p>
      <w:pPr>
        <w:pStyle w:val="BodyText"/>
      </w:pPr>
      <w:r>
        <w:t xml:space="preserve">Chez un opérateur d’infrastructure dont les systèmes vivent des décennies et</w:t>
      </w:r>
      <w:r>
        <w:t xml:space="preserve"> </w:t>
      </w:r>
      <w:r>
        <w:t xml:space="preserve">survivront à plusieurs générations de modèles, ce n’est pas une commodité,</w:t>
      </w:r>
      <w:r>
        <w:t xml:space="preserve"> </w:t>
      </w:r>
      <w:r>
        <w:t xml:space="preserve">c’est un choix d’architecture.</w:t>
      </w:r>
    </w:p>
    <w:p>
      <w:pPr>
        <w:pStyle w:val="BlockText"/>
      </w:pPr>
      <w:r>
        <w:t xml:space="preserve">« MCP m’intéresse surtout pour la réversibilité que vous demandez : je m’en</w:t>
      </w:r>
      <w:r>
        <w:t xml:space="preserve"> </w:t>
      </w:r>
      <w:r>
        <w:t xml:space="preserve">suis servi chez TotalEnergies pour exposer les données de forage aux agents,</w:t>
      </w:r>
      <w:r>
        <w:t xml:space="preserve"> </w:t>
      </w:r>
      <w:r>
        <w:t xml:space="preserve">et c’est ce qui permet de changer d’orchestrateur sans refaire les</w:t>
      </w:r>
      <w:r>
        <w:t xml:space="preserve"> </w:t>
      </w:r>
      <w:r>
        <w:t xml:space="preserve">intégrations. »</w:t>
      </w:r>
    </w:p>
    <w:p>
      <w:pPr>
        <w:pStyle w:val="Heading3"/>
      </w:pPr>
      <w:bookmarkStart w:id="24" w:name="X7e4df58d8e747fa926fa6ca36f1855a6156ff2b"/>
      <w:r>
        <w:t xml:space="preserve">3. L’acculturation, qui pèse la moitié du poste</w:t>
      </w:r>
      <w:bookmarkEnd w:id="24"/>
    </w:p>
    <w:p>
      <w:pPr>
        <w:pStyle w:val="FirstParagraph"/>
      </w:pPr>
      <w:r>
        <w:t xml:space="preserve">Relisez l’annonce : identifier les cas d’usage, former les utilisateurs,</w:t>
      </w:r>
      <w:r>
        <w:t xml:space="preserve"> </w:t>
      </w:r>
      <w:r>
        <w:t xml:space="preserve">sensibiliser aux risques de l’IA, animer une communauté technique, organiser</w:t>
      </w:r>
      <w:r>
        <w:t xml:space="preserve"> </w:t>
      </w:r>
      <w:r>
        <w:t xml:space="preserve">des ateliers, favoriser le partage de retours d’expérience. C’est du transfert</w:t>
      </w:r>
      <w:r>
        <w:t xml:space="preserve"> </w:t>
      </w:r>
      <w:r>
        <w:t xml:space="preserve">de compétence, pas de l’ingénierie — et c’est écrit comme une responsabilité à</w:t>
      </w:r>
      <w:r>
        <w:t xml:space="preserve"> </w:t>
      </w:r>
      <w:r>
        <w:t xml:space="preserve">part entière.</w:t>
      </w:r>
    </w:p>
    <w:p>
      <w:pPr>
        <w:pStyle w:val="BodyText"/>
      </w:pPr>
      <w:r>
        <w:t xml:space="preserve">Six formations professionnelles conçues et animées pour SQLI Institute et</w:t>
      </w:r>
      <w:r>
        <w:t xml:space="preserve"> </w:t>
      </w:r>
      <w:r>
        <w:t xml:space="preserve">FItec. Intervenant à Big Data Paris. Encadrement d’une équipe pluridisciplinaire</w:t>
      </w:r>
      <w:r>
        <w:t xml:space="preserve"> </w:t>
      </w:r>
      <w:r>
        <w:t xml:space="preserve">d’une vingtaine de personnes chez TotalEnergies.</w:t>
      </w:r>
    </w:p>
    <w:p>
      <w:pPr>
        <w:pStyle w:val="BodyText"/>
      </w:pPr>
      <w:r>
        <w:rPr>
          <w:b/>
        </w:rPr>
        <w:t xml:space="preserve">À dire explicitement.</w:t>
      </w:r>
      <w:r>
        <w:t xml:space="preserve"> </w:t>
      </w:r>
      <w:r>
        <w:t xml:space="preserve">Peu de profils techniques savent faire adopter un</w:t>
      </w:r>
      <w:r>
        <w:t xml:space="preserve"> </w:t>
      </w:r>
      <w:r>
        <w:t xml:space="preserve">outil. C’est un argument qu’il faut sortir, pas espérer qu’il soit deviné.</w:t>
      </w:r>
    </w:p>
    <w:p>
      <w:pPr>
        <w:pStyle w:val="Heading3"/>
      </w:pPr>
      <w:bookmarkStart w:id="25" w:name="le-secteur"/>
      <w:r>
        <w:t xml:space="preserve">4. Le secteur</w:t>
      </w:r>
      <w:bookmarkEnd w:id="25"/>
    </w:p>
    <w:p>
      <w:pPr>
        <w:pStyle w:val="FirstParagraph"/>
      </w:pPr>
      <w:r>
        <w:t xml:space="preserve">Cinq ans chez TotalEnergies sur des plateformes Data et IA en environnement</w:t>
      </w:r>
      <w:r>
        <w:t xml:space="preserve"> </w:t>
      </w:r>
      <w:r>
        <w:t xml:space="preserve">industriel. Un opérateur de réseau électrique partage les mêmes contraintes :</w:t>
      </w:r>
      <w:r>
        <w:t xml:space="preserve"> </w:t>
      </w:r>
      <w:r>
        <w:t xml:space="preserve">criticité, sûreté de fonctionnement, patrimoine applicatif ancien, données</w:t>
      </w:r>
      <w:r>
        <w:t xml:space="preserve"> </w:t>
      </w:r>
      <w:r>
        <w:t xml:space="preserve">d’exploitation. Les rapports de forage et les rapports d’incidents relèvent de</w:t>
      </w:r>
      <w:r>
        <w:t xml:space="preserve"> </w:t>
      </w:r>
      <w:r>
        <w:t xml:space="preserve">la même famille de documents que ce qu’ils veulent traiter.</w:t>
      </w:r>
    </w:p>
    <w:p>
      <w:pPr>
        <w:pStyle w:val="Heading3"/>
      </w:pPr>
      <w:bookmarkStart w:id="26" w:name="la-performance-sous-charge"/>
      <w:r>
        <w:t xml:space="preserve">5. La performance sous charge</w:t>
      </w:r>
      <w:bookmarkEnd w:id="26"/>
    </w:p>
    <w:p>
      <w:pPr>
        <w:pStyle w:val="FirstParagraph"/>
      </w:pPr>
      <w:r>
        <w:t xml:space="preserve">C’est le sujet réel qu’on vous a donné à l’oral, et c’est là que votre parcours</w:t>
      </w:r>
      <w:r>
        <w:t xml:space="preserve"> </w:t>
      </w:r>
      <w:r>
        <w:t xml:space="preserve">est le plus solide sans que ça se voie au premier regard : orchestration</w:t>
      </w:r>
      <w:r>
        <w:t xml:space="preserve"> </w:t>
      </w:r>
      <w:r>
        <w:t xml:space="preserve">multi-LLM avec routage, mise en cache, repli et maîtrise de la latence ;</w:t>
      </w:r>
      <w:r>
        <w:t xml:space="preserve"> </w:t>
      </w:r>
      <w:r>
        <w:t xml:space="preserve">optimisation GPU avec CUDA, FSDP, DeepSpeed, Ray et profilage torch.profiler</w:t>
      </w:r>
      <w:r>
        <w:t xml:space="preserve"> </w:t>
      </w:r>
      <w:r>
        <w:t xml:space="preserve">et Nsight.</w:t>
      </w:r>
    </w:p>
    <w:p>
      <w:pPr>
        <w:pStyle w:val="BodyText"/>
      </w:pPr>
      <w:r>
        <w:rPr>
          <w:b/>
        </w:rPr>
        <w:t xml:space="preserve">Formulation à retenir</w:t>
      </w:r>
      <w:r>
        <w:t xml:space="preserve"> </w:t>
      </w:r>
      <w:r>
        <w:t xml:space="preserve">: « la première réponse à un problème de charge est</w:t>
      </w:r>
      <w:r>
        <w:t xml:space="preserve"> </w:t>
      </w:r>
      <w:r>
        <w:t xml:space="preserve">rarement d’acheter des GPU ». Puis dérouler : mesurer, batching continu,</w:t>
      </w:r>
      <w:r>
        <w:t xml:space="preserve"> </w:t>
      </w:r>
      <w:r>
        <w:t xml:space="preserve">quantification, routage par complexité, cache — et ne dimensionner que ce qui</w:t>
      </w:r>
      <w:r>
        <w:t xml:space="preserve"> </w:t>
      </w:r>
      <w:r>
        <w:t xml:space="preserve">reste.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le-seul-manque-langgraph"/>
      <w:r>
        <w:t xml:space="preserve">Le seul manque : LangGraph</w:t>
      </w:r>
      <w:bookmarkEnd w:id="27"/>
    </w:p>
    <w:p>
      <w:pPr>
        <w:pStyle w:val="FirstParagraph"/>
      </w:pPr>
      <w:r>
        <w:t xml:space="preserve">MCP n’est plus un sujet. LangGraph reste le seul élément listé comme</w:t>
      </w:r>
      <w:r>
        <w:t xml:space="preserve"> </w:t>
      </w:r>
      <w:r>
        <w:t xml:space="preserve">rédhibitoire que vous n’avez pas pratiqué.</w:t>
      </w:r>
    </w:p>
    <w:p>
      <w:pPr>
        <w:pStyle w:val="BodyText"/>
      </w:pPr>
      <w:r>
        <w:t xml:space="preserve">À dire en une phrase, sans s’excuser :</w:t>
      </w:r>
    </w:p>
    <w:p>
      <w:pPr>
        <w:pStyle w:val="BlockText"/>
      </w:pPr>
      <w:r>
        <w:t xml:space="preserve">« LangGraph, pas en production. LangChain et LlamaIndex oui, quotidiennement.</w:t>
      </w:r>
      <w:r>
        <w:t xml:space="preserve"> </w:t>
      </w:r>
      <w:r>
        <w:t xml:space="preserve">C’est une surcouche d’orchestration à états — graphe, cycles, points de</w:t>
      </w:r>
      <w:r>
        <w:t xml:space="preserve"> </w:t>
      </w:r>
      <w:r>
        <w:t xml:space="preserve">contrôle, reprise, validation humaine — sur des concepts que je pratique.</w:t>
      </w:r>
      <w:r>
        <w:t xml:space="preserve"> </w:t>
      </w:r>
      <w:r>
        <w:t xml:space="preserve">Ce n’est pas un obstacle à quinze jours. »</w:t>
      </w:r>
    </w:p>
    <w:p>
      <w:pPr>
        <w:pStyle w:val="FirstParagraph"/>
      </w:pPr>
      <w:r>
        <w:t xml:space="preserve">Si on creuse : l’intérêt de LangGraph en production tient aux points de</w:t>
      </w:r>
      <w:r>
        <w:t xml:space="preserve"> </w:t>
      </w:r>
      <w:r>
        <w:t xml:space="preserve">contrôle, qui permettent de reprendre après incident sans tout rejouer, à</w:t>
      </w:r>
      <w:r>
        <w:t xml:space="preserve"> </w:t>
      </w:r>
      <w:r>
        <w:rPr>
          <w:rStyle w:val="VerbatimChar"/>
        </w:rPr>
        <w:t xml:space="preserve">interrupt_before</w:t>
      </w:r>
      <w:r>
        <w:t xml:space="preserve"> </w:t>
      </w:r>
      <w:r>
        <w:t xml:space="preserve">pour la validation humaine, et au bornage des exécutions —</w:t>
      </w:r>
      <w:r>
        <w:t xml:space="preserve"> </w:t>
      </w:r>
      <w:r>
        <w:t xml:space="preserve">plafond d’itérations, budget de tokens, délai de garde — qui est exactement la</w:t>
      </w:r>
      <w:r>
        <w:t xml:space="preserve"> </w:t>
      </w:r>
      <w:r>
        <w:t xml:space="preserve">réponse au risque d’agent en boucle non bornée. Donc à la charge.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cohérence-avec-le-cv-envoyé"/>
      <w:r>
        <w:t xml:space="preserve">Cohérence avec le CV envoyé</w:t>
      </w:r>
      <w:bookmarkEnd w:id="28"/>
    </w:p>
    <w:p>
      <w:pPr>
        <w:pStyle w:val="FirstParagraph"/>
      </w:pPr>
      <w:r>
        <w:t xml:space="preserve">Le CV transmis vous positionne comme</w:t>
      </w:r>
      <w:r>
        <w:t xml:space="preserve"> </w:t>
      </w:r>
      <w:r>
        <w:rPr>
          <w:b/>
        </w:rPr>
        <w:t xml:space="preserve">architecte et lead technique</w:t>
      </w:r>
      <w:r>
        <w:t xml:space="preserve">, pas</w:t>
      </w:r>
      <w:r>
        <w:t xml:space="preserve"> </w:t>
      </w:r>
      <w:r>
        <w:t xml:space="preserve">comme responsable de programme. Les intitulés de poste ont changé en</w:t>
      </w:r>
      <w:r>
        <w:t xml:space="preserve"> </w:t>
      </w:r>
      <w:r>
        <w:t xml:space="preserve">conséquence. Tenez ce registre à l’oral : vous concevez et vous construisez,</w:t>
      </w:r>
      <w:r>
        <w:t xml:space="preserve"> </w:t>
      </w:r>
      <w:r>
        <w:t xml:space="preserve">vous ne pilotez pas seulement.</w:t>
      </w:r>
    </w:p>
    <w:p>
      <w:pPr>
        <w:pStyle w:val="BodyText"/>
      </w:pPr>
      <w:r>
        <w:t xml:space="preserve">Trois affirmations du CV que vous devez pouvoir défendre 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« Une quinzaine de cas d’usage industrialisés » chez TotalEnergies</w:t>
      </w:r>
      <w:r>
        <w:t xml:space="preserve"> </w:t>
      </w:r>
      <w:r>
        <w:t xml:space="preserve">—</w:t>
      </w:r>
      <w:r>
        <w:t xml:space="preserve"> </w:t>
      </w:r>
      <w:r>
        <w:t xml:space="preserve">soyez prêt à en citer cinq ou six de mémoire.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« Déployés en environnement maîtrisé, on-premise comme cloud »</w:t>
      </w:r>
      <w:r>
        <w:t xml:space="preserve"> </w:t>
      </w:r>
      <w:r>
        <w:t xml:space="preserve">— si on</w:t>
      </w:r>
      <w:r>
        <w:t xml:space="preserve"> </w:t>
      </w:r>
      <w:r>
        <w:t xml:space="preserve">vous interroge, distinguez ce que vous avez servi sur infrastructure</w:t>
      </w:r>
      <w:r>
        <w:t xml:space="preserve"> </w:t>
      </w:r>
      <w:r>
        <w:t xml:space="preserve">interne de ce qui tournait en cloud.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Linux</w:t>
      </w:r>
      <w:r>
        <w:t xml:space="preserve"> </w:t>
      </w:r>
      <w:r>
        <w:t xml:space="preserve">— défendable en usage applicatif ; ne prétendez pas à</w:t>
      </w:r>
      <w:r>
        <w:t xml:space="preserve"> </w:t>
      </w:r>
      <w:r>
        <w:t xml:space="preserve">l’administration système fine.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ce-quil-ne-faut-pas-faire"/>
      <w:r>
        <w:t xml:space="preserve">Ce qu’il ne faut pas faire</w:t>
      </w:r>
      <w:bookmarkEnd w:id="29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 pas arriver avec une solution.</w:t>
      </w:r>
      <w:r>
        <w:t xml:space="preserve"> </w:t>
      </w:r>
      <w:r>
        <w:t xml:space="preserve">Ils testent la structuration d’un</w:t>
      </w:r>
      <w:r>
        <w:t xml:space="preserve"> </w:t>
      </w:r>
      <w:r>
        <w:t xml:space="preserve">problème. Vos quatre questions de cadrage valent mieux que dix</w:t>
      </w:r>
      <w:r>
        <w:t xml:space="preserve"> </w:t>
      </w:r>
      <w:r>
        <w:t xml:space="preserve">recommandations.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 pas survendre l’on-premise.</w:t>
      </w:r>
      <w:r>
        <w:t xml:space="preserve"> </w:t>
      </w:r>
      <w:r>
        <w:t xml:space="preserve">« J’ai déployé Mistral et LLaMA ;</w:t>
      </w:r>
      <w:r>
        <w:t xml:space="preserve"> </w:t>
      </w:r>
      <w:r>
        <w:t xml:space="preserve">l’on-premise change l’exploitation, pas les principes » est vrai et suffit.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 pas parler TJM en premier.</w:t>
      </w:r>
      <w:r>
        <w:t xml:space="preserve"> </w:t>
      </w:r>
      <w:r>
        <w:t xml:space="preserve">Le sujet vient en fin d’échange, après</w:t>
      </w:r>
      <w:r>
        <w:t xml:space="preserve"> </w:t>
      </w:r>
      <w:r>
        <w:t xml:space="preserve">qu’ils ont mesuré l’apport.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Ne pas oublier de nommer Cœur IA et Connect IA.</w:t>
      </w:r>
      <w:r>
        <w:t xml:space="preserve"> </w:t>
      </w:r>
      <w:r>
        <w:t xml:space="preserve">Ce sont les deux cellules</w:t>
      </w:r>
      <w:r>
        <w:t xml:space="preserve"> </w:t>
      </w:r>
      <w:r>
        <w:t xml:space="preserve">transverses citées dans l’annonce. Les mentionner montre que vous avez lu</w:t>
      </w:r>
      <w:r>
        <w:t xml:space="preserve"> </w:t>
      </w:r>
      <w:r>
        <w:t xml:space="preserve">au-delà du titre.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questions-probables-et-angles-de-réponse"/>
      <w:r>
        <w:t xml:space="preserve">Questions probables et angles de réponse</w:t>
      </w:r>
      <w:bookmarkEnd w:id="30"/>
    </w:p>
    <w:p>
      <w:pPr>
        <w:pStyle w:val="FirstParagraph"/>
      </w:pPr>
      <w:r>
        <w:rPr>
          <w:b/>
        </w:rPr>
        <w:t xml:space="preserve">« Comment aborderiez-vous le problème de charge ? »</w:t>
      </w:r>
      <w:r>
        <w:t xml:space="preserve"> </w:t>
      </w:r>
      <w:r>
        <w:t xml:space="preserve">Mesurer d’abord : latence aux percentiles 50, 95 et 99, tokens par cas</w:t>
      </w:r>
      <w:r>
        <w:t xml:space="preserve"> </w:t>
      </w:r>
      <w:r>
        <w:t xml:space="preserve">d’usage, taux d’occupation GPU, profil de concurrence. Une à deux semaines.</w:t>
      </w:r>
      <w:r>
        <w:t xml:space="preserve"> </w:t>
      </w:r>
      <w:r>
        <w:t xml:space="preserve">Puis les leviers sans matériel, par rendement décroissant : batching continu,</w:t>
      </w:r>
      <w:r>
        <w:t xml:space="preserve"> </w:t>
      </w:r>
      <w:r>
        <w:t xml:space="preserve">quantification, routage par complexité, cache sémantique, réduction du</w:t>
      </w:r>
      <w:r>
        <w:t xml:space="preserve"> </w:t>
      </w:r>
      <w:r>
        <w:t xml:space="preserve">contexte. Le matériel en dernier, justifié par la mesure.</w:t>
      </w:r>
    </w:p>
    <w:p>
      <w:pPr>
        <w:pStyle w:val="BodyText"/>
      </w:pPr>
      <w:r>
        <w:rPr>
          <w:b/>
        </w:rPr>
        <w:t xml:space="preserve">« Quelle est votre expérience du on-premise ? »</w:t>
      </w:r>
      <w:r>
        <w:t xml:space="preserve"> </w:t>
      </w:r>
      <w:r>
        <w:t xml:space="preserve">Mistral, LLaMA et Hugging Face déployés ; l’essentiel de mon exploitation est</w:t>
      </w:r>
      <w:r>
        <w:t xml:space="preserve"> </w:t>
      </w:r>
      <w:r>
        <w:t xml:space="preserve">cloud. Sur la charge, les leviers sont les mêmes — et la contrainte de parc</w:t>
      </w:r>
      <w:r>
        <w:t xml:space="preserve"> </w:t>
      </w:r>
      <w:r>
        <w:t xml:space="preserve">fixe rend justement l’optimisation plus décisive que dans le cloud, où l’on</w:t>
      </w:r>
      <w:r>
        <w:t xml:space="preserve"> </w:t>
      </w:r>
      <w:r>
        <w:t xml:space="preserve">peut ajouter des instances.</w:t>
      </w:r>
    </w:p>
    <w:p>
      <w:pPr>
        <w:pStyle w:val="BodyText"/>
      </w:pPr>
      <w:r>
        <w:rPr>
          <w:b/>
        </w:rPr>
        <w:t xml:space="preserve">« Connaissez-vous MCP ? »</w:t>
      </w:r>
      <w:r>
        <w:t xml:space="preserve"> </w:t>
      </w:r>
      <w:r>
        <w:t xml:space="preserve">Oui, en production sur deux contextes. Puis raconter le forage.</w:t>
      </w:r>
    </w:p>
    <w:p>
      <w:pPr>
        <w:pStyle w:val="BodyText"/>
      </w:pPr>
      <w:r>
        <w:rPr>
          <w:b/>
        </w:rPr>
        <w:t xml:space="preserve">« Et LangGraph ? »</w:t>
      </w:r>
      <w:r>
        <w:t xml:space="preserve"> </w:t>
      </w:r>
      <w:r>
        <w:t xml:space="preserve">Voir plus haut. Une phrase, sans détour.</w:t>
      </w:r>
    </w:p>
    <w:p>
      <w:pPr>
        <w:pStyle w:val="BodyText"/>
      </w:pPr>
      <w:r>
        <w:rPr>
          <w:b/>
        </w:rPr>
        <w:t xml:space="preserve">« Comment feriez-vous adopter ces outils ? »</w:t>
      </w:r>
      <w:r>
        <w:t xml:space="preserve"> </w:t>
      </w:r>
      <w:r>
        <w:t xml:space="preserve">Par les cas d’usage, pas par l’outil. Deux ou trois usages à valeur visible et</w:t>
      </w:r>
      <w:r>
        <w:t xml:space="preserve"> </w:t>
      </w:r>
      <w:r>
        <w:t xml:space="preserve">courte boucle, les réussir, les documenter, puis s’appuyer dessus. En</w:t>
      </w:r>
      <w:r>
        <w:t xml:space="preserve"> </w:t>
      </w:r>
      <w:r>
        <w:t xml:space="preserve">parallèle, une communauté de praticiens et un format court de formation.</w:t>
      </w:r>
      <w:r>
        <w:t xml:space="preserve"> </w:t>
      </w:r>
      <w:r>
        <w:t xml:space="preserve">J’ai animé six formations professionnelles, le cadre m’est familier.</w:t>
      </w:r>
    </w:p>
    <w:p>
      <w:pPr>
        <w:pStyle w:val="BodyText"/>
      </w:pPr>
      <w:r>
        <w:rPr>
          <w:b/>
        </w:rPr>
        <w:t xml:space="preserve">« Comment traitez-vous la conformité AI Act ? »</w:t>
      </w:r>
      <w:r>
        <w:t xml:space="preserve"> </w:t>
      </w:r>
      <w:r>
        <w:t xml:space="preserve">Classification par niveau de risque à l’entrée du cas d’usage, puis déduction</w:t>
      </w:r>
      <w:r>
        <w:t xml:space="preserve"> </w:t>
      </w:r>
      <w:r>
        <w:t xml:space="preserve">des obligations : documentation technique, qualité des données, traçabilité,</w:t>
      </w:r>
      <w:r>
        <w:t xml:space="preserve"> </w:t>
      </w:r>
      <w:r>
        <w:t xml:space="preserve">transparence, supervision humaine. Et surtout, transformer chaque obligation</w:t>
      </w:r>
      <w:r>
        <w:t xml:space="preserve"> </w:t>
      </w:r>
      <w:r>
        <w:t xml:space="preserve">en critère de passage en production — sinon elle reste déclarative.</w:t>
      </w:r>
      <w:r>
        <w:t xml:space="preserve"> </w:t>
      </w:r>
      <w:r>
        <w:t xml:space="preserve">À noter : le pilotage d’un réseau électrique relève de l’infrastructure</w:t>
      </w:r>
      <w:r>
        <w:t xml:space="preserve"> </w:t>
      </w:r>
      <w:r>
        <w:t xml:space="preserve">critique au sens du règlement. Le sujet n’est pas théorique ici, et le dire de</w:t>
      </w:r>
      <w:r>
        <w:t xml:space="preserve"> </w:t>
      </w:r>
      <w:r>
        <w:t xml:space="preserve">vous-même montre que vous avez saisi l’enjeu réel.</w:t>
      </w:r>
    </w:p>
    <w:p>
      <w:pPr>
        <w:pStyle w:val="BodyText"/>
      </w:pPr>
      <w:r>
        <w:rPr>
          <w:b/>
        </w:rPr>
        <w:t xml:space="preserve">« Comment garantissez-vous la réversibilité ? »</w:t>
      </w:r>
      <w:r>
        <w:t xml:space="preserve"> </w:t>
      </w:r>
      <w:r>
        <w:t xml:space="preserve">Découplage du fournisseur de modèle par une couche d’abstraction, protocoles</w:t>
      </w:r>
      <w:r>
        <w:t xml:space="preserve"> </w:t>
      </w:r>
      <w:r>
        <w:t xml:space="preserve">ouverts type MCP plutôt que connecteurs propriétaires, formats portables pour</w:t>
      </w:r>
      <w:r>
        <w:t xml:space="preserve"> </w:t>
      </w:r>
      <w:r>
        <w:t xml:space="preserve">les prompts, index et embeddings, et documentation des évaluations pour</w:t>
      </w:r>
      <w:r>
        <w:t xml:space="preserve"> </w:t>
      </w:r>
      <w:r>
        <w:t xml:space="preserve">pouvoir comparer un modèle de remplacement.</w:t>
      </w:r>
    </w:p>
    <w:p>
      <w:pPr>
        <w:pStyle w:val="BodyText"/>
      </w:pPr>
      <w:r>
        <w:rPr>
          <w:b/>
        </w:rPr>
        <w:t xml:space="preserve">« Quel est votre TJM ? »</w:t>
      </w:r>
      <w:r>
        <w:t xml:space="preserve"> </w:t>
      </w:r>
      <w:r>
        <w:t xml:space="preserve">« Quel budget avez-vous prévu sur cette mission ? » Si insistance : 700 €.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les-questions-à-poser"/>
      <w:r>
        <w:t xml:space="preserve">Les questions à poser</w:t>
      </w:r>
      <w:bookmarkEnd w:id="31"/>
    </w:p>
    <w:p>
      <w:pPr>
        <w:pStyle w:val="FirstParagraph"/>
      </w:pPr>
      <w:r>
        <w:t xml:space="preserve">Sur le besoin, à poser pendant l’échange :</w:t>
      </w:r>
    </w:p>
    <w:p>
      <w:pPr>
        <w:numPr>
          <w:ilvl w:val="0"/>
          <w:numId w:val="1004"/>
        </w:numPr>
        <w:pStyle w:val="Compact"/>
      </w:pPr>
      <w:r>
        <w:t xml:space="preserve">Quel est le parc GPU disponible et le moteur d’inférence en place ?</w:t>
      </w:r>
    </w:p>
    <w:p>
      <w:pPr>
        <w:numPr>
          <w:ilvl w:val="0"/>
          <w:numId w:val="1004"/>
        </w:numPr>
        <w:pStyle w:val="Compact"/>
      </w:pPr>
      <w:r>
        <w:t xml:space="preserve">Combien de modèles Mistral servis, et quelle variété ?</w:t>
      </w:r>
    </w:p>
    <w:p>
      <w:pPr>
        <w:numPr>
          <w:ilvl w:val="0"/>
          <w:numId w:val="1004"/>
        </w:numPr>
        <w:pStyle w:val="Compact"/>
      </w:pPr>
      <w:r>
        <w:t xml:space="preserve">Quel profil de charge — pics, concurrence, engagement de latence attendu ?</w:t>
      </w:r>
    </w:p>
    <w:p>
      <w:pPr>
        <w:numPr>
          <w:ilvl w:val="0"/>
          <w:numId w:val="1004"/>
        </w:numPr>
        <w:pStyle w:val="Compact"/>
      </w:pPr>
      <w:r>
        <w:t xml:space="preserve">Qui décide de l’ouverture d’un nouveau cas d’usage, et selon quels critères ?</w:t>
      </w:r>
      <w:r>
        <w:t xml:space="preserve"> </w:t>
      </w:r>
      <w:r>
        <w:t xml:space="preserve">Cœur IA, Connect IA, ou le département lui-même ?</w:t>
      </w:r>
    </w:p>
    <w:p>
      <w:pPr>
        <w:pStyle w:val="FirstParagraph"/>
      </w:pPr>
      <w:r>
        <w:t xml:space="preserve">Sur le cadre commercial, hors présence du client :</w:t>
      </w:r>
    </w:p>
    <w:p>
      <w:pPr>
        <w:numPr>
          <w:ilvl w:val="0"/>
          <w:numId w:val="1005"/>
        </w:numPr>
        <w:pStyle w:val="Compact"/>
      </w:pPr>
      <w:r>
        <w:t xml:space="preserve">Combien d’intermédiaires entre moi et Enedis ?</w:t>
      </w:r>
    </w:p>
    <w:p>
      <w:pPr>
        <w:numPr>
          <w:ilvl w:val="0"/>
          <w:numId w:val="1005"/>
        </w:numPr>
        <w:pStyle w:val="Compact"/>
      </w:pPr>
      <w:r>
        <w:t xml:space="preserve">Mon profil a-t-il déjà été présenté, ou va-t-il l’être ?</w:t>
      </w:r>
    </w:p>
    <w:p>
      <w:pPr>
        <w:numPr>
          <w:ilvl w:val="0"/>
          <w:numId w:val="1005"/>
        </w:numPr>
        <w:pStyle w:val="Compact"/>
      </w:pPr>
      <w:r>
        <w:t xml:space="preserve">Quel est le budget du client sur la mission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ur-le-tjm"/>
      <w:r>
        <w:t xml:space="preserve">Sur le TJM</w:t>
      </w:r>
      <w:bookmarkEnd w:id="32"/>
    </w:p>
    <w:p>
      <w:pPr>
        <w:pStyle w:val="FirstParagraph"/>
      </w:pPr>
      <w:r>
        <w:t xml:space="preserve">Ne donnez pas le premier chiffre. Demandez leur fourchette.</w:t>
      </w:r>
    </w:p>
    <w:p>
      <w:pPr>
        <w:pStyle w:val="BodyText"/>
      </w:pPr>
      <w:r>
        <w:t xml:space="preserve">S’ils insistent :</w:t>
      </w:r>
      <w:r>
        <w:t xml:space="preserve"> </w:t>
      </w:r>
      <w:r>
        <w:rPr>
          <w:b/>
        </w:rPr>
        <w:t xml:space="preserve">700 €</w:t>
      </w:r>
      <w:r>
        <w:t xml:space="preserve">, plancher à 650.</w:t>
      </w:r>
    </w:p>
    <w:p>
      <w:pPr>
        <w:pStyle w:val="BodyText"/>
      </w:pPr>
      <w:r>
        <w:t xml:space="preserve">Le raisonnement, si vous devez le justifier : le baromètre du marché donne</w:t>
      </w:r>
      <w:r>
        <w:t xml:space="preserve"> </w:t>
      </w:r>
      <w:r>
        <w:t xml:space="preserve">680 € via intermédiaire pour ce type de profil senior, vous avez quinze ans</w:t>
      </w:r>
      <w:r>
        <w:t xml:space="preserve"> </w:t>
      </w:r>
      <w:r>
        <w:t xml:space="preserve">d’expérience et un doctorat, le client est un grand compte, et le besoin est</w:t>
      </w:r>
      <w:r>
        <w:t xml:space="preserve"> </w:t>
      </w:r>
      <w:r>
        <w:t xml:space="preserve">urgent. L’annonce cible 5 à 10 ans d’expérience — c’est le budget de l’ESN,</w:t>
      </w:r>
      <w:r>
        <w:t xml:space="preserve"> </w:t>
      </w:r>
      <w:r>
        <w:t xml:space="preserve">pas votre valeur.</w:t>
      </w:r>
    </w:p>
    <w:p>
      <w:pPr>
        <w:pStyle w:val="BodyText"/>
      </w:pPr>
      <w:r>
        <w:t xml:space="preserve">Et gardez en tête que la chaîne compte : chaque étage prend entre 10 et 20 %.</w:t>
      </w:r>
      <w:r>
        <w:t xml:space="preserve"> </w:t>
      </w:r>
      <w:r>
        <w:t xml:space="preserve">Si Enedis paie 900 € et qu’il y a deux intermédiaires, il vous reste 650. S’il</w:t>
      </w:r>
      <w:r>
        <w:t xml:space="preserve"> </w:t>
      </w:r>
      <w:r>
        <w:t xml:space="preserve">n’y en a qu’un, 750 à 800. D’où l’intérêt de la question 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5">
    <w:nsid w:val="47261bad"/>
    <w:multiLevelType w:val="multilevel"/>
    <w:lvl w:ilvl="0">
      <w:start w:val="5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5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5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5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5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5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5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5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5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PRÉPARATION DU POINT DE RESTITUTION</dc:title>
  <dc:creator>Enedis via Yélé Consulting · lundi 8 septembre 2026</dc:creator>
  <cp:keywords/>
  <dcterms:created xsi:type="dcterms:W3CDTF">2026-09-07T08:33:24Z</dcterms:created>
  <dcterms:modified xsi:type="dcterms:W3CDTF">2026-09-07T08:33:24Z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