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RESTITUTION</w:t>
      </w:r>
      <w:r>
        <w:t xml:space="preserve"> </w:t>
      </w:r>
      <w:r>
        <w:t xml:space="preserve">—</w:t>
      </w:r>
      <w:r>
        <w:t xml:space="preserve"> </w:t>
      </w:r>
      <w:r>
        <w:t xml:space="preserve">EXPERT</w:t>
      </w:r>
      <w:r>
        <w:t xml:space="preserve"> </w:t>
      </w:r>
      <w:r>
        <w:t xml:space="preserve">TECHNIQUE</w:t>
      </w:r>
      <w:r>
        <w:t xml:space="preserve"> </w:t>
      </w:r>
      <w:r>
        <w:t xml:space="preserve">IA</w:t>
      </w:r>
      <w:r>
        <w:t xml:space="preserve"> </w:t>
      </w:r>
      <w:r>
        <w:t xml:space="preserve">GÉNÉRATIVE,</w:t>
      </w:r>
      <w:r>
        <w:t xml:space="preserve"> </w:t>
      </w:r>
      <w:r>
        <w:t xml:space="preserve">GTAR</w:t>
      </w:r>
    </w:p>
    <w:p>
      <w:pPr>
        <w:pStyle w:val="Author"/>
      </w:pPr>
      <w:r>
        <w:t xml:space="preserve">Hakim</w:t>
      </w:r>
      <w:r>
        <w:t xml:space="preserve"> </w:t>
      </w:r>
      <w:r>
        <w:t xml:space="preserve">Arezki,</w:t>
      </w:r>
      <w:r>
        <w:t xml:space="preserve"> </w:t>
      </w:r>
      <w:r>
        <w:t xml:space="preserve">PhD</w:t>
      </w:r>
      <w:r>
        <w:t xml:space="preserve"> </w:t>
      </w:r>
      <w:r>
        <w:t xml:space="preserve">·</w:t>
      </w:r>
      <w:r>
        <w:t xml:space="preserve"> </w:t>
      </w:r>
      <w:r>
        <w:t xml:space="preserve">Point</w:t>
      </w:r>
      <w:r>
        <w:t xml:space="preserve"> </w:t>
      </w:r>
      <w:r>
        <w:t xml:space="preserve">du</w:t>
      </w:r>
      <w:r>
        <w:t xml:space="preserve"> </w:t>
      </w:r>
      <w:r>
        <w:t xml:space="preserve">8</w:t>
      </w:r>
      <w:r>
        <w:t xml:space="preserve"> </w:t>
      </w:r>
      <w:r>
        <w:t xml:space="preserve">septembre</w:t>
      </w:r>
      <w:r>
        <w:t xml:space="preserve"> </w:t>
      </w:r>
      <w:r>
        <w:t xml:space="preserve">2026</w:t>
      </w:r>
    </w:p>
    <w:p>
      <w:pPr>
        <w:pStyle w:val="Heading2"/>
      </w:pPr>
      <w:bookmarkStart w:id="20" w:name="ce-que-jai-compris-du-besoin"/>
      <w:r>
        <w:t xml:space="preserve">Ce que j’ai compris du besoin</w:t>
      </w:r>
      <w:bookmarkEnd w:id="20"/>
    </w:p>
    <w:p>
      <w:pPr>
        <w:pStyle w:val="FirstParagraph"/>
      </w:pPr>
      <w:r>
        <w:t xml:space="preserve">Le GTAR a déployé une solution d’IA générative open source sur des serveurs</w:t>
      </w:r>
      <w:r>
        <w:t xml:space="preserve"> </w:t>
      </w:r>
      <w:r>
        <w:t xml:space="preserve">on-premise. Les quatre équipes commencent à s’en saisir, et le poste est</w:t>
      </w:r>
      <w:r>
        <w:t xml:space="preserve"> </w:t>
      </w:r>
      <w:r>
        <w:t xml:space="preserve">rattaché à l’équipe transverse : le mandat n’est donc pas de construire une</w:t>
      </w:r>
      <w:r>
        <w:t xml:space="preserve"> </w:t>
      </w:r>
      <w:r>
        <w:t xml:space="preserve">solution de plus, mais de</w:t>
      </w:r>
      <w:r>
        <w:t xml:space="preserve"> </w:t>
      </w:r>
      <w:r>
        <w:rPr>
          <w:b/>
        </w:rPr>
        <w:t xml:space="preserve">faire tenir un usage partagé entre des équipes qui</w:t>
      </w:r>
      <w:r>
        <w:rPr>
          <w:b/>
        </w:rPr>
        <w:t xml:space="preserve"> </w:t>
      </w:r>
      <w:r>
        <w:rPr>
          <w:b/>
        </w:rPr>
        <w:t xml:space="preserve">n’ont ni les mêmes besoins ni le même niveau de maturité</w:t>
      </w:r>
      <w:r>
        <w:t xml:space="preserve">.</w:t>
      </w:r>
    </w:p>
    <w:p>
      <w:pPr>
        <w:pStyle w:val="BodyText"/>
      </w:pPr>
      <w:r>
        <w:t xml:space="preserve">Trois tensions me semblent structurer la mission.</w:t>
      </w:r>
    </w:p>
    <w:p>
      <w:pPr>
        <w:pStyle w:val="BodyText"/>
      </w:pPr>
      <w:r>
        <w:rPr>
          <w:b/>
        </w:rPr>
        <w:t xml:space="preserve">Mutualiser sans brider.</w:t>
      </w:r>
      <w:r>
        <w:t xml:space="preserve"> </w:t>
      </w:r>
      <w:r>
        <w:t xml:space="preserve">Les paramétrages, System Prompts et gabarits doivent</w:t>
      </w:r>
      <w:r>
        <w:t xml:space="preserve"> </w:t>
      </w:r>
      <w:r>
        <w:t xml:space="preserve">être communs pour être tenables, tout en laissant chaque équipe traiter ses cas</w:t>
      </w:r>
      <w:r>
        <w:t xml:space="preserve"> </w:t>
      </w:r>
      <w:r>
        <w:t xml:space="preserve">d’usage propres — conduite, MCO, appui aux ACR.</w:t>
      </w:r>
    </w:p>
    <w:p>
      <w:pPr>
        <w:pStyle w:val="BodyText"/>
      </w:pPr>
      <w:r>
        <w:rPr>
          <w:b/>
        </w:rPr>
        <w:t xml:space="preserve">Tenir la charge sur un parc fixe.</w:t>
      </w:r>
      <w:r>
        <w:t xml:space="preserve"> </w:t>
      </w:r>
      <w:r>
        <w:t xml:space="preserve">En on-premise, on ne rajoute pas une</w:t>
      </w:r>
      <w:r>
        <w:t xml:space="preserve"> </w:t>
      </w:r>
      <w:r>
        <w:t xml:space="preserve">instance quand la demande monte. L’adoption progresse, et l’infrastructure</w:t>
      </w:r>
      <w:r>
        <w:t xml:space="preserve"> </w:t>
      </w:r>
      <w:r>
        <w:t xml:space="preserve">devient le facteur limitant.</w:t>
      </w:r>
    </w:p>
    <w:p>
      <w:pPr>
        <w:pStyle w:val="BodyText"/>
      </w:pPr>
      <w:r>
        <w:rPr>
          <w:b/>
        </w:rPr>
        <w:t xml:space="preserve">Livrer transmissible.</w:t>
      </w:r>
      <w:r>
        <w:t xml:space="preserve"> </w:t>
      </w:r>
      <w:r>
        <w:t xml:space="preserve">Les agents et les pipelines doivent être documentés,</w:t>
      </w:r>
      <w:r>
        <w:t xml:space="preserve"> </w:t>
      </w:r>
      <w:r>
        <w:t xml:space="preserve">testés et repris en exploitation par les équipes du GTAR, dans un environnement</w:t>
      </w:r>
      <w:r>
        <w:t xml:space="preserve"> </w:t>
      </w:r>
      <w:r>
        <w:t xml:space="preserve">où la sûreté de fonctionnement prime.</w:t>
      </w:r>
    </w:p>
    <w:p>
      <w:pPr>
        <w:pStyle w:val="Heading2"/>
      </w:pPr>
      <w:bookmarkStart w:id="21" w:name="ma-lecture-des-sept-objectifs"/>
      <w:r>
        <w:t xml:space="preserve">Ma lecture des sept objectifs</w:t>
      </w:r>
      <w:bookmarkEnd w:id="21"/>
    </w:p>
    <w:p>
      <w:pPr>
        <w:pStyle w:val="FirstParagraph"/>
      </w:pPr>
      <w:r>
        <w:t xml:space="preserve">Ils se regroupent en trois blocs qui ne demandent pas les mêmes gestes.</w:t>
      </w:r>
    </w:p>
    <w:p>
      <w:pPr>
        <w:pStyle w:val="BodyText"/>
      </w:pPr>
      <w:r>
        <w:rPr>
          <w:b/>
        </w:rPr>
        <w:t xml:space="preserve">Socle commun</w:t>
      </w:r>
      <w:r>
        <w:t xml:space="preserve"> </w:t>
      </w:r>
      <w:r>
        <w:t xml:space="preserve">— objectifs 2 et 4. Paramétrages, System Prompts et gabarits</w:t>
      </w:r>
      <w:r>
        <w:t xml:space="preserve"> </w:t>
      </w:r>
      <w:r>
        <w:t xml:space="preserve">mutualisés, pipelines RAG et valorisation de la connaissance. C’est la</w:t>
      </w:r>
      <w:r>
        <w:t xml:space="preserve"> </w:t>
      </w:r>
      <w:r>
        <w:t xml:space="preserve">fondation : tant qu’elle n’existe pas, chaque équipe refait ses réglages dans</w:t>
      </w:r>
      <w:r>
        <w:t xml:space="preserve"> </w:t>
      </w:r>
      <w:r>
        <w:t xml:space="preserve">son coin et la charge explose sans que personne ne sache pourquoi.</w:t>
      </w:r>
    </w:p>
    <w:p>
      <w:pPr>
        <w:pStyle w:val="BodyText"/>
      </w:pPr>
      <w:r>
        <w:rPr>
          <w:b/>
        </w:rPr>
        <w:t xml:space="preserve">Cas d’usage</w:t>
      </w:r>
      <w:r>
        <w:t xml:space="preserve"> </w:t>
      </w:r>
      <w:r>
        <w:t xml:space="preserve">— objectifs 3 et 5. Agents développés sur les besoins remontés,</w:t>
      </w:r>
      <w:r>
        <w:t xml:space="preserve"> </w:t>
      </w:r>
      <w:r>
        <w:t xml:space="preserve">référencés et documentés au fil de l’eau. Le référencement n’est pas une tâche</w:t>
      </w:r>
      <w:r>
        <w:t xml:space="preserve"> </w:t>
      </w:r>
      <w:r>
        <w:t xml:space="preserve">de fin de projet : c’est ce qui permet de savoir ce qui tourne, pour qui, à</w:t>
      </w:r>
      <w:r>
        <w:t xml:space="preserve"> </w:t>
      </w:r>
      <w:r>
        <w:t xml:space="preserve">quel coût, et sous quelles obligations réglementaires.</w:t>
      </w:r>
    </w:p>
    <w:p>
      <w:pPr>
        <w:pStyle w:val="BodyText"/>
      </w:pPr>
      <w:r>
        <w:rPr>
          <w:b/>
        </w:rPr>
        <w:t xml:space="preserve">Adoption et coordination</w:t>
      </w:r>
      <w:r>
        <w:t xml:space="preserve"> </w:t>
      </w:r>
      <w:r>
        <w:t xml:space="preserve">— objectifs 1, 6 et 7. Formations de prise en main,</w:t>
      </w:r>
      <w:r>
        <w:t xml:space="preserve"> </w:t>
      </w:r>
      <w:r>
        <w:t xml:space="preserve">animation de la communauté des référents techniques, coordination avec Cœur IA</w:t>
      </w:r>
      <w:r>
        <w:t xml:space="preserve"> </w:t>
      </w:r>
      <w:r>
        <w:t xml:space="preserve">et Connect IA. Quatre des sept objectifs relèvent de cette dimension : c’est au</w:t>
      </w:r>
      <w:r>
        <w:t xml:space="preserve"> </w:t>
      </w:r>
      <w:r>
        <w:t xml:space="preserve">moins la moitié du poste.</w:t>
      </w:r>
    </w:p>
    <w:p>
      <w:pPr>
        <w:pStyle w:val="Heading2"/>
      </w:pPr>
      <w:bookmarkStart w:id="22" w:name="où-se-situe-généralement-la-saturation"/>
      <w:r>
        <w:t xml:space="preserve">Où se situe généralement la saturation</w:t>
      </w:r>
      <w:bookmarkEnd w:id="22"/>
    </w:p>
    <w:p>
      <w:pPr>
        <w:pStyle w:val="FirstParagraph"/>
      </w:pPr>
      <w:r>
        <w:t xml:space="preserve">Sur l’objectif 2, par ordre de fréquence sur les plateformes que j’ai</w:t>
      </w:r>
      <w:r>
        <w:t xml:space="preserve"> </w:t>
      </w:r>
      <w:r>
        <w:t xml:space="preserve">industrialisées 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Servage</w:t>
      </w:r>
      <w:r>
        <w:t xml:space="preserve"> </w:t>
      </w:r>
      <w:r>
        <w:t xml:space="preserve">— inférence sans batching continu : chaque requête mobilise le</w:t>
      </w:r>
      <w:r>
        <w:t xml:space="preserve"> </w:t>
      </w:r>
      <w:r>
        <w:t xml:space="preserve">GPU pour elle seule, l’occupation reste basse pendant que la file s’allonge.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Modèles</w:t>
      </w:r>
      <w:r>
        <w:t xml:space="preserve"> </w:t>
      </w:r>
      <w:r>
        <w:t xml:space="preserve">— un seul modèle lourd pour tous les usages, sans quantification,</w:t>
      </w:r>
      <w:r>
        <w:t xml:space="preserve"> </w:t>
      </w:r>
      <w:r>
        <w:t xml:space="preserve">là où une bonne part des demandes serait traitée par un modèle plus petit.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Contexte</w:t>
      </w:r>
      <w:r>
        <w:t xml:space="preserve"> </w:t>
      </w:r>
      <w:r>
        <w:t xml:space="preserve">— RAG peu sélectif et prompts longs : des milliers de tokens</w:t>
      </w:r>
      <w:r>
        <w:t xml:space="preserve"> </w:t>
      </w:r>
      <w:r>
        <w:t xml:space="preserve">inutiles à chaque appel.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Cache</w:t>
      </w:r>
      <w:r>
        <w:t xml:space="preserve"> </w:t>
      </w:r>
      <w:r>
        <w:t xml:space="preserve">— absence de cache sémantique sur les questions récurrentes, et</w:t>
      </w:r>
      <w:r>
        <w:t xml:space="preserve"> </w:t>
      </w:r>
      <w:r>
        <w:t xml:space="preserve">cache KV non exploité entre tours.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Agents</w:t>
      </w:r>
      <w:r>
        <w:t xml:space="preserve"> </w:t>
      </w:r>
      <w:r>
        <w:t xml:space="preserve">— boucles non bornées et appels en cascade : un agent mal cadré</w:t>
      </w:r>
      <w:r>
        <w:t xml:space="preserve"> </w:t>
      </w:r>
      <w:r>
        <w:t xml:space="preserve">amplifie la charge d’un facteur cinq à dix.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File d’attente</w:t>
      </w:r>
      <w:r>
        <w:t xml:space="preserve"> </w:t>
      </w:r>
      <w:r>
        <w:t xml:space="preserve">— ni priorisation ni dégradation gracieuse : un usage</w:t>
      </w:r>
      <w:r>
        <w:t xml:space="preserve"> </w:t>
      </w:r>
      <w:r>
        <w:t xml:space="preserve">exploratoire pénalise un usage d’exploitation.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Mesure</w:t>
      </w:r>
      <w:r>
        <w:t xml:space="preserve"> </w:t>
      </w:r>
      <w:r>
        <w:t xml:space="preserve">— pas d’observabilité par cas d’usage, donc dimensionnement à</w:t>
      </w:r>
      <w:r>
        <w:t xml:space="preserve"> </w:t>
      </w:r>
      <w:r>
        <w:t xml:space="preserve">l’aveugle.</w:t>
      </w:r>
    </w:p>
    <w:p>
      <w:pPr>
        <w:pStyle w:val="Heading2"/>
      </w:pPr>
      <w:bookmarkStart w:id="23" w:name="ma-façon-de-procéder"/>
      <w:r>
        <w:t xml:space="preserve">Ma façon de procéder</w:t>
      </w:r>
      <w:bookmarkEnd w:id="23"/>
    </w:p>
    <w:p>
      <w:pPr>
        <w:pStyle w:val="FirstParagraph"/>
      </w:pPr>
      <w:r>
        <w:rPr>
          <w:b/>
        </w:rPr>
        <w:t xml:space="preserve">Mesurer avant de décider.</w:t>
      </w:r>
      <w:r>
        <w:t xml:space="preserve"> </w:t>
      </w:r>
      <w:r>
        <w:t xml:space="preserve">Profil de charge réel, latence aux percentiles 50,</w:t>
      </w:r>
      <w:r>
        <w:t xml:space="preserve"> </w:t>
      </w:r>
      <w:r>
        <w:t xml:space="preserve">95 et 99, tokens par cas d’usage, taux d’occupation GPU. Une à deux semaines.</w:t>
      </w:r>
    </w:p>
    <w:p>
      <w:pPr>
        <w:pStyle w:val="BodyText"/>
      </w:pPr>
      <w:r>
        <w:rPr>
          <w:b/>
        </w:rPr>
        <w:t xml:space="preserve">Chercher d’abord les gains sans matériel.</w:t>
      </w:r>
      <w:r>
        <w:t xml:space="preserve"> </w:t>
      </w:r>
      <w:r>
        <w:t xml:space="preserve">Batching continu, quantification,</w:t>
      </w:r>
      <w:r>
        <w:t xml:space="preserve"> </w:t>
      </w:r>
      <w:r>
        <w:t xml:space="preserve">routage par complexité de tâche, cache sémantique, réduction du contexte. C’est</w:t>
      </w:r>
      <w:r>
        <w:t xml:space="preserve"> </w:t>
      </w:r>
      <w:r>
        <w:t xml:space="preserve">là que se trouve l’essentiel, et c’est réversible.</w:t>
      </w:r>
    </w:p>
    <w:p>
      <w:pPr>
        <w:pStyle w:val="BodyText"/>
      </w:pPr>
      <w:r>
        <w:rPr>
          <w:b/>
        </w:rPr>
        <w:t xml:space="preserve">Construire le socle commun en parallèle.</w:t>
      </w:r>
      <w:r>
        <w:t xml:space="preserve"> </w:t>
      </w:r>
      <w:r>
        <w:t xml:space="preserve">System Prompts et gabarits</w:t>
      </w:r>
      <w:r>
        <w:t xml:space="preserve"> </w:t>
      </w:r>
      <w:r>
        <w:t xml:space="preserve">mutualisés, versionnés comme du code ; garde-fous et bornage des agents ;</w:t>
      </w:r>
      <w:r>
        <w:t xml:space="preserve"> </w:t>
      </w:r>
      <w:r>
        <w:t xml:space="preserve">référentiel des cas d’usage tenu au fil de l’eau plutôt qu’après coup.</w:t>
      </w:r>
    </w:p>
    <w:p>
      <w:pPr>
        <w:pStyle w:val="BodyText"/>
      </w:pPr>
      <w:r>
        <w:rPr>
          <w:b/>
        </w:rPr>
        <w:t xml:space="preserve">Faire adopter par les cas d’usage, pas par l’outil.</w:t>
      </w:r>
      <w:r>
        <w:t xml:space="preserve"> </w:t>
      </w:r>
      <w:r>
        <w:t xml:space="preserve">Deux ou trois usages à</w:t>
      </w:r>
      <w:r>
        <w:t xml:space="preserve"> </w:t>
      </w:r>
      <w:r>
        <w:t xml:space="preserve">valeur visible et courte boucle, réussis et documentés, servent ensuite</w:t>
      </w:r>
      <w:r>
        <w:t xml:space="preserve"> </w:t>
      </w:r>
      <w:r>
        <w:t xml:space="preserve">d’exemples. La communauté de référents techniques se construit autour de ces</w:t>
      </w:r>
      <w:r>
        <w:t xml:space="preserve"> </w:t>
      </w:r>
      <w:r>
        <w:t xml:space="preserve">réussites, pas autour d’une formation générique.</w:t>
      </w:r>
    </w:p>
    <w:p>
      <w:pPr>
        <w:pStyle w:val="BodyText"/>
      </w:pPr>
      <w:r>
        <w:rPr>
          <w:b/>
        </w:rPr>
        <w:t xml:space="preserve">Ne dimensionner que ce qui reste</w:t>
      </w:r>
      <w:r>
        <w:t xml:space="preserve">, justifié par la mesure et non par</w:t>
      </w:r>
      <w:r>
        <w:t xml:space="preserve"> </w:t>
      </w:r>
      <w:r>
        <w:t xml:space="preserve">l’urgence.</w:t>
      </w:r>
    </w:p>
    <w:p>
      <w:pPr>
        <w:pStyle w:val="Heading2"/>
      </w:pPr>
      <w:bookmarkStart w:id="24" w:name="ce-que-je-souhaite-confirmer-avec-vous"/>
      <w:r>
        <w:t xml:space="preserve">Ce que je souhaite confirmer avec vous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Le parc GPU disponible et le moteur d’inférence en place aujourd’hui.</w:t>
      </w:r>
    </w:p>
    <w:p>
      <w:pPr>
        <w:numPr>
          <w:ilvl w:val="0"/>
          <w:numId w:val="1002"/>
        </w:numPr>
        <w:pStyle w:val="Compact"/>
      </w:pPr>
      <w:r>
        <w:t xml:space="preserve">Les modèles servis, leur nombre et leur variété.</w:t>
      </w:r>
    </w:p>
    <w:p>
      <w:pPr>
        <w:numPr>
          <w:ilvl w:val="0"/>
          <w:numId w:val="1002"/>
        </w:numPr>
        <w:pStyle w:val="Compact"/>
      </w:pPr>
      <w:r>
        <w:t xml:space="preserve">Le profil de charge : pics, concurrence, engagement de latence attendu.</w:t>
      </w:r>
    </w:p>
    <w:p>
      <w:pPr>
        <w:numPr>
          <w:ilvl w:val="0"/>
          <w:numId w:val="1002"/>
        </w:numPr>
        <w:pStyle w:val="Compact"/>
      </w:pPr>
      <w:r>
        <w:t xml:space="preserve">La répartition des usages entre les quatre équipes du GTAR, et leur maturité</w:t>
      </w:r>
      <w:r>
        <w:t xml:space="preserve"> </w:t>
      </w:r>
      <w:r>
        <w:t xml:space="preserve">respective.</w:t>
      </w:r>
    </w:p>
    <w:p>
      <w:pPr>
        <w:numPr>
          <w:ilvl w:val="0"/>
          <w:numId w:val="1002"/>
        </w:numPr>
        <w:pStyle w:val="Compact"/>
      </w:pPr>
      <w:r>
        <w:t xml:space="preserve">Le partage des rôles avec Cœur IA et Connect IA : qui définit le cadre, qui</w:t>
      </w:r>
      <w:r>
        <w:t xml:space="preserve"> </w:t>
      </w:r>
      <w:r>
        <w:t xml:space="preserve">valide l’ouverture d’un cas d’usage, et selon quels critères.</w:t>
      </w:r>
    </w:p>
    <w:p>
      <w:pPr>
        <w:pStyle w:val="Heading2"/>
      </w:pPr>
      <w:bookmarkStart w:id="25" w:name="deux-convictions"/>
      <w:r>
        <w:t xml:space="preserve">Deux convictions</w:t>
      </w:r>
      <w:bookmarkEnd w:id="25"/>
    </w:p>
    <w:p>
      <w:pPr>
        <w:pStyle w:val="FirstParagraph"/>
      </w:pPr>
      <w:r>
        <w:rPr>
          <w:b/>
        </w:rPr>
        <w:t xml:space="preserve">La première réponse à un problème de charge est rarement d’acheter des GPU.</w:t>
      </w:r>
      <w:r>
        <w:t xml:space="preserve"> </w:t>
      </w:r>
      <w:r>
        <w:t xml:space="preserve">Sur les plateformes Data et IA que j’ai industrialisées, le routage entre</w:t>
      </w:r>
      <w:r>
        <w:t xml:space="preserve"> </w:t>
      </w:r>
      <w:r>
        <w:t xml:space="preserve">modèles, la mise en cache et la maîtrise du contexte ont réduit le coût par</w:t>
      </w:r>
      <w:r>
        <w:t xml:space="preserve"> </w:t>
      </w:r>
      <w:r>
        <w:t xml:space="preserve">requête bien avant tout investissement matériel — et ces leviers se déploient</w:t>
      </w:r>
      <w:r>
        <w:t xml:space="preserve"> </w:t>
      </w:r>
      <w:r>
        <w:t xml:space="preserve">en semaines.</w:t>
      </w:r>
    </w:p>
    <w:p>
      <w:pPr>
        <w:pStyle w:val="BodyText"/>
      </w:pPr>
      <w:r>
        <w:rPr>
          <w:b/>
        </w:rPr>
        <w:t xml:space="preserve">Une solution d’IA n’est adoptée que si quelqu’un en porte l’usage.</w:t>
      </w:r>
      <w:r>
        <w:t xml:space="preserve"> </w:t>
      </w:r>
      <w:r>
        <w:t xml:space="preserve">C’est</w:t>
      </w:r>
      <w:r>
        <w:t xml:space="preserve"> </w:t>
      </w:r>
      <w:r>
        <w:t xml:space="preserve">pourquoi je traite la formation et l’animation de la communauté comme du</w:t>
      </w:r>
      <w:r>
        <w:t xml:space="preserve"> </w:t>
      </w:r>
      <w:r>
        <w:t xml:space="preserve">travail d’ingénierie, pas comme un accompagnement de fin de projet : les</w:t>
      </w:r>
      <w:r>
        <w:t xml:space="preserve"> </w:t>
      </w:r>
      <w:r>
        <w:t xml:space="preserve">gabarits, les garde-fous et la documentation d’exploitation sont ce qui rend</w:t>
      </w:r>
      <w:r>
        <w:t xml:space="preserve"> </w:t>
      </w:r>
      <w:r>
        <w:t xml:space="preserve">l’appropriation possible.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A1F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80"/>
      <w:outlineLvl w:val="0"/>
    </w:pPr>
    <w:rPr>
      <w:rFonts w:asciiTheme="majorHAnsi" w:eastAsiaTheme="majorEastAsia" w:hAnsiTheme="majorHAnsi" w:cstheme="majorBidi" w:ascii="Calibri" w:hAnsi="Calibri"/>
      <w:b/>
      <w:bCs/>
      <w:caps/>
      <w:color w:val="0D364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/>
      <w:outlineLvl w:val="1"/>
    </w:pPr>
    <w:rPr>
      <w:rFonts w:asciiTheme="majorHAnsi" w:eastAsiaTheme="majorEastAsia" w:hAnsiTheme="majorHAnsi" w:cstheme="majorBidi" w:ascii="Calibri" w:hAnsi="Calibri"/>
      <w:b/>
      <w:bCs/>
      <w:caps w:val="0"/>
      <w:color w:val="2B4C5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20"/>
      <w:outlineLvl w:val="2"/>
    </w:pPr>
    <w:rPr>
      <w:rFonts w:asciiTheme="majorHAnsi" w:eastAsiaTheme="majorEastAsia" w:hAnsiTheme="majorHAnsi" w:cstheme="majorBidi" w:ascii="Calibri" w:hAnsi="Calibri"/>
      <w:b/>
      <w:bCs/>
      <w:caps w:val="0"/>
      <w:color w:val="445A6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aps w:val="0"/>
      <w:color w:val="0D36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/>
      <w:b w:val="0"/>
      <w:i/>
      <w:iCs/>
      <w:color w:val="4A5A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RESTITUTION — EXPERT TECHNIQUE IA GÉNÉRATIVE, GTAR</dc:title>
  <dc:creator>Hakim Arezki, PhD · Point du 8 septembre 2026</dc:creator>
  <cp:keywords/>
  <dcterms:created xsi:type="dcterms:W3CDTF">2026-09-07T10:07:28Z</dcterms:created>
  <dcterms:modified xsi:type="dcterms:W3CDTF">2026-09-07T10:07:28Z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