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EXPERT</w:t>
      </w:r>
      <w:r>
        <w:t xml:space="preserve"> </w:t>
      </w:r>
      <w:r>
        <w:t xml:space="preserve">IA</w:t>
      </w:r>
      <w:r>
        <w:t xml:space="preserve"> </w:t>
      </w:r>
      <w:r>
        <w:t xml:space="preserve">SENIOR</w:t>
      </w:r>
      <w:r>
        <w:t xml:space="preserve"> </w:t>
      </w:r>
      <w:r>
        <w:t xml:space="preserve">—</w:t>
      </w:r>
      <w:r>
        <w:t xml:space="preserve"> </w:t>
      </w:r>
      <w:r>
        <w:t xml:space="preserve">CADRAGE,</w:t>
      </w:r>
      <w:r>
        <w:t xml:space="preserve"> </w:t>
      </w:r>
      <w:r>
        <w:t xml:space="preserve">ARCHITECTURE</w:t>
      </w:r>
      <w:r>
        <w:t xml:space="preserve"> </w:t>
      </w:r>
      <w:r>
        <w:t xml:space="preserve">ET</w:t>
      </w:r>
      <w:r>
        <w:t xml:space="preserve"> </w:t>
      </w:r>
      <w:r>
        <w:t xml:space="preserve">PILOTAGE</w:t>
      </w:r>
      <w:r>
        <w:t xml:space="preserve"> </w:t>
      </w:r>
      <w:r>
        <w:t xml:space="preserve">DES</w:t>
      </w:r>
      <w:r>
        <w:t xml:space="preserve"> </w:t>
      </w:r>
      <w:r>
        <w:t xml:space="preserve">INITIATIVES</w:t>
      </w:r>
      <w:r>
        <w:t xml:space="preserve"> </w:t>
      </w:r>
      <w:r>
        <w:t xml:space="preserve">IA</w:t>
      </w:r>
    </w:p>
    <w:p>
      <w:pPr>
        <w:pStyle w:val="FirstParagraph"/>
      </w:pPr>
      <w:r>
        <w:t xml:space="preserve">Paris / Île-de-France, Freelance, 06 33 66 12 48, harezki@kiras.fr, Disponible immédiatement</w:t>
      </w:r>
    </w:p>
    <w:p>
      <w:pPr>
        <w:pStyle w:val="BodyText"/>
      </w:pPr>
      <w:r>
        <w:t xml:space="preserve">Expert Data et intelligence artificielle, 12 ans d’expérience professionnelle (15 en incluant la recherche doctorale), dont 8 ans en environnement financier régulé, banque et assurance, chez BIL et BPCE. Docteur de CentraleSupélec.</w:t>
      </w:r>
    </w:p>
    <w:p>
      <w:pPr>
        <w:pStyle w:val="BodyText"/>
      </w:pPr>
      <w:r>
        <w:t xml:space="preserve">Intervient à la charnière entre les directions métiers et les équipes techniques : identification des opportunités d’IA dans les processus, études d’opportunité et de faisabilité, cadrage fonctionnel des cas d’usage, puis pilotage de leur mise en œuvre jusqu’à la production. Le travail commence par la compréhension du métier et se termine par un service en exploitation, pas par une note de cadrage.</w:t>
      </w:r>
    </w:p>
    <w:p>
      <w:pPr>
        <w:pStyle w:val="BodyText"/>
      </w:pPr>
      <w:r>
        <w:t xml:space="preserve">Maîtrise technique de bout en bout : IA générative et LLM, traitement automatique du langage et analyse sémantique, Machine Learning et Deep Learning, architectures de données et plateformes d’entreprise. Cette maîtrise permet de trancher les études de faisabilité sur des critères réels de qualité, de coût, de latence et de conformité, plutôt que sur des promesses de fournisseurs.</w:t>
      </w:r>
    </w:p>
    <w:p>
      <w:pPr>
        <w:pStyle w:val="BodyText"/>
      </w:pPr>
      <w:r>
        <w:t xml:space="preserve">Conduite du changement et adoption traitées comme faisant partie de la livraison : acculturation des métiers, formation des équipes, animation de communautés de référents, suivi de l’usage réel.</w:t>
      </w:r>
    </w:p>
    <w:p>
      <w:pPr>
        <w:pStyle w:val="Heading2"/>
      </w:pPr>
      <w:bookmarkStart w:id="20" w:name="X41d7fe55af0e1c4263282689c099592b648b29f"/>
      <w:r>
        <w:t xml:space="preserve">Terrain assurance, banque et environnement régulé</w:t>
      </w:r>
      <w:bookmarkEnd w:id="20"/>
    </w:p>
    <w:p>
      <w:pPr>
        <w:numPr>
          <w:ilvl w:val="0"/>
          <w:numId w:val="1001"/>
        </w:numPr>
        <w:pStyle w:val="Compact"/>
      </w:pPr>
      <w:r>
        <w:t xml:space="preserve">BIL, Banque Internationale à Luxembourg (depuis 2026) — plateforme Data et IA d’entreprise mettant des capacités d’IA générative gouvernées à disposition des domaines métiers. Gouvernance de l’IA, RGPD, DORA, contrôle d’accès et traçabilité.</w:t>
      </w:r>
    </w:p>
    <w:p>
      <w:pPr>
        <w:numPr>
          <w:ilvl w:val="0"/>
          <w:numId w:val="1001"/>
        </w:numPr>
        <w:pStyle w:val="Compact"/>
      </w:pPr>
      <w:r>
        <w:t xml:space="preserve">BPCE, banque et assurance (2017-2018) — lutte contre le blanchiment et le financement du terrorisme, criblage des sanctions et embargos, détection de fraude, conformité RGPD des traitements financiers. Moteur de rapprochement d’entités exact, flou et phonétique, réduction des faux positifs, dictionnaire de données d’entreprise et lignage.</w:t>
      </w:r>
    </w:p>
    <w:p>
      <w:pPr>
        <w:numPr>
          <w:ilvl w:val="0"/>
          <w:numId w:val="1001"/>
        </w:numPr>
        <w:pStyle w:val="Compact"/>
      </w:pPr>
      <w:r>
        <w:t xml:space="preserve">TotalEnergies (2020-2025) — industrialisation à l’échelle du groupe d’une quinzaine de cas d’usage Data, Machine Learning et IA générative, de l’expérimentation à la production.</w:t>
      </w:r>
    </w:p>
    <w:p>
      <w:pPr>
        <w:pStyle w:val="Heading2"/>
      </w:pPr>
      <w:bookmarkStart w:id="21" w:name="compétences-clés"/>
      <w:r>
        <w:t xml:space="preserve">Compétences clés</w:t>
      </w:r>
      <w:bookmarkEnd w:id="21"/>
    </w:p>
    <w:p>
      <w:pPr>
        <w:pStyle w:val="Heading3"/>
      </w:pPr>
      <w:bookmarkStart w:id="22" w:name="X7c4df3419ed7310ef9a8e05dc1039f70e5acff5"/>
      <w:r>
        <w:t xml:space="preserve">Identification des opportunités et cadrage</w:t>
      </w:r>
      <w:bookmarkEnd w:id="22"/>
    </w:p>
    <w:p>
      <w:pPr>
        <w:numPr>
          <w:ilvl w:val="0"/>
          <w:numId w:val="1002"/>
        </w:numPr>
        <w:pStyle w:val="Compact"/>
      </w:pPr>
      <w:r>
        <w:t xml:space="preserve">Analyse des processus métiers et repérage des tâches à fort volume documentaire ou à forte charge d’analyse</w:t>
      </w:r>
    </w:p>
    <w:p>
      <w:pPr>
        <w:numPr>
          <w:ilvl w:val="0"/>
          <w:numId w:val="1002"/>
        </w:numPr>
        <w:pStyle w:val="Compact"/>
      </w:pPr>
      <w:r>
        <w:t xml:space="preserve">Étude d’opportunité, estimation de la valeur, du coût de mise en œuvre et du coût récurrent</w:t>
      </w:r>
    </w:p>
    <w:p>
      <w:pPr>
        <w:numPr>
          <w:ilvl w:val="0"/>
          <w:numId w:val="1002"/>
        </w:numPr>
        <w:pStyle w:val="Compact"/>
      </w:pPr>
      <w:r>
        <w:t xml:space="preserve">Étude de faisabilité technique : disponibilité et qualité des données, exigences de confidentialité, contraintes de latence, niveau de fiabilité atteignable</w:t>
      </w:r>
    </w:p>
    <w:p>
      <w:pPr>
        <w:numPr>
          <w:ilvl w:val="0"/>
          <w:numId w:val="1002"/>
        </w:numPr>
        <w:pStyle w:val="Compact"/>
      </w:pPr>
      <w:r>
        <w:t xml:space="preserve">Cadrage fonctionnel : périmètre, critères d’acceptation, données mobilisées, indicateurs de succès</w:t>
      </w:r>
    </w:p>
    <w:p>
      <w:pPr>
        <w:numPr>
          <w:ilvl w:val="0"/>
          <w:numId w:val="1002"/>
        </w:numPr>
        <w:pStyle w:val="Compact"/>
      </w:pPr>
      <w:r>
        <w:t xml:space="preserve">Arbitrage entre solution IA, automatisation classique et statu quo, y compris la recommandation de ne pas faire</w:t>
      </w:r>
    </w:p>
    <w:p>
      <w:pPr>
        <w:pStyle w:val="Heading3"/>
      </w:pPr>
      <w:bookmarkStart w:id="23" w:name="X44a82354f7df852fd12fd6df882e6a970418e7d"/>
      <w:r>
        <w:t xml:space="preserve">IA générative, LLM et traitement du langage</w:t>
      </w:r>
      <w:bookmarkEnd w:id="23"/>
    </w:p>
    <w:p>
      <w:pPr>
        <w:numPr>
          <w:ilvl w:val="0"/>
          <w:numId w:val="1003"/>
        </w:numPr>
        <w:pStyle w:val="Compact"/>
      </w:pPr>
      <w:r>
        <w:t xml:space="preserve">Modèles open source et propriétaires, Mistral, LLaMA, Hugging Face, OpenAI, Azure OpenAI, Claude, Bedrock</w:t>
      </w:r>
    </w:p>
    <w:p>
      <w:pPr>
        <w:numPr>
          <w:ilvl w:val="0"/>
          <w:numId w:val="1003"/>
        </w:numPr>
        <w:pStyle w:val="Compact"/>
      </w:pPr>
      <w:r>
        <w:t xml:space="preserve">Sélection du modèle selon la qualité attendue, la confidentialité, la latence et le coût</w:t>
      </w:r>
    </w:p>
    <w:p>
      <w:pPr>
        <w:numPr>
          <w:ilvl w:val="0"/>
          <w:numId w:val="1003"/>
        </w:numPr>
        <w:pStyle w:val="Compact"/>
      </w:pPr>
      <w:r>
        <w:t xml:space="preserve">Prompt engineering avancé, System Prompts mutualisés, sorties structurées, garde-fous</w:t>
      </w:r>
    </w:p>
    <w:p>
      <w:pPr>
        <w:numPr>
          <w:ilvl w:val="0"/>
          <w:numId w:val="1003"/>
        </w:numPr>
        <w:pStyle w:val="Compact"/>
      </w:pPr>
      <w:r>
        <w:t xml:space="preserve">Traitement automatique du langage et analyse sémantique : extraction d’entités, rapprochement flou et phonétique, classification documentaire, similarité et recherche sémantique</w:t>
      </w:r>
    </w:p>
    <w:p>
      <w:pPr>
        <w:numPr>
          <w:ilvl w:val="0"/>
          <w:numId w:val="1003"/>
        </w:numPr>
        <w:pStyle w:val="Compact"/>
      </w:pPr>
      <w:r>
        <w:t xml:space="preserve">Document AI : OCR, modèles vision-langage, traitement de corpus documentaires métiers</w:t>
      </w:r>
    </w:p>
    <w:p>
      <w:pPr>
        <w:numPr>
          <w:ilvl w:val="0"/>
          <w:numId w:val="1003"/>
        </w:numPr>
        <w:pStyle w:val="Compact"/>
      </w:pPr>
      <w:r>
        <w:t xml:space="preserve">Chaîne RAG complète, de l’ingestion à l’évaluation, recherche hybride, reranking, filtrage par métadonnées</w:t>
      </w:r>
    </w:p>
    <w:p>
      <w:pPr>
        <w:numPr>
          <w:ilvl w:val="0"/>
          <w:numId w:val="1003"/>
        </w:numPr>
        <w:pStyle w:val="Compact"/>
      </w:pPr>
      <w:r>
        <w:t xml:space="preserve">Agents IA, orchestration, appel d’outils, serveurs MCP exposant données et API internes</w:t>
      </w:r>
    </w:p>
    <w:p>
      <w:pPr>
        <w:pStyle w:val="Heading3"/>
      </w:pPr>
      <w:bookmarkStart w:id="24" w:name="machine-learning-et-deep-learning"/>
      <w:r>
        <w:t xml:space="preserve">Machine Learning et Deep Learning</w:t>
      </w:r>
      <w:bookmarkEnd w:id="24"/>
    </w:p>
    <w:p>
      <w:pPr>
        <w:numPr>
          <w:ilvl w:val="0"/>
          <w:numId w:val="1004"/>
        </w:numPr>
        <w:pStyle w:val="Compact"/>
      </w:pPr>
      <w:r>
        <w:t xml:space="preserve">Modèles prédictifs, classification, détection d’anomalies, moteurs de recommandation</w:t>
      </w:r>
    </w:p>
    <w:p>
      <w:pPr>
        <w:numPr>
          <w:ilvl w:val="0"/>
          <w:numId w:val="1004"/>
        </w:numPr>
        <w:pStyle w:val="Compact"/>
      </w:pPr>
      <w:r>
        <w:t xml:space="preserve">Réduction des faux positifs, analyse des matrices de confusion, arbitrage précision et rappel</w:t>
      </w:r>
    </w:p>
    <w:p>
      <w:pPr>
        <w:numPr>
          <w:ilvl w:val="0"/>
          <w:numId w:val="1004"/>
        </w:numPr>
        <w:pStyle w:val="Compact"/>
      </w:pPr>
      <w:r>
        <w:t xml:space="preserve">Vision par ordinateur et maintenance prédictive en environnement industriel</w:t>
      </w:r>
    </w:p>
    <w:p>
      <w:pPr>
        <w:numPr>
          <w:ilvl w:val="0"/>
          <w:numId w:val="1004"/>
        </w:numPr>
        <w:pStyle w:val="Compact"/>
      </w:pPr>
      <w:r>
        <w:t xml:space="preserve">Quinze ans de pratique, de la recherche doctorale à l’industrialisation</w:t>
      </w:r>
    </w:p>
    <w:p>
      <w:pPr>
        <w:pStyle w:val="Heading3"/>
      </w:pPr>
      <w:bookmarkStart w:id="25" w:name="architecture-de-données-et-plateformes"/>
      <w:r>
        <w:t xml:space="preserve">Architecture de données et plateformes</w:t>
      </w:r>
      <w:bookmarkEnd w:id="25"/>
    </w:p>
    <w:p>
      <w:pPr>
        <w:numPr>
          <w:ilvl w:val="0"/>
          <w:numId w:val="1005"/>
        </w:numPr>
        <w:pStyle w:val="Compact"/>
      </w:pPr>
      <w:r>
        <w:t xml:space="preserve">Architectures de plateformes Data et IA d’entreprise, Snowflake, Databricks, Azure, AWS</w:t>
      </w:r>
    </w:p>
    <w:p>
      <w:pPr>
        <w:numPr>
          <w:ilvl w:val="0"/>
          <w:numId w:val="1005"/>
        </w:numPr>
        <w:pStyle w:val="Compact"/>
      </w:pPr>
      <w:r>
        <w:t xml:space="preserve">Modélisation des données, produits de données réutilisables, API et architectures événementielles</w:t>
      </w:r>
    </w:p>
    <w:p>
      <w:pPr>
        <w:numPr>
          <w:ilvl w:val="0"/>
          <w:numId w:val="1005"/>
        </w:numPr>
        <w:pStyle w:val="Compact"/>
      </w:pPr>
      <w:r>
        <w:t xml:space="preserve">Gouvernance de la donnée : catalogue, lignage, qualité, propriété, contrôle d’accès</w:t>
      </w:r>
    </w:p>
    <w:p>
      <w:pPr>
        <w:numPr>
          <w:ilvl w:val="0"/>
          <w:numId w:val="1005"/>
        </w:numPr>
        <w:pStyle w:val="Compact"/>
      </w:pPr>
      <w:r>
        <w:t xml:space="preserve">Industrialisation MLOps et LLMOps, intégration et déploiement continus, supervision, évaluation</w:t>
      </w:r>
    </w:p>
    <w:p>
      <w:pPr>
        <w:pStyle w:val="Heading3"/>
      </w:pPr>
      <w:bookmarkStart w:id="26" w:name="X352b4b89f283b987069c642b685d907e82998aa"/>
      <w:r>
        <w:t xml:space="preserve">Pilotage des initiatives et relations parties prenantes</w:t>
      </w:r>
      <w:bookmarkEnd w:id="26"/>
    </w:p>
    <w:p>
      <w:pPr>
        <w:numPr>
          <w:ilvl w:val="0"/>
          <w:numId w:val="1006"/>
        </w:numPr>
        <w:pStyle w:val="Compact"/>
      </w:pPr>
      <w:r>
        <w:t xml:space="preserve">Pilotage d’initiatives Data, Analytics et IA du cadrage à la mise en production</w:t>
      </w:r>
    </w:p>
    <w:p>
      <w:pPr>
        <w:numPr>
          <w:ilvl w:val="0"/>
          <w:numId w:val="1006"/>
        </w:numPr>
        <w:pStyle w:val="Compact"/>
      </w:pPr>
      <w:r>
        <w:t xml:space="preserve">Animation de comités, préparation des arbitrages, reporting aux instances de gouvernance</w:t>
      </w:r>
    </w:p>
    <w:p>
      <w:pPr>
        <w:numPr>
          <w:ilvl w:val="0"/>
          <w:numId w:val="1006"/>
        </w:numPr>
        <w:pStyle w:val="Compact"/>
      </w:pPr>
      <w:r>
        <w:t xml:space="preserve">Dialogue avec des interlocuteurs métiers, techniques et dirigeants, vulgarisation des enjeux techniques</w:t>
      </w:r>
    </w:p>
    <w:p>
      <w:pPr>
        <w:numPr>
          <w:ilvl w:val="0"/>
          <w:numId w:val="1006"/>
        </w:numPr>
        <w:pStyle w:val="Compact"/>
      </w:pPr>
      <w:r>
        <w:t xml:space="preserve">Encadrement d’équipes pluridisciplinaires d’une vingtaine de personnes</w:t>
      </w:r>
    </w:p>
    <w:p>
      <w:pPr>
        <w:numPr>
          <w:ilvl w:val="0"/>
          <w:numId w:val="1006"/>
        </w:numPr>
        <w:pStyle w:val="Compact"/>
      </w:pPr>
      <w:r>
        <w:t xml:space="preserve">Méthodes Agile, Scrum, SAFe</w:t>
      </w:r>
    </w:p>
    <w:p>
      <w:pPr>
        <w:pStyle w:val="Heading3"/>
      </w:pPr>
      <w:bookmarkStart w:id="27" w:name="X17e63acd70a2b722832f99f50a75dcba0b63c83"/>
      <w:r>
        <w:t xml:space="preserve">Gouvernance, conformité et maîtrise du risque</w:t>
      </w:r>
      <w:bookmarkEnd w:id="27"/>
    </w:p>
    <w:p>
      <w:pPr>
        <w:numPr>
          <w:ilvl w:val="0"/>
          <w:numId w:val="1007"/>
        </w:numPr>
        <w:pStyle w:val="Compact"/>
      </w:pPr>
      <w:r>
        <w:t xml:space="preserve">RGPD, DORA, AI Act, classification des cas d’usage par niveau de risque et traduction en contrôles vérifiables</w:t>
      </w:r>
    </w:p>
    <w:p>
      <w:pPr>
        <w:numPr>
          <w:ilvl w:val="0"/>
          <w:numId w:val="1007"/>
        </w:numPr>
        <w:pStyle w:val="Compact"/>
      </w:pPr>
      <w:r>
        <w:t xml:space="preserve">Risques propres aux LLM : hallucinations, injection de prompt, fuite de données, exfiltration par les outils</w:t>
      </w:r>
    </w:p>
    <w:p>
      <w:pPr>
        <w:numPr>
          <w:ilvl w:val="0"/>
          <w:numId w:val="1007"/>
        </w:numPr>
        <w:pStyle w:val="Compact"/>
      </w:pPr>
      <w:r>
        <w:t xml:space="preserve">Garde-fous, validation humaine, auditabilité et traçabilité des sorties</w:t>
      </w:r>
    </w:p>
    <w:p>
      <w:pPr>
        <w:numPr>
          <w:ilvl w:val="0"/>
          <w:numId w:val="1007"/>
        </w:numPr>
        <w:pStyle w:val="Compact"/>
      </w:pPr>
      <w:r>
        <w:t xml:space="preserve">Référencement et documentation des cas d’usage, registre des usages, propriétaire, données mobilisées</w:t>
      </w:r>
    </w:p>
    <w:p>
      <w:pPr>
        <w:numPr>
          <w:ilvl w:val="0"/>
          <w:numId w:val="1007"/>
        </w:numPr>
        <w:pStyle w:val="Compact"/>
      </w:pPr>
      <w:r>
        <w:t xml:space="preserve">RBAC et sécurité au niveau ligne</w:t>
      </w:r>
    </w:p>
    <w:p>
      <w:pPr>
        <w:pStyle w:val="Heading3"/>
      </w:pPr>
      <w:bookmarkStart w:id="28" w:name="adoption-acculturation-et-formation"/>
      <w:r>
        <w:t xml:space="preserve">Adoption, acculturation et formation</w:t>
      </w:r>
      <w:bookmarkEnd w:id="28"/>
    </w:p>
    <w:p>
      <w:pPr>
        <w:numPr>
          <w:ilvl w:val="0"/>
          <w:numId w:val="1008"/>
        </w:numPr>
        <w:pStyle w:val="Compact"/>
      </w:pPr>
      <w:r>
        <w:t xml:space="preserve">Ateliers de prise en main de l’IA générative et du prompt engineering, construits sur les usages réels</w:t>
      </w:r>
    </w:p>
    <w:p>
      <w:pPr>
        <w:numPr>
          <w:ilvl w:val="0"/>
          <w:numId w:val="1008"/>
        </w:numPr>
        <w:pStyle w:val="Compact"/>
      </w:pPr>
      <w:r>
        <w:t xml:space="preserve">Animation de référents en relais dans les équipes, diffusion des bonnes pratiques</w:t>
      </w:r>
    </w:p>
    <w:p>
      <w:pPr>
        <w:numPr>
          <w:ilvl w:val="0"/>
          <w:numId w:val="1008"/>
        </w:numPr>
        <w:pStyle w:val="Compact"/>
      </w:pPr>
      <w:r>
        <w:t xml:space="preserve">Conception et animation de six formations professionnelles, SQLI Institute et FItec</w:t>
      </w:r>
    </w:p>
    <w:p>
      <w:pPr>
        <w:numPr>
          <w:ilvl w:val="0"/>
          <w:numId w:val="1008"/>
        </w:numPr>
        <w:pStyle w:val="Compact"/>
      </w:pPr>
      <w:r>
        <w:t xml:space="preserve">Sensibilisation aux limites des modèles, hallucinations, périmètre de validité</w:t>
      </w:r>
    </w:p>
    <w:p>
      <w:pPr>
        <w:numPr>
          <w:ilvl w:val="0"/>
          <w:numId w:val="1008"/>
        </w:numPr>
        <w:pStyle w:val="Compact"/>
      </w:pPr>
      <w:r>
        <w:t xml:space="preserve">Intervenant Big Data Paris</w:t>
      </w:r>
    </w:p>
    <w:p>
      <w:pPr>
        <w:pStyle w:val="Heading2"/>
      </w:pPr>
      <w:bookmarkStart w:id="29" w:name="environnement-technique"/>
      <w:r>
        <w:t xml:space="preserve">Environnement technique</w:t>
      </w:r>
      <w:bookmarkEnd w:id="29"/>
    </w:p>
    <w:p>
      <w:pPr>
        <w:numPr>
          <w:ilvl w:val="0"/>
          <w:numId w:val="1009"/>
        </w:numPr>
        <w:pStyle w:val="Compact"/>
      </w:pPr>
      <w:r>
        <w:t xml:space="preserve">IA générative : Mistral, LLaMA, Hugging Face, OpenAI, Azure OpenAI, Claude, Amazon Bedrock, Copilot et Copilot Studio</w:t>
      </w:r>
    </w:p>
    <w:p>
      <w:pPr>
        <w:numPr>
          <w:ilvl w:val="0"/>
          <w:numId w:val="1009"/>
        </w:numPr>
        <w:pStyle w:val="Compact"/>
      </w:pPr>
      <w:r>
        <w:t xml:space="preserve">Frameworks et protocoles : LangChain, LlamaIndex, Semantic Kernel, MCP, MLflow, PyTorch, TensorFlow, scikit-learn</w:t>
      </w:r>
    </w:p>
    <w:p>
      <w:pPr>
        <w:numPr>
          <w:ilvl w:val="0"/>
          <w:numId w:val="1009"/>
        </w:numPr>
        <w:pStyle w:val="Compact"/>
      </w:pPr>
      <w:r>
        <w:t xml:space="preserve">RAG et recherche : FAISS, PGVector, OpenSearch, BM25, recherche hybride, reranking, RAGAS</w:t>
      </w:r>
    </w:p>
    <w:p>
      <w:pPr>
        <w:numPr>
          <w:ilvl w:val="0"/>
          <w:numId w:val="1009"/>
        </w:numPr>
        <w:pStyle w:val="Compact"/>
      </w:pPr>
      <w:r>
        <w:t xml:space="preserve">Document AI : Azure Document Intelligence, modèles vision-langage, Docling, Tesseract, OpenCV</w:t>
      </w:r>
    </w:p>
    <w:p>
      <w:pPr>
        <w:numPr>
          <w:ilvl w:val="0"/>
          <w:numId w:val="1009"/>
        </w:numPr>
        <w:pStyle w:val="Compact"/>
      </w:pPr>
      <w:r>
        <w:t xml:space="preserve">Data : Snowflake, Databricks, dbt, Python, SQL, Spark, PySpark, Kafka, Airflow</w:t>
      </w:r>
    </w:p>
    <w:p>
      <w:pPr>
        <w:numPr>
          <w:ilvl w:val="0"/>
          <w:numId w:val="1009"/>
        </w:numPr>
        <w:pStyle w:val="Compact"/>
      </w:pPr>
      <w:r>
        <w:t xml:space="preserve">Gouvernance : catalogue de données, lignage, Apache Atlas, MDM, qualité, RBAC, RLS</w:t>
      </w:r>
    </w:p>
    <w:p>
      <w:pPr>
        <w:numPr>
          <w:ilvl w:val="0"/>
          <w:numId w:val="1009"/>
        </w:numPr>
        <w:pStyle w:val="Compact"/>
      </w:pPr>
      <w:r>
        <w:t xml:space="preserve">Observabilité : Langfuse, Arize, OpenTelemetry, Prometheus, Grafana, MLflow</w:t>
      </w:r>
    </w:p>
    <w:p>
      <w:pPr>
        <w:numPr>
          <w:ilvl w:val="0"/>
          <w:numId w:val="1009"/>
        </w:numPr>
        <w:pStyle w:val="Compact"/>
      </w:pPr>
      <w:r>
        <w:t xml:space="preserve">Infrastructure : Linux, Docker, Kubernetes, Terraform, GitHub Actions, GitLab CI/CD</w:t>
      </w:r>
    </w:p>
    <w:p>
      <w:pPr>
        <w:numPr>
          <w:ilvl w:val="0"/>
          <w:numId w:val="1009"/>
        </w:numPr>
        <w:pStyle w:val="Compact"/>
      </w:pPr>
      <w:r>
        <w:t xml:space="preserve">Décisionnel : Power BI, IBM Cognos</w:t>
      </w:r>
    </w:p>
    <w:p>
      <w:pPr>
        <w:pStyle w:val="Heading2"/>
      </w:pPr>
      <w:bookmarkStart w:id="30" w:name="expérience-professionnelle"/>
      <w:r>
        <w:t xml:space="preserve">Expérience professionnelle</w:t>
      </w:r>
      <w:bookmarkEnd w:id="30"/>
    </w:p>
    <w:p>
      <w:pPr>
        <w:pStyle w:val="Heading3"/>
      </w:pPr>
      <w:bookmarkStart w:id="31" w:name="Xf640e1f94dcd38b8114a175811f00dfe242fe77"/>
      <w:r>
        <w:t xml:space="preserve">Expert et Lead technique Data &amp; IA — BIL, Banque Internationale à Luxembourg</w:t>
      </w:r>
      <w:bookmarkEnd w:id="31"/>
    </w:p>
    <w:p>
      <w:pPr>
        <w:pStyle w:val="FirstParagraph"/>
      </w:pPr>
      <w:r>
        <w:rPr>
          <w:i/>
        </w:rPr>
        <w:t xml:space="preserve">Janvier 2026 à aujourd’hui</w:t>
      </w:r>
    </w:p>
    <w:p>
      <w:pPr>
        <w:pStyle w:val="BodyText"/>
      </w:pPr>
      <w:r>
        <w:t xml:space="preserve">Conception, industrialisation et exploitation de GENIA, plateforme Data et IA d’entreprise mettant à disposition des domaines métiers des capacités d’IA générative gouvernées, en environnement bancaire régulé.</w:t>
      </w:r>
    </w:p>
    <w:p>
      <w:pPr>
        <w:numPr>
          <w:ilvl w:val="0"/>
          <w:numId w:val="1010"/>
        </w:numPr>
        <w:pStyle w:val="Compact"/>
      </w:pPr>
      <w:r>
        <w:t xml:space="preserve">Identification avec les directions métiers des processus candidats à l’IA générative, études d’opportunité et cadrage des cas d’usage retenus.</w:t>
      </w:r>
    </w:p>
    <w:p>
      <w:pPr>
        <w:numPr>
          <w:ilvl w:val="0"/>
          <w:numId w:val="1010"/>
        </w:numPr>
        <w:pStyle w:val="Compact"/>
      </w:pPr>
      <w:r>
        <w:t xml:space="preserve">Architecture et exploitation d’une plateforme multi-LLM intégrant modèles propriétaires et open source, sélectionnés selon la qualité, la confidentialité, le coût et la latence.</w:t>
      </w:r>
    </w:p>
    <w:p>
      <w:pPr>
        <w:numPr>
          <w:ilvl w:val="0"/>
          <w:numId w:val="1010"/>
        </w:numPr>
        <w:pStyle w:val="Compact"/>
      </w:pPr>
      <w:r>
        <w:t xml:space="preserve">Construction de pipelines RAG et Document AI : ingestion, parsing, chunking, embeddings, indexation, recherche hybride, reranking, génération, avec filtrage par métadonnées et contrôle d’accès au niveau du document.</w:t>
      </w:r>
    </w:p>
    <w:p>
      <w:pPr>
        <w:numPr>
          <w:ilvl w:val="0"/>
          <w:numId w:val="1010"/>
        </w:numPr>
        <w:pStyle w:val="Compact"/>
      </w:pPr>
      <w:r>
        <w:t xml:space="preserve">Développement d’agents IA interrogeant les modèles, les bases documentaires et les API internes, avec garde-fous et validation humaine sur les actions sensibles.</w:t>
      </w:r>
    </w:p>
    <w:p>
      <w:pPr>
        <w:numPr>
          <w:ilvl w:val="0"/>
          <w:numId w:val="1010"/>
        </w:numPr>
        <w:pStyle w:val="Compact"/>
      </w:pPr>
      <w:r>
        <w:t xml:space="preserve">Conception de serveurs MCP exposant les métadonnées clients issues de Snowflake pour leur exploitation par les agents.</w:t>
      </w:r>
    </w:p>
    <w:p>
      <w:pPr>
        <w:numPr>
          <w:ilvl w:val="0"/>
          <w:numId w:val="1010"/>
        </w:numPr>
        <w:pStyle w:val="Compact"/>
      </w:pPr>
      <w:r>
        <w:t xml:space="preserve">Mise en place du cadre d’évaluation : métriques de retrieval, métriques RAG, factualité, taux d’hallucination, latence et coût, avec jalons conditionnant le passage en production.</w:t>
      </w:r>
    </w:p>
    <w:p>
      <w:pPr>
        <w:numPr>
          <w:ilvl w:val="0"/>
          <w:numId w:val="1010"/>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10"/>
        </w:numPr>
        <w:pStyle w:val="Compact"/>
      </w:pPr>
      <w:r>
        <w:t xml:space="preserve">Modernisation du décisionnel historique IBM Cognos vers Snowflake et Power BI : rationalisation du portefeuille de rapports, refonte des modèles, reconstruction de la couche sémantique, accompagnement des utilisateurs.</w:t>
      </w:r>
    </w:p>
    <w:p>
      <w:pPr>
        <w:numPr>
          <w:ilvl w:val="0"/>
          <w:numId w:val="1010"/>
        </w:numPr>
        <w:pStyle w:val="Compact"/>
      </w:pPr>
      <w:r>
        <w:t xml:space="preserve">Conformité RBAC, sécurité au niveau ligne, chiffrement, RGPD et exigences bancaires dont DORA.</w:t>
      </w:r>
    </w:p>
    <w:p>
      <w:pPr>
        <w:numPr>
          <w:ilvl w:val="0"/>
          <w:numId w:val="1010"/>
        </w:numPr>
        <w:pStyle w:val="Compact"/>
      </w:pPr>
      <w:r>
        <w:t xml:space="preserve">Coordination d’équipes pluridisciplinaires réunissant experts Data, IA, architecture, ingénierie et DevOps.</w:t>
      </w:r>
    </w:p>
    <w:p>
      <w:pPr>
        <w:pStyle w:val="Heading3"/>
      </w:pPr>
      <w:bookmarkStart w:id="32" w:name="X5e0e3e10ceba1da22cb041fed60d9cbd26df18a"/>
      <w:r>
        <w:t xml:space="preserve">Architecte et Lead technique Data &amp; IA — TotalEnergies</w:t>
      </w:r>
      <w:bookmarkEnd w:id="32"/>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w:t>
      </w:r>
    </w:p>
    <w:p>
      <w:pPr>
        <w:numPr>
          <w:ilvl w:val="0"/>
          <w:numId w:val="1011"/>
        </w:numPr>
        <w:pStyle w:val="Compact"/>
      </w:pPr>
      <w:r>
        <w:t xml:space="preserve">Industrialisation d’une quinzaine de cas d’usage Data, Machine Learning et IA, de l’expérimentation à la production.</w:t>
      </w:r>
    </w:p>
    <w:p>
      <w:pPr>
        <w:numPr>
          <w:ilvl w:val="0"/>
          <w:numId w:val="1011"/>
        </w:numPr>
        <w:pStyle w:val="Compact"/>
      </w:pPr>
      <w:r>
        <w:t xml:space="preserve">Cadrage des cas d’usage avec les métiers, arbitrage sur la faisabilité et priorisation du portefeuille.</w:t>
      </w:r>
    </w:p>
    <w:p>
      <w:pPr>
        <w:numPr>
          <w:ilvl w:val="0"/>
          <w:numId w:val="1011"/>
        </w:numPr>
        <w:pStyle w:val="Compact"/>
      </w:pPr>
      <w:r>
        <w:t xml:space="preserve">Conception et industrialisation de pipelines Document AI, OCR et RAG pour le traitement de corpus documentaires techniques et opérationnels.</w:t>
      </w:r>
    </w:p>
    <w:p>
      <w:pPr>
        <w:numPr>
          <w:ilvl w:val="0"/>
          <w:numId w:val="1011"/>
        </w:numPr>
        <w:pStyle w:val="Compact"/>
      </w:pPr>
      <w:r>
        <w:t xml:space="preserve">Conception de serveurs MCP exposant les données de forage, permettant à des agents IA d’analyser les rapports journaliers et les incidents d’exploitation.</w:t>
      </w:r>
    </w:p>
    <w:p>
      <w:pPr>
        <w:numPr>
          <w:ilvl w:val="0"/>
          <w:numId w:val="1011"/>
        </w:numPr>
        <w:pStyle w:val="Compact"/>
      </w:pPr>
      <w:r>
        <w:t xml:space="preserve">Développement des pipelines d’entraînement, d’évaluation et de déploiement intégrant MLflow, intégration et déploiement continus, supervision et versionnement.</w:t>
      </w:r>
    </w:p>
    <w:p>
      <w:pPr>
        <w:numPr>
          <w:ilvl w:val="0"/>
          <w:numId w:val="1011"/>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1"/>
        </w:numPr>
        <w:pStyle w:val="Compact"/>
      </w:pPr>
      <w:r>
        <w:t xml:space="preserve">Encadrement d’une équipe pluridisciplinaire d’une vingtaine de personnes.</w:t>
      </w:r>
    </w:p>
    <w:p>
      <w:pPr>
        <w:numPr>
          <w:ilvl w:val="0"/>
          <w:numId w:val="1011"/>
        </w:numPr>
        <w:pStyle w:val="Compact"/>
      </w:pPr>
      <w:r>
        <w:t xml:space="preserve">Accompagnement des équipes métiers dans l’adoption des services d’IA : ateliers de prise en main, gabarits mutualisés, guides d’exploitation, transfert en exploitation.</w:t>
      </w:r>
    </w:p>
    <w:p>
      <w:pPr>
        <w:pStyle w:val="Heading3"/>
      </w:pPr>
      <w:bookmarkStart w:id="33" w:name="Xa0ef47950fa705f05818e07bd7693bcd21270ff"/>
      <w:r>
        <w:t xml:space="preserve">Lead Data Science et gouvernance — BPCE, banque et assurance</w:t>
      </w:r>
      <w:bookmarkEnd w:id="33"/>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2"/>
        </w:numPr>
        <w:pStyle w:val="Compact"/>
      </w:pPr>
      <w:r>
        <w:t xml:space="preserve">Construction d’un moteur de détection de fraude de bout en bout et automatisation des flux de gestion des alertes, sanctions et embargos.</w:t>
      </w:r>
    </w:p>
    <w:p>
      <w:pPr>
        <w:numPr>
          <w:ilvl w:val="0"/>
          <w:numId w:val="1012"/>
        </w:numPr>
        <w:pStyle w:val="Compact"/>
      </w:pPr>
      <w:r>
        <w:t xml:space="preserve">Développement d’un moteur de rapprochement exact, flou et phonétique entre entités suspectes et clients.</w:t>
      </w:r>
    </w:p>
    <w:p>
      <w:pPr>
        <w:numPr>
          <w:ilvl w:val="0"/>
          <w:numId w:val="1012"/>
        </w:numPr>
        <w:pStyle w:val="Compact"/>
      </w:pPr>
      <w:r>
        <w:t xml:space="preserve">Réduction des faux positifs par TF-IDF, vectorisation par hachage et analyse des matrices de confusion.</w:t>
      </w:r>
    </w:p>
    <w:p>
      <w:pPr>
        <w:numPr>
          <w:ilvl w:val="0"/>
          <w:numId w:val="1012"/>
        </w:numPr>
        <w:pStyle w:val="Compact"/>
      </w:pPr>
      <w:r>
        <w:t xml:space="preserve">Déploiement du dictionnaire de données d’entreprise et du lignage sur Apache Atlas et ELK, établissant la traçabilité des actifs de données financières jusqu’au reporting réglementaire.</w:t>
      </w:r>
    </w:p>
    <w:p>
      <w:pPr>
        <w:numPr>
          <w:ilvl w:val="0"/>
          <w:numId w:val="1012"/>
        </w:numPr>
        <w:pStyle w:val="Compact"/>
      </w:pPr>
      <w:r>
        <w:t xml:space="preserve">Structuration des métadonnées, de la propriété et des définitions de données sur les domaines LCB-FT, sanctions et fraude.</w:t>
      </w:r>
    </w:p>
    <w:p>
      <w:pPr>
        <w:numPr>
          <w:ilvl w:val="0"/>
          <w:numId w:val="1012"/>
        </w:numPr>
        <w:pStyle w:val="Compact"/>
      </w:pPr>
      <w:r>
        <w:t xml:space="preserve">Mise en conformité RGPD des chaînes de traitement : contrôle d’accès, traçabilité, protection des données.</w:t>
      </w:r>
    </w:p>
    <w:p>
      <w:pPr>
        <w:numPr>
          <w:ilvl w:val="0"/>
          <w:numId w:val="1012"/>
        </w:numPr>
        <w:pStyle w:val="Compact"/>
      </w:pPr>
      <w:r>
        <w:t xml:space="preserve">Définition et suivi des indicateurs de performance des systèmes de détection, restitués aux équipes risque et conformité.</w:t>
      </w:r>
    </w:p>
    <w:p>
      <w:pPr>
        <w:pStyle w:val="Heading3"/>
      </w:pPr>
      <w:bookmarkStart w:id="34" w:name="X1c194f9645666d23509ea116cfca8d37c06e194"/>
      <w:r>
        <w:t xml:space="preserve">Lead technique Data et IA, programme MSM — RATP, avec Alstom, Renault et IRT SystemX</w:t>
      </w:r>
      <w:bookmarkEnd w:id="34"/>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3"/>
        </w:numPr>
        <w:pStyle w:val="Compact"/>
      </w:pPr>
      <w:r>
        <w:t xml:space="preserve">Pilotage des initiatives Data et IA du programme, du cadrage des cas d’usage au déploiement en production.</w:t>
      </w:r>
    </w:p>
    <w:p>
      <w:pPr>
        <w:numPr>
          <w:ilvl w:val="0"/>
          <w:numId w:val="1013"/>
        </w:numPr>
        <w:pStyle w:val="Compact"/>
      </w:pPr>
      <w:r>
        <w:t xml:space="preserve">Conception d’architectures en microservices pour la supervision temps réel et la gestion des incidents.</w:t>
      </w:r>
    </w:p>
    <w:p>
      <w:pPr>
        <w:numPr>
          <w:ilvl w:val="0"/>
          <w:numId w:val="1013"/>
        </w:numPr>
        <w:pStyle w:val="Compact"/>
      </w:pPr>
      <w:r>
        <w:t xml:space="preserve">Construction et déploiement d’un lac de données multi-couches, avec intégration de flux Kafka sécurisés.</w:t>
      </w:r>
    </w:p>
    <w:p>
      <w:pPr>
        <w:numPr>
          <w:ilvl w:val="0"/>
          <w:numId w:val="1013"/>
        </w:numPr>
        <w:pStyle w:val="Compact"/>
      </w:pPr>
      <w:r>
        <w:t xml:space="preserve">Développement de modèles prédictifs pour les flux voyageurs, la durée des incidents et la planification opérationnelle.</w:t>
      </w:r>
    </w:p>
    <w:p>
      <w:pPr>
        <w:numPr>
          <w:ilvl w:val="0"/>
          <w:numId w:val="1013"/>
        </w:numPr>
        <w:pStyle w:val="Compact"/>
      </w:pPr>
      <w:r>
        <w:t xml:space="preserve">Détection d’anomalies et analyse de journaux pour la qualité des données et la conformité.</w:t>
      </w:r>
    </w:p>
    <w:p>
      <w:pPr>
        <w:numPr>
          <w:ilvl w:val="0"/>
          <w:numId w:val="1013"/>
        </w:numPr>
        <w:pStyle w:val="Compact"/>
      </w:pPr>
      <w:r>
        <w:t xml:space="preserve">Formation des équipes métiers et techniques aux plateformes d’IA et à la visualisation de données.</w:t>
      </w:r>
    </w:p>
    <w:p>
      <w:pPr>
        <w:numPr>
          <w:ilvl w:val="0"/>
          <w:numId w:val="1013"/>
        </w:numPr>
        <w:pStyle w:val="Compact"/>
      </w:pPr>
      <w:r>
        <w:t xml:space="preserve">Publication IEEE, DSD 2020, sur l’architecture de supervision hybride temps réel et prédictif.</w:t>
      </w:r>
    </w:p>
    <w:p>
      <w:pPr>
        <w:pStyle w:val="Heading3"/>
      </w:pPr>
      <w:bookmarkStart w:id="35" w:name="lead-data-science-distribution-de-luxe"/>
      <w:r>
        <w:t xml:space="preserve">Lead Data Science — Distribution de luxe</w:t>
      </w:r>
      <w:bookmarkEnd w:id="35"/>
    </w:p>
    <w:p>
      <w:pPr>
        <w:pStyle w:val="FirstParagraph"/>
      </w:pPr>
      <w:r>
        <w:rPr>
          <w:i/>
        </w:rPr>
        <w:t xml:space="preserve">Septembre 2015 à janvier 2017</w:t>
      </w:r>
    </w:p>
    <w:p>
      <w:pPr>
        <w:numPr>
          <w:ilvl w:val="0"/>
          <w:numId w:val="1014"/>
        </w:numPr>
        <w:pStyle w:val="Compact"/>
      </w:pPr>
      <w:r>
        <w:t xml:space="preserve">Construction d’un moteur d’intelligence client : classification des profils, prédiction de comportement, modélisation de l’attrition, moteur de recommandation.</w:t>
      </w:r>
    </w:p>
    <w:p>
      <w:pPr>
        <w:numPr>
          <w:ilvl w:val="0"/>
          <w:numId w:val="1014"/>
        </w:numPr>
        <w:pStyle w:val="Compact"/>
      </w:pPr>
      <w:r>
        <w:t xml:space="preserve">Définition et suivi des indicateurs de performance, restitués en temps réel aux équipes métiers.</w:t>
      </w:r>
    </w:p>
    <w:p>
      <w:pPr>
        <w:numPr>
          <w:ilvl w:val="0"/>
          <w:numId w:val="1014"/>
        </w:numPr>
        <w:pStyle w:val="Compact"/>
      </w:pPr>
      <w:r>
        <w:t xml:space="preserve">Industrialisation du code des modèles pour la mise à l’échelle.</w:t>
      </w:r>
    </w:p>
    <w:p>
      <w:pPr>
        <w:pStyle w:val="Heading3"/>
      </w:pPr>
      <w:bookmarkStart w:id="36" w:name="X9570a6bf48ca200cfdaf461ed3edb8647d92c96"/>
      <w:r>
        <w:t xml:space="preserve">Data Scientist — Beamlabs / Française des Jeux</w:t>
      </w:r>
      <w:bookmarkEnd w:id="36"/>
    </w:p>
    <w:p>
      <w:pPr>
        <w:pStyle w:val="FirstParagraph"/>
      </w:pPr>
      <w:r>
        <w:rPr>
          <w:i/>
        </w:rPr>
        <w:t xml:space="preserve">Novembre 2014 à septembre 2015</w:t>
      </w:r>
    </w:p>
    <w:p>
      <w:pPr>
        <w:numPr>
          <w:ilvl w:val="0"/>
          <w:numId w:val="1015"/>
        </w:numPr>
        <w:pStyle w:val="Compact"/>
      </w:pPr>
      <w:r>
        <w:t xml:space="preserve">Construction d’un socle Big Data pour le marketing temps réel : architecture distribuée, ingestion en flux, indexation.</w:t>
      </w:r>
    </w:p>
    <w:p>
      <w:pPr>
        <w:numPr>
          <w:ilvl w:val="0"/>
          <w:numId w:val="1015"/>
        </w:numPr>
        <w:pStyle w:val="Compact"/>
      </w:pPr>
      <w:r>
        <w:t xml:space="preserve">Développement d’un moteur de recommandation temps réel et de modèles de marketing prédictif.</w:t>
      </w:r>
    </w:p>
    <w:p>
      <w:pPr>
        <w:pStyle w:val="Heading3"/>
      </w:pPr>
      <w:bookmarkStart w:id="37" w:name="X9d3c1509eb8ad32da498b6df27f2f53a1be44b9"/>
      <w:r>
        <w:t xml:space="preserve">Ingénieur R&amp;D, doctorat — CentraleSupélec, Université Paris-Saclay</w:t>
      </w:r>
      <w:bookmarkEnd w:id="37"/>
    </w:p>
    <w:p>
      <w:pPr>
        <w:pStyle w:val="FirstParagraph"/>
      </w:pPr>
      <w:r>
        <w:rPr>
          <w:i/>
        </w:rPr>
        <w:t xml:space="preserve">Février 2010 à octobre 2014</w:t>
      </w:r>
    </w:p>
    <w:p>
      <w:pPr>
        <w:numPr>
          <w:ilvl w:val="0"/>
          <w:numId w:val="1016"/>
        </w:numPr>
        <w:pStyle w:val="Compact"/>
      </w:pPr>
      <w:r>
        <w:t xml:space="preserve">Application du Machine Learning à l’optimisation de cellules photovoltaïques et à la modélisation de transistors.</w:t>
      </w:r>
    </w:p>
    <w:p>
      <w:pPr>
        <w:numPr>
          <w:ilvl w:val="0"/>
          <w:numId w:val="1016"/>
        </w:numPr>
        <w:pStyle w:val="Compact"/>
      </w:pPr>
      <w:r>
        <w:t xml:space="preserve">Développement d’algorithmes de simulation et d’analyse de données scientifiques.</w:t>
      </w:r>
    </w:p>
    <w:p>
      <w:pPr>
        <w:pStyle w:val="Heading2"/>
      </w:pPr>
      <w:bookmarkStart w:id="38" w:name="formation"/>
      <w:r>
        <w:t xml:space="preserve">Formation</w:t>
      </w:r>
      <w:bookmarkEnd w:id="38"/>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39" w:name="publications-et-interventions"/>
      <w:r>
        <w:t xml:space="preserve">Publications et interventions</w:t>
      </w:r>
      <w:bookmarkEnd w:id="39"/>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0" w:name="langues"/>
      <w:r>
        <w:t xml:space="preserve">Langues</w:t>
      </w:r>
      <w:bookmarkEnd w:id="40"/>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EXPERT IA SENIOR — CADRAGE, ARCHITECTURE ET PILOTAGE DES INITIATIVES IA</dc:creator>
  <cp:keywords/>
  <dcterms:created xsi:type="dcterms:W3CDTF">2026-09-09T19:31:30Z</dcterms:created>
  <dcterms:modified xsi:type="dcterms:W3CDTF">2026-09-09T19:31:30Z</dcterms:modified>
</cp:coreProperties>
</file>

<file path=docProps/custom.xml><?xml version="1.0" encoding="utf-8"?>
<Properties xmlns="http://schemas.openxmlformats.org/officeDocument/2006/custom-properties" xmlns:vt="http://schemas.openxmlformats.org/officeDocument/2006/docPropsVTypes"/>
</file>