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HAKIM</w:t>
      </w:r>
      <w:r>
        <w:t xml:space="preserve"> </w:t>
      </w:r>
      <w:r>
        <w:t xml:space="preserve">AREZKI,</w:t>
      </w:r>
      <w:r>
        <w:t xml:space="preserve"> </w:t>
      </w:r>
      <w:r>
        <w:t xml:space="preserve">PhD</w:t>
      </w:r>
    </w:p>
    <w:p>
      <w:pPr>
        <w:pStyle w:val="Author"/>
      </w:pPr>
      <w:r>
        <w:t xml:space="preserve">DATA</w:t>
      </w:r>
      <w:r>
        <w:t xml:space="preserve"> </w:t>
      </w:r>
      <w:r>
        <w:t xml:space="preserve">&amp;</w:t>
      </w:r>
      <w:r>
        <w:t xml:space="preserve"> </w:t>
      </w:r>
      <w:r>
        <w:t xml:space="preserve">AI</w:t>
      </w:r>
      <w:r>
        <w:t xml:space="preserve"> </w:t>
      </w:r>
      <w:r>
        <w:t xml:space="preserve">PROGRAMME</w:t>
      </w:r>
      <w:r>
        <w:t xml:space="preserve"> </w:t>
      </w:r>
      <w:r>
        <w:t xml:space="preserve">DIRECTOR</w:t>
      </w:r>
      <w:r>
        <w:t xml:space="preserve"> </w:t>
      </w:r>
      <w:r>
        <w:t xml:space="preserve">—</w:t>
      </w:r>
      <w:r>
        <w:t xml:space="preserve"> </w:t>
      </w:r>
      <w:r>
        <w:t xml:space="preserve">IT</w:t>
      </w:r>
      <w:r>
        <w:t xml:space="preserve"> </w:t>
      </w:r>
      <w:r>
        <w:t xml:space="preserve">TRANSFORMATION</w:t>
      </w:r>
    </w:p>
    <w:p>
      <w:pPr>
        <w:pStyle w:val="FirstParagraph"/>
      </w:pPr>
      <w:r>
        <w:t xml:space="preserve">Paris / Île-de-France · Freelance · [Phone] · [Email] · [LinkedIn] · Available from 1 September 2026</w:t>
      </w:r>
    </w:p>
    <w:p>
      <w:pPr>
        <w:pStyle w:val="BodyText"/>
      </w:pPr>
      <w:r>
        <w:t xml:space="preserve">Data and AI programme director with 12 years of experience (15 including doctoral research) leading end-to-end IT transformations, from strategic trajectory through to industrialisation, including 8 years in regulated banking and financial services (BIL, BPCE) and in large industrial groups (TotalEnergies, RATP).</w:t>
      </w:r>
    </w:p>
    <w:p>
      <w:pPr>
        <w:pStyle w:val="BodyText"/>
      </w:pPr>
      <w:r>
        <w:t xml:space="preserve">Leadership of multi-year programmes bringing together several business divisions, the IT department, architecture, cybersecurity and external partners: roadmap construction, portfolio prioritisation, management of planning, budget, resources, risks and dependencies, preparation of trade-off decisions and reporting to governance bodies.</w:t>
      </w:r>
    </w:p>
    <w:p>
      <w:pPr>
        <w:pStyle w:val="BodyText"/>
      </w:pPr>
      <w:r>
        <w:t xml:space="preserve">Delivery of legacy application modernisation and migration towards target platforms, including estate mapping, business case construction, migration wave definition, securing of data migration and decommissioning.</w:t>
      </w:r>
    </w:p>
    <w:p>
      <w:pPr>
        <w:pStyle w:val="BodyText"/>
      </w:pPr>
      <w:r>
        <w:t xml:space="preserve">Management of multi-disciplinary teams of around 20 people across business, Data Engineering, Data Science, architecture, cloud and DevOps, with oversight of external partners and service providers.</w:t>
      </w:r>
    </w:p>
    <w:bookmarkStart w:id="20" w:name="programmes-in-regulated-environments"/>
    <w:p>
      <w:pPr>
        <w:pStyle w:val="Heading2"/>
      </w:pPr>
      <w:r>
        <w:t xml:space="preserve">Programmes in regulated environments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BIL, Banque Internationale à Luxembourg</w:t>
      </w:r>
      <w:r>
        <w:t xml:space="preserve"> </w:t>
      </w:r>
      <w:r>
        <w:t xml:space="preserve">(since 2026): enterprise Data and AI platform programme, legacy BI modernisation, AI governance, GDPR and DORA compliance.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RATP, MSM programme</w:t>
      </w:r>
      <w:r>
        <w:t xml:space="preserve"> </w:t>
      </w:r>
      <w:r>
        <w:t xml:space="preserve">(2018-2020): multi-partner programme with RATP, Alstom, Renault and IRT SystemX, from use-case framing to production deployment.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TotalEnergies</w:t>
      </w:r>
      <w:r>
        <w:t xml:space="preserve"> </w:t>
      </w:r>
      <w:r>
        <w:t xml:space="preserve">(2020-2025): group-scale industrialisation of Machine Learning and Generative AI use cases on an enterprise Data Platform serving multiple business domains.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BPCE, banking and insurance</w:t>
      </w:r>
      <w:r>
        <w:t xml:space="preserve"> </w:t>
      </w:r>
      <w:r>
        <w:t xml:space="preserve">(2017-2018): financial crime programme and GDPR compliance of financial data processing chains.</w:t>
      </w:r>
    </w:p>
    <w:bookmarkEnd w:id="20"/>
    <w:bookmarkStart w:id="26" w:name="core-skills"/>
    <w:p>
      <w:pPr>
        <w:pStyle w:val="Heading2"/>
      </w:pPr>
      <w:r>
        <w:t xml:space="preserve">Core skills</w:t>
      </w:r>
    </w:p>
    <w:bookmarkStart w:id="21" w:name="programme-and-portfolio-management"/>
    <w:p>
      <w:pPr>
        <w:pStyle w:val="Heading3"/>
      </w:pPr>
      <w:r>
        <w:t xml:space="preserve">Programme and portfolio management</w:t>
      </w:r>
    </w:p>
    <w:p>
      <w:pPr>
        <w:pStyle w:val="FirstParagraph"/>
      </w:pPr>
      <w:r>
        <w:t xml:space="preserve">Construction and steering of the transformation trajectory · Structuring and prioritisation of workstreams · Planning, budget, resources, risks and dependencies · Preparation of trade-off decisions and reporting to governance bodies · Business cases and value management · Agile, Scrum, Kanban, SAFe · Jira, Confluence, Miro</w:t>
      </w:r>
    </w:p>
    <w:bookmarkEnd w:id="21"/>
    <w:bookmarkStart w:id="22" w:name="project-direction-and-delivery"/>
    <w:p>
      <w:pPr>
        <w:pStyle w:val="Heading3"/>
      </w:pPr>
      <w:r>
        <w:t xml:space="preserve">Project direction and delivery</w:t>
      </w:r>
    </w:p>
    <w:p>
      <w:pPr>
        <w:pStyle w:val="FirstParagraph"/>
      </w:pPr>
      <w:r>
        <w:t xml:space="preserve">Framing, work breakdown and milestone planning · Steering of migration waves and cutovers · Securing of data migration, testing and rollback plans · Decommissioning of legacy estate · Service quality and commitment tracking</w:t>
      </w:r>
    </w:p>
    <w:bookmarkEnd w:id="22"/>
    <w:bookmarkStart w:id="23" w:name="governance-compliance-and-risk"/>
    <w:p>
      <w:pPr>
        <w:pStyle w:val="Heading3"/>
      </w:pPr>
      <w:r>
        <w:t xml:space="preserve">Governance, compliance and risk</w:t>
      </w:r>
    </w:p>
    <w:p>
      <w:pPr>
        <w:pStyle w:val="FirstParagraph"/>
      </w:pPr>
      <w:r>
        <w:t xml:space="preserve">Facilitation of programme, architecture and security committees · Alignment of business, IT, architecture and cybersecurity · GDPR, DORA, auditability and traceability · Data and AI governance: access policies, model selection and approval, model risk management</w:t>
      </w:r>
    </w:p>
    <w:bookmarkEnd w:id="23"/>
    <w:bookmarkStart w:id="24" w:name="change-management-and-adoption"/>
    <w:p>
      <w:pPr>
        <w:pStyle w:val="Heading3"/>
      </w:pPr>
      <w:r>
        <w:t xml:space="preserve">Change management and adoption</w:t>
      </w:r>
    </w:p>
    <w:p>
      <w:pPr>
        <w:pStyle w:val="FirstParagraph"/>
      </w:pPr>
      <w:r>
        <w:t xml:space="preserve">Change strategy and impact analysis · Communication, upskilling and training of business teams · Adoption tracking and handling of resistance · Support for transitions during legacy application replacement</w:t>
      </w:r>
    </w:p>
    <w:bookmarkEnd w:id="24"/>
    <w:bookmarkStart w:id="25" w:name="leadership-and-stakeholder-management"/>
    <w:p>
      <w:pPr>
        <w:pStyle w:val="Heading3"/>
      </w:pPr>
      <w:r>
        <w:t xml:space="preserve">Leadership and stakeholder management</w:t>
      </w:r>
    </w:p>
    <w:p>
      <w:pPr>
        <w:pStyle w:val="FirstParagraph"/>
      </w:pPr>
      <w:r>
        <w:t xml:space="preserve">Management of multi-disciplinary teams of around 20 people · Oversight of technology partners and integrators · Dialogue with business, technical and executive stakeholders · Executive-level communication</w:t>
      </w:r>
    </w:p>
    <w:bookmarkEnd w:id="25"/>
    <w:bookmarkEnd w:id="26"/>
    <w:bookmarkStart w:id="27" w:name="technology-environment"/>
    <w:p>
      <w:pPr>
        <w:pStyle w:val="Heading2"/>
      </w:pPr>
      <w:r>
        <w:t xml:space="preserve">Technology environment</w:t>
      </w:r>
    </w:p>
    <w:p>
      <w:pPr>
        <w:pStyle w:val="FirstParagraph"/>
      </w:pPr>
      <w:r>
        <w:t xml:space="preserve">Data and Cloud platforms: Snowflake, Databricks, dbt, Azure, GCP, AWS · AI and Generative AI: OpenAI, Azure OpenAI, Claude, Mistral, LLaMA, RAG, AI agents, MLOps and LLMOps · Data Engineering: Python, SQL, Spark, PySpark, Kafka, Airflow · BI: Power BI, IBM Cognos · Governance: data catalog, lineage, Apache Atlas, MDM, data quality, RBAC, RLS, GDPR, DORA · DevOps: Docker, Kubernetes, Terraform, GitLab CI/CD, Azure DevOps</w:t>
      </w:r>
    </w:p>
    <w:bookmarkEnd w:id="27"/>
    <w:bookmarkStart w:id="35" w:name="professional-experience"/>
    <w:p>
      <w:pPr>
        <w:pStyle w:val="Heading2"/>
      </w:pPr>
      <w:r>
        <w:t xml:space="preserve">Professional experience</w:t>
      </w:r>
    </w:p>
    <w:bookmarkStart w:id="28" w:name="Xedd4706dce7ce751dd0ee50137585b26913cdc5"/>
    <w:p>
      <w:pPr>
        <w:pStyle w:val="Heading3"/>
      </w:pPr>
      <w:r>
        <w:t xml:space="preserve">Data &amp; AI Programme Lead — BIL, Banque Internationale à Luxembourg</w:t>
      </w:r>
    </w:p>
    <w:p>
      <w:pPr>
        <w:pStyle w:val="FirstParagraph"/>
      </w:pPr>
      <w:r>
        <w:rPr>
          <w:iCs/>
          <w:i/>
        </w:rPr>
        <w:t xml:space="preserve">January 2026 to present</w:t>
      </w:r>
    </w:p>
    <w:p>
      <w:pPr>
        <w:pStyle w:val="BodyText"/>
      </w:pPr>
      <w:r>
        <w:t xml:space="preserve">Leading the design, industrialisation and operation of GENIA, the bank’s enterprise Data &amp; AI platform, delivering governed, shared Generative AI capabilities to business domains in a regulated banking environment.</w:t>
      </w:r>
    </w:p>
    <w:p>
      <w:pPr>
        <w:numPr>
          <w:ilvl w:val="0"/>
          <w:numId w:val="1002"/>
        </w:numPr>
        <w:pStyle w:val="Compact"/>
      </w:pPr>
      <w:r>
        <w:t xml:space="preserve">Contributed to the platform vision, target architecture and operating model, treating AI capabilities as reusable products rather than isolated use cases.</w:t>
      </w:r>
    </w:p>
    <w:p>
      <w:pPr>
        <w:numPr>
          <w:ilvl w:val="0"/>
          <w:numId w:val="1002"/>
        </w:numPr>
        <w:pStyle w:val="Compact"/>
      </w:pPr>
      <w:r>
        <w:t xml:space="preserve">Translated business priorities into a platform roadmap and a prioritised portfolio of shared capabilities, agreed with business and IT stakeholders.</w:t>
      </w:r>
    </w:p>
    <w:p>
      <w:pPr>
        <w:numPr>
          <w:ilvl w:val="0"/>
          <w:numId w:val="1002"/>
        </w:numPr>
        <w:pStyle w:val="Compact"/>
      </w:pPr>
      <w:r>
        <w:t xml:space="preserve">Defined platform steering indicators covering usage, performance, adoption and cost of AI services.</w:t>
      </w:r>
    </w:p>
    <w:p>
      <w:pPr>
        <w:numPr>
          <w:ilvl w:val="0"/>
          <w:numId w:val="1002"/>
        </w:numPr>
        <w:pStyle w:val="Compact"/>
      </w:pPr>
      <w:r>
        <w:t xml:space="preserve">Drove cost control and optimisation of model and API consumption, including model selection, routing and caching strategies.</w:t>
      </w:r>
    </w:p>
    <w:p>
      <w:pPr>
        <w:numPr>
          <w:ilvl w:val="0"/>
          <w:numId w:val="1002"/>
        </w:numPr>
        <w:pStyle w:val="Compact"/>
      </w:pPr>
      <w:r>
        <w:t xml:space="preserve">Led the modernisation of the legacy IBM Cognos decision-support estate towards Snowflake and Power BI: inventory and rationalisation of the reporting portfolio, redesign of data models, semantic layer rebuild, reconciliation, performance testing and user enablement.</w:t>
      </w:r>
    </w:p>
    <w:p>
      <w:pPr>
        <w:numPr>
          <w:ilvl w:val="0"/>
          <w:numId w:val="1002"/>
        </w:numPr>
        <w:pStyle w:val="Compact"/>
      </w:pPr>
      <w:r>
        <w:t xml:space="preserve">Contributed to the AI governance framework: access policies, model selection and approval, usage rules, alignment with the bank’s Data and Digital governance bodies.</w:t>
      </w:r>
    </w:p>
    <w:p>
      <w:pPr>
        <w:numPr>
          <w:ilvl w:val="0"/>
          <w:numId w:val="1002"/>
        </w:numPr>
        <w:pStyle w:val="Compact"/>
      </w:pPr>
      <w:r>
        <w:t xml:space="preserve">Addressed AI-specific risks: hallucination control, guardrails, human-in-the-loop validation and evaluation gates before go-live.</w:t>
      </w:r>
    </w:p>
    <w:p>
      <w:pPr>
        <w:numPr>
          <w:ilvl w:val="0"/>
          <w:numId w:val="1002"/>
        </w:numPr>
        <w:pStyle w:val="Compact"/>
      </w:pPr>
      <w:r>
        <w:t xml:space="preserve">Ensured compliance with confidentiality and regulatory constraints: RBAC, Row-Level Security, GDPR, encryption, traceability and auditability, in line with banking requirements including DORA.</w:t>
      </w:r>
    </w:p>
    <w:p>
      <w:pPr>
        <w:numPr>
          <w:ilvl w:val="0"/>
          <w:numId w:val="1002"/>
        </w:numPr>
        <w:pStyle w:val="Compact"/>
      </w:pPr>
      <w:r>
        <w:t xml:space="preserve">Coordinated Data, Engineering, Architecture, AI, DevOps and business stakeholders, and managed technology partners.</w:t>
      </w:r>
    </w:p>
    <w:bookmarkEnd w:id="28"/>
    <w:bookmarkStart w:id="29" w:name="lead-data-ai-platform-totalenergies"/>
    <w:p>
      <w:pPr>
        <w:pStyle w:val="Heading3"/>
      </w:pPr>
      <w:r>
        <w:t xml:space="preserve">Lead Data &amp; AI Platform — TotalEnergies</w:t>
      </w:r>
    </w:p>
    <w:p>
      <w:pPr>
        <w:pStyle w:val="FirstParagraph"/>
      </w:pPr>
      <w:r>
        <w:rPr>
          <w:iCs/>
          <w:i/>
        </w:rPr>
        <w:t xml:space="preserve">December 2020 to December 2025</w:t>
      </w:r>
    </w:p>
    <w:p>
      <w:pPr>
        <w:pStyle w:val="BodyText"/>
      </w:pPr>
      <w:r>
        <w:t xml:space="preserve">Group-scale industrialisation of Machine Learning and Generative AI use cases on an enterprise Data Platform serving multiple business domains: retail, human resources and industrial operations.</w:t>
      </w:r>
    </w:p>
    <w:p>
      <w:pPr>
        <w:numPr>
          <w:ilvl w:val="0"/>
          <w:numId w:val="1003"/>
        </w:numPr>
        <w:pStyle w:val="Compact"/>
      </w:pPr>
      <w:r>
        <w:t xml:space="preserve">Led multi-disciplinary teams of around 20 people across business, Data Engineering, Data Science, architecture, cloud and DevOps.</w:t>
      </w:r>
    </w:p>
    <w:p>
      <w:pPr>
        <w:numPr>
          <w:ilvl w:val="0"/>
          <w:numId w:val="1003"/>
        </w:numPr>
        <w:pStyle w:val="Compact"/>
      </w:pPr>
      <w:r>
        <w:t xml:space="preserve">Managed external partners and service providers contributing to platform and use-case delivery.</w:t>
      </w:r>
    </w:p>
    <w:p>
      <w:pPr>
        <w:numPr>
          <w:ilvl w:val="0"/>
          <w:numId w:val="1003"/>
        </w:numPr>
        <w:pStyle w:val="Compact"/>
      </w:pPr>
      <w:r>
        <w:t xml:space="preserve">Moved use cases from experimentation to production with the associated MLOps and LLMOps practices: CI/CD, monitoring, evaluation, observability and continuous improvement.</w:t>
      </w:r>
    </w:p>
    <w:p>
      <w:pPr>
        <w:numPr>
          <w:ilvl w:val="0"/>
          <w:numId w:val="1003"/>
        </w:numPr>
        <w:pStyle w:val="Compact"/>
      </w:pPr>
      <w:r>
        <w:t xml:space="preserve">Contributed to the design and evolution of the enterprise Data Platform on Snowflake, supporting multiple business domains and large heterogeneous volumes.</w:t>
      </w:r>
    </w:p>
    <w:p>
      <w:pPr>
        <w:numPr>
          <w:ilvl w:val="0"/>
          <w:numId w:val="1003"/>
        </w:numPr>
        <w:pStyle w:val="Compact"/>
      </w:pPr>
      <w:r>
        <w:t xml:space="preserve">Defined data architecture and technical standards covering data modelling, MDM, APIs, governance, security and platform integration.</w:t>
      </w:r>
    </w:p>
    <w:p>
      <w:pPr>
        <w:numPr>
          <w:ilvl w:val="0"/>
          <w:numId w:val="1003"/>
        </w:numPr>
        <w:pStyle w:val="Compact"/>
      </w:pPr>
      <w:r>
        <w:t xml:space="preserve">Translated business requirements into reusable data products and platform capabilities.</w:t>
      </w:r>
    </w:p>
    <w:p>
      <w:pPr>
        <w:numPr>
          <w:ilvl w:val="0"/>
          <w:numId w:val="1003"/>
        </w:numPr>
        <w:pStyle w:val="Compact"/>
      </w:pPr>
      <w:r>
        <w:t xml:space="preserve">Contributed to Master Data Management initiatives and implemented data quality, governance, lineage and access-control practices.</w:t>
      </w:r>
    </w:p>
    <w:p>
      <w:pPr>
        <w:numPr>
          <w:ilvl w:val="0"/>
          <w:numId w:val="1003"/>
        </w:numPr>
        <w:pStyle w:val="Compact"/>
      </w:pPr>
      <w:r>
        <w:t xml:space="preserve">Supported the adoption and continuous evolution of AI services, data products and BI capabilities across the organisation.</w:t>
      </w:r>
    </w:p>
    <w:bookmarkEnd w:id="29"/>
    <w:bookmarkStart w:id="30" w:name="Xb2124ec2467996b76e8ba7dfac0425a7f863a14"/>
    <w:p>
      <w:pPr>
        <w:pStyle w:val="Heading3"/>
      </w:pPr>
      <w:r>
        <w:t xml:space="preserve">Head of Data — RATP, MSM programme with Alstom, Renault and IRT SystemX</w:t>
      </w:r>
    </w:p>
    <w:p>
      <w:pPr>
        <w:pStyle w:val="FirstParagraph"/>
      </w:pPr>
      <w:r>
        <w:rPr>
          <w:iCs/>
          <w:i/>
        </w:rPr>
        <w:t xml:space="preserve">August 2018 to December 2020</w:t>
      </w:r>
    </w:p>
    <w:p>
      <w:pPr>
        <w:pStyle w:val="BodyText"/>
      </w:pPr>
      <w:r>
        <w:t xml:space="preserve">Leadership of the Data and AI workstreams of a multi-partner multimodal mobility programme bringing together several industrial partners and a technology research institute.</w:t>
      </w:r>
    </w:p>
    <w:p>
      <w:pPr>
        <w:numPr>
          <w:ilvl w:val="0"/>
          <w:numId w:val="1004"/>
        </w:numPr>
        <w:pStyle w:val="Compact"/>
      </w:pPr>
      <w:r>
        <w:t xml:space="preserve">Led AI and data initiatives across the programme, from use-case framing through architecture design to production deployment.</w:t>
      </w:r>
    </w:p>
    <w:p>
      <w:pPr>
        <w:numPr>
          <w:ilvl w:val="0"/>
          <w:numId w:val="1004"/>
        </w:numPr>
        <w:pStyle w:val="Compact"/>
      </w:pPr>
      <w:r>
        <w:t xml:space="preserve">Managed internal and external teams — AI engineers, data scientists, developers: scope definition, resource planning, roadmap alignment, technical governance and delivery standards.</w:t>
      </w:r>
    </w:p>
    <w:p>
      <w:pPr>
        <w:numPr>
          <w:ilvl w:val="0"/>
          <w:numId w:val="1004"/>
        </w:numPr>
        <w:pStyle w:val="Compact"/>
      </w:pPr>
      <w:r>
        <w:t xml:space="preserve">Designed microservices-based architectures for real-time supervision and incident management.</w:t>
      </w:r>
    </w:p>
    <w:p>
      <w:pPr>
        <w:numPr>
          <w:ilvl w:val="0"/>
          <w:numId w:val="1004"/>
        </w:numPr>
        <w:pStyle w:val="Compact"/>
      </w:pPr>
      <w:r>
        <w:t xml:space="preserve">Built and deployed a multi-layered Data Lake on Azure for scalable ingestion, processing and analytics.</w:t>
      </w:r>
    </w:p>
    <w:p>
      <w:pPr>
        <w:numPr>
          <w:ilvl w:val="0"/>
          <w:numId w:val="1004"/>
        </w:numPr>
        <w:pStyle w:val="Compact"/>
      </w:pPr>
      <w:r>
        <w:t xml:space="preserve">Developed predictive models for passenger flow, incident duration and operational planning.</w:t>
      </w:r>
    </w:p>
    <w:p>
      <w:pPr>
        <w:numPr>
          <w:ilvl w:val="0"/>
          <w:numId w:val="1004"/>
        </w:numPr>
        <w:pStyle w:val="Compact"/>
      </w:pPr>
      <w:r>
        <w:t xml:space="preserve">Implemented anomaly detection and log analysis to ensure data quality and regulatory compliance.</w:t>
      </w:r>
    </w:p>
    <w:p>
      <w:pPr>
        <w:numPr>
          <w:ilvl w:val="0"/>
          <w:numId w:val="1004"/>
        </w:numPr>
        <w:pStyle w:val="Compact"/>
      </w:pPr>
      <w:r>
        <w:t xml:space="preserve">Trained business and technical teams on AI platforms, data visualisation and process automation.</w:t>
      </w:r>
    </w:p>
    <w:p>
      <w:pPr>
        <w:numPr>
          <w:ilvl w:val="0"/>
          <w:numId w:val="1004"/>
        </w:numPr>
        <w:pStyle w:val="Compact"/>
      </w:pPr>
      <w:r>
        <w:t xml:space="preserve">Delivered functional demonstrators for smart mobility supervision at La Défense.</w:t>
      </w:r>
    </w:p>
    <w:bookmarkEnd w:id="30"/>
    <w:bookmarkStart w:id="31" w:name="X574d33054a44a3cecb1f212e8eeecf5374567fb"/>
    <w:p>
      <w:pPr>
        <w:pStyle w:val="Heading3"/>
      </w:pPr>
      <w:r>
        <w:t xml:space="preserve">Lead Data Science &amp; Governance — BPCE, Banking &amp; Insurance</w:t>
      </w:r>
    </w:p>
    <w:p>
      <w:pPr>
        <w:pStyle w:val="FirstParagraph"/>
      </w:pPr>
      <w:r>
        <w:rPr>
          <w:iCs/>
          <w:i/>
        </w:rPr>
        <w:t xml:space="preserve">January 2017 to August 2018</w:t>
      </w:r>
    </w:p>
    <w:p>
      <w:pPr>
        <w:pStyle w:val="BodyText"/>
      </w:pPr>
      <w:r>
        <w:t xml:space="preserve">Data and AI programme within a major French banking and insurance group, covering anti-money-laundering, counter-terrorism financing, sanctions and embargo screening, fraud detection and GDPR compliance of financial data processing.</w:t>
      </w:r>
    </w:p>
    <w:p>
      <w:pPr>
        <w:numPr>
          <w:ilvl w:val="0"/>
          <w:numId w:val="1005"/>
        </w:numPr>
        <w:pStyle w:val="Compact"/>
      </w:pPr>
      <w:r>
        <w:t xml:space="preserve">Led the build of an end-to-end AI-driven fraud detection engine and the automation of alert, sanctions and embargo workflows.</w:t>
      </w:r>
    </w:p>
    <w:p>
      <w:pPr>
        <w:numPr>
          <w:ilvl w:val="0"/>
          <w:numId w:val="1005"/>
        </w:numPr>
        <w:pStyle w:val="Compact"/>
      </w:pPr>
      <w:r>
        <w:t xml:space="preserve">Designed and deployed the enterprise data dictionary and lineage capability on Apache Atlas, establishing traceability of financial data assets from source systems through to regulatory reporting.</w:t>
      </w:r>
    </w:p>
    <w:p>
      <w:pPr>
        <w:numPr>
          <w:ilvl w:val="0"/>
          <w:numId w:val="1005"/>
        </w:numPr>
        <w:pStyle w:val="Compact"/>
      </w:pPr>
      <w:r>
        <w:t xml:space="preserve">Structured metadata, ownership and data definitions across compliance, sanctions and fraud domains.</w:t>
      </w:r>
    </w:p>
    <w:p>
      <w:pPr>
        <w:numPr>
          <w:ilvl w:val="0"/>
          <w:numId w:val="1005"/>
        </w:numPr>
        <w:pStyle w:val="Compact"/>
      </w:pPr>
      <w:r>
        <w:t xml:space="preserve">Ensured GDPR compliance of financial data processing chains: access control, traceability and data protection.</w:t>
      </w:r>
    </w:p>
    <w:p>
      <w:pPr>
        <w:numPr>
          <w:ilvl w:val="0"/>
          <w:numId w:val="1005"/>
        </w:numPr>
        <w:pStyle w:val="Compact"/>
      </w:pPr>
      <w:r>
        <w:t xml:space="preserve">Defined and tracked detection-system performance indicators as service-level metrics, with Power BI reporting for risk and compliance teams.</w:t>
      </w:r>
    </w:p>
    <w:p>
      <w:pPr>
        <w:numPr>
          <w:ilvl w:val="0"/>
          <w:numId w:val="1005"/>
        </w:numPr>
        <w:pStyle w:val="Compact"/>
      </w:pPr>
      <w:r>
        <w:t xml:space="preserve">Ran Agile delivery adapted to data-centric work in a banking environment: kickoff, steering committees, retrospectives, testing and go-live reviews.</w:t>
      </w:r>
    </w:p>
    <w:bookmarkEnd w:id="31"/>
    <w:bookmarkStart w:id="32" w:name="lead-data-scientist-luxury-retail"/>
    <w:p>
      <w:pPr>
        <w:pStyle w:val="Heading3"/>
      </w:pPr>
      <w:r>
        <w:t xml:space="preserve">Lead Data Scientist — Luxury Retail</w:t>
      </w:r>
    </w:p>
    <w:p>
      <w:pPr>
        <w:pStyle w:val="FirstParagraph"/>
      </w:pPr>
      <w:r>
        <w:rPr>
          <w:iCs/>
          <w:i/>
        </w:rPr>
        <w:t xml:space="preserve">September 2015 to January 2017</w:t>
      </w:r>
    </w:p>
    <w:p>
      <w:pPr>
        <w:numPr>
          <w:ilvl w:val="0"/>
          <w:numId w:val="1006"/>
        </w:numPr>
        <w:pStyle w:val="Compact"/>
      </w:pPr>
      <w:r>
        <w:t xml:space="preserve">Built a customer intelligence engine: profile classification, behaviour prediction, churn and retention modelling, and a recommendation engine.</w:t>
      </w:r>
    </w:p>
    <w:p>
      <w:pPr>
        <w:numPr>
          <w:ilvl w:val="0"/>
          <w:numId w:val="1006"/>
        </w:numPr>
        <w:pStyle w:val="Compact"/>
      </w:pPr>
      <w:r>
        <w:t xml:space="preserve">Defined and tracked retail performance indicators, with real-time reporting to business teams.</w:t>
      </w:r>
    </w:p>
    <w:p>
      <w:pPr>
        <w:numPr>
          <w:ilvl w:val="0"/>
          <w:numId w:val="1006"/>
        </w:numPr>
        <w:pStyle w:val="Compact"/>
      </w:pPr>
      <w:r>
        <w:t xml:space="preserve">Refactored and industrialised model code for scalability and deployment.</w:t>
      </w:r>
    </w:p>
    <w:bookmarkEnd w:id="32"/>
    <w:bookmarkStart w:id="33" w:name="X9570a6bf48ca200cfdaf461ed3edb8647d92c96"/>
    <w:p>
      <w:pPr>
        <w:pStyle w:val="Heading3"/>
      </w:pPr>
      <w:r>
        <w:t xml:space="preserve">Data Scientist — Beamlabs / Française des Jeux</w:t>
      </w:r>
    </w:p>
    <w:p>
      <w:pPr>
        <w:pStyle w:val="FirstParagraph"/>
      </w:pPr>
      <w:r>
        <w:rPr>
          <w:iCs/>
          <w:i/>
        </w:rPr>
        <w:t xml:space="preserve">November 2014 to September 2015</w:t>
      </w:r>
    </w:p>
    <w:p>
      <w:pPr>
        <w:numPr>
          <w:ilvl w:val="0"/>
          <w:numId w:val="1007"/>
        </w:numPr>
        <w:pStyle w:val="Compact"/>
      </w:pPr>
      <w:r>
        <w:t xml:space="preserve">Built a Big Data foundation for real-time marketing: distributed architecture, streaming ingestion, indexing.</w:t>
      </w:r>
    </w:p>
    <w:p>
      <w:pPr>
        <w:numPr>
          <w:ilvl w:val="0"/>
          <w:numId w:val="1007"/>
        </w:numPr>
        <w:pStyle w:val="Compact"/>
      </w:pPr>
      <w:r>
        <w:t xml:space="preserve">Developed a real-time recommendation engine and predictive marketing models.</w:t>
      </w:r>
    </w:p>
    <w:bookmarkEnd w:id="33"/>
    <w:bookmarkStart w:id="34" w:name="X68da9df42145b490d66382f7c267b10b166f0a9"/>
    <w:p>
      <w:pPr>
        <w:pStyle w:val="Heading3"/>
      </w:pPr>
      <w:r>
        <w:t xml:space="preserve">R&amp;D Engineer, PhD — CentraleSupélec and École Polytechnique</w:t>
      </w:r>
    </w:p>
    <w:p>
      <w:pPr>
        <w:pStyle w:val="FirstParagraph"/>
      </w:pPr>
      <w:r>
        <w:rPr>
          <w:iCs/>
          <w:i/>
        </w:rPr>
        <w:t xml:space="preserve">February 2010 to October 2014</w:t>
      </w:r>
    </w:p>
    <w:p>
      <w:pPr>
        <w:numPr>
          <w:ilvl w:val="0"/>
          <w:numId w:val="1008"/>
        </w:numPr>
        <w:pStyle w:val="Compact"/>
      </w:pPr>
      <w:r>
        <w:t xml:space="preserve">Applied Machine Learning to photovoltaic cell performance optimisation and transistor modelling; market analysis of photovoltaic expansion in Europe.</w:t>
      </w:r>
    </w:p>
    <w:p>
      <w:pPr>
        <w:numPr>
          <w:ilvl w:val="0"/>
          <w:numId w:val="1008"/>
        </w:numPr>
        <w:pStyle w:val="Compact"/>
      </w:pPr>
      <w:r>
        <w:t xml:space="preserve">Developed simulation and data analysis algorithms, and scientific data visualisation.</w:t>
      </w:r>
    </w:p>
    <w:bookmarkEnd w:id="34"/>
    <w:bookmarkEnd w:id="35"/>
    <w:bookmarkStart w:id="36" w:name="education"/>
    <w:p>
      <w:pPr>
        <w:pStyle w:val="Heading2"/>
      </w:pPr>
      <w:r>
        <w:t xml:space="preserve">Education</w:t>
      </w:r>
    </w:p>
    <w:p>
      <w:pPr>
        <w:numPr>
          <w:ilvl w:val="0"/>
          <w:numId w:val="1009"/>
        </w:numPr>
        <w:pStyle w:val="Compact"/>
      </w:pPr>
      <w:r>
        <w:t xml:space="preserve">PhD, CentraleSupélec, Université Paris-Saclay, Orsay (2011-2014)</w:t>
      </w:r>
    </w:p>
    <w:p>
      <w:pPr>
        <w:numPr>
          <w:ilvl w:val="0"/>
          <w:numId w:val="1009"/>
        </w:numPr>
        <w:pStyle w:val="Compact"/>
      </w:pPr>
      <w:r>
        <w:t xml:space="preserve">Master of Sciences, Université Pierre et Marie Curie, Paris VI (2010-2011)</w:t>
      </w:r>
    </w:p>
    <w:p>
      <w:pPr>
        <w:numPr>
          <w:ilvl w:val="0"/>
          <w:numId w:val="1009"/>
        </w:numPr>
        <w:pStyle w:val="Compact"/>
      </w:pPr>
      <w:r>
        <w:t xml:space="preserve">Master’s degree in Engineering Sciences, Université Paris Diderot, Paris VII (2009-2010)</w:t>
      </w:r>
    </w:p>
    <w:bookmarkEnd w:id="36"/>
    <w:bookmarkStart w:id="37" w:name="languages"/>
    <w:p>
      <w:pPr>
        <w:pStyle w:val="Heading2"/>
      </w:pPr>
      <w:r>
        <w:t xml:space="preserve">Languages</w:t>
      </w:r>
    </w:p>
    <w:p>
      <w:pPr>
        <w:numPr>
          <w:ilvl w:val="0"/>
          <w:numId w:val="1010"/>
        </w:numPr>
        <w:pStyle w:val="Compact"/>
      </w:pPr>
      <w:r>
        <w:t xml:space="preserve">French: native</w:t>
      </w:r>
    </w:p>
    <w:p>
      <w:pPr>
        <w:numPr>
          <w:ilvl w:val="0"/>
          <w:numId w:val="1010"/>
        </w:numPr>
        <w:pStyle w:val="Compact"/>
      </w:pPr>
      <w:r>
        <w:t xml:space="preserve">English: fluent professional proficiency</w:t>
      </w:r>
    </w:p>
    <w:p>
      <w:pPr>
        <w:numPr>
          <w:ilvl w:val="0"/>
          <w:numId w:val="1010"/>
        </w:numPr>
        <w:pStyle w:val="Compact"/>
      </w:pPr>
      <w:r>
        <w:t xml:space="preserve">German: notions</w:t>
      </w:r>
    </w:p>
    <w:bookmarkEnd w:id="37"/>
    <w:bookmarkStart w:id="38" w:name="publications-and-speaking"/>
    <w:p>
      <w:pPr>
        <w:pStyle w:val="Heading2"/>
      </w:pPr>
      <w:r>
        <w:t xml:space="preserve">Publications and speaking</w:t>
      </w:r>
    </w:p>
    <w:p>
      <w:pPr>
        <w:numPr>
          <w:ilvl w:val="0"/>
          <w:numId w:val="1011"/>
        </w:numPr>
        <w:pStyle w:val="Compact"/>
      </w:pPr>
      <w:r>
        <w:rPr>
          <w:iCs/>
          <w:i/>
        </w:rPr>
        <w:t xml:space="preserve">Architecture of a Public Transport Supervision System Using Hybridization Models Based on Real and Predictive Data</w:t>
      </w:r>
      <w:r>
        <w:t xml:space="preserve">, IEEE / DSD 2020, pp. 440-446</w:t>
      </w:r>
    </w:p>
    <w:p>
      <w:pPr>
        <w:numPr>
          <w:ilvl w:val="0"/>
          <w:numId w:val="1011"/>
        </w:numPr>
        <w:pStyle w:val="Compact"/>
      </w:pPr>
      <w:r>
        <w:rPr>
          <w:iCs/>
          <w:i/>
        </w:rPr>
        <w:t xml:space="preserve">Disruption Impact on the Offer and Demand on the Public Transport Network in Paris</w:t>
      </w:r>
    </w:p>
    <w:p>
      <w:pPr>
        <w:numPr>
          <w:ilvl w:val="0"/>
          <w:numId w:val="1011"/>
        </w:numPr>
        <w:pStyle w:val="Compact"/>
      </w:pPr>
      <w:r>
        <w:t xml:space="preserve">Big Data Paris 2018, speaker:</w:t>
      </w:r>
      <w:r>
        <w:t xml:space="preserve"> </w:t>
      </w:r>
      <w:r>
        <w:t xml:space="preserve">“</w:t>
      </w:r>
      <w:r>
        <w:t xml:space="preserve">We can tell you by what external context your sales are influenced</w:t>
      </w:r>
      <w:r>
        <w:t xml:space="preserve">”</w:t>
      </w:r>
    </w:p>
    <w:bookmarkEnd w:id="38"/>
    <w:bookmarkStart w:id="39" w:name="training-delivered"/>
    <w:p>
      <w:pPr>
        <w:pStyle w:val="Heading2"/>
      </w:pPr>
      <w:r>
        <w:t xml:space="preserve">Training delivered</w:t>
      </w:r>
    </w:p>
    <w:p>
      <w:pPr>
        <w:pStyle w:val="FirstParagraph"/>
      </w:pPr>
      <w:r>
        <w:t xml:space="preserve">Advanced Python for Machine Learning (SQLI Institute, 2019) · Datalab (Saagie, 2019) · SQL for Data Science (Fitec, 2018) · ELK (Fitec, 2017) · Kafka (Air4Data / SQLI Institute, 2017) · DataViz, Tableau and Power BI (SQLI Institute, 2017)</w:t>
      </w:r>
    </w:p>
    <w:bookmarkEnd w:id="39"/>
    <w:sectPr w:rsidR="00FC693F" w:rsidRPr="0006063C" w:rsidSect="00034616">
      <w:pgSz w:h="15840" w:w="12240"/>
      <w:pgMar w:bottom="850" w:footer="720" w:gutter="0" w:header="720" w:left="1020" w:right="1020" w:top="85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259" w:lineRule="auto"/>
    </w:pPr>
    <w:rPr>
      <w:rFonts w:ascii="Calibri" w:hAnsi="Calibri"/>
      <w:color w:val="1A1F24"/>
      <w:sz w:val="20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80" w:before="260"/>
      <w:outlineLvl w:val="0"/>
    </w:pPr>
    <w:rPr>
      <w:rFonts w:ascii="Calibri" w:asciiTheme="majorHAnsi" w:cstheme="majorBidi" w:eastAsiaTheme="majorEastAsia" w:hAnsi="Calibri" w:hAnsiTheme="majorHAnsi"/>
      <w:b/>
      <w:bCs/>
      <w:caps/>
      <w:color w:val="0D364A"/>
      <w:sz w:val="25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40" w:before="180"/>
      <w:outlineLvl w:val="1"/>
    </w:pPr>
    <w:rPr>
      <w:rFonts w:ascii="Calibri" w:asciiTheme="majorHAnsi" w:cstheme="majorBidi" w:eastAsiaTheme="majorEastAsia" w:hAnsi="Calibri" w:hAnsiTheme="majorHAnsi"/>
      <w:b/>
      <w:bCs/>
      <w:caps w:val="0"/>
      <w:color w:val="2B4C5E"/>
      <w:sz w:val="21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20" w:before="140"/>
      <w:outlineLvl w:val="2"/>
    </w:pPr>
    <w:rPr>
      <w:rFonts w:ascii="Calibri" w:asciiTheme="majorHAnsi" w:cstheme="majorBidi" w:eastAsiaTheme="majorEastAsia" w:hAnsi="Calibri" w:hAnsiTheme="majorHAnsi"/>
      <w:b/>
      <w:bCs/>
      <w:caps w:val="0"/>
      <w:color w:val="445A68"/>
      <w:sz w:val="20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40" w:before="0" w:line="240" w:lineRule="auto"/>
      <w:contextualSpacing/>
    </w:pPr>
    <w:rPr>
      <w:rFonts w:ascii="Calibri" w:asciiTheme="majorHAnsi" w:cstheme="majorBidi" w:eastAsiaTheme="majorEastAsia" w:hAnsi="Calibri" w:hAnsiTheme="majorHAnsi"/>
      <w:b/>
      <w:caps w:val="0"/>
      <w:color w:val="0D364A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="Calibri" w:asciiTheme="majorHAnsi" w:cstheme="majorBidi" w:eastAsiaTheme="majorEastAsia" w:hAnsi="Calibri" w:hAnsiTheme="majorHAnsi"/>
      <w:b w:val="0"/>
      <w:i/>
      <w:iCs/>
      <w:color w:val="4A5A66"/>
      <w:spacing w:val="15"/>
      <w:sz w:val="23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spacing w:after="40" w:line="252" w:lineRule="auto"/>
      <w:contextualSpacing/>
    </w:pPr>
    <w:rPr>
      <w:rFonts w:ascii="Calibri" w:hAnsi="Calibri"/>
      <w:sz w:val="20"/>
    </w:r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spacing w:after="40" w:line="252" w:lineRule="auto"/>
      <w:contextualSpacing/>
    </w:pPr>
    <w:rPr>
      <w:rFonts w:ascii="Calibri" w:hAnsi="Calibri"/>
      <w:sz w:val="20"/>
    </w:r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HAKIM AREZKI, PhD</dc:title>
  <dc:creator>DATA &amp; AI PROGRAMME DIRECTOR — IT TRANSFORMATION</dc:creator>
  <cp:keywords/>
  <dcterms:created xsi:type="dcterms:W3CDTF">2026-09-03T19:21:10Z</dcterms:created>
  <dcterms:modified xsi:type="dcterms:W3CDTF">2026-09-03T19:21:10Z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