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DIRECTEUR</w:t>
      </w:r>
      <w:r>
        <w:t xml:space="preserve"> </w:t>
      </w:r>
      <w:r>
        <w:t xml:space="preserve">DE</w:t>
      </w:r>
      <w:r>
        <w:t xml:space="preserve"> </w:t>
      </w:r>
      <w:r>
        <w:t xml:space="preserve">PROGRAMME</w:t>
      </w:r>
      <w:r>
        <w:t xml:space="preserve"> </w:t>
      </w:r>
      <w:r>
        <w:t xml:space="preserve">DATA</w:t>
      </w:r>
      <w:r>
        <w:t xml:space="preserve"> </w:t>
      </w:r>
      <w:r>
        <w:t xml:space="preserve">&amp;</w:t>
      </w:r>
      <w:r>
        <w:t xml:space="preserve"> </w:t>
      </w:r>
      <w:r>
        <w:t xml:space="preserve">IA</w:t>
      </w:r>
      <w:r>
        <w:t xml:space="preserve"> </w:t>
      </w:r>
      <w:r>
        <w:t xml:space="preserve">—</w:t>
      </w:r>
      <w:r>
        <w:t xml:space="preserve"> </w:t>
      </w:r>
      <w:r>
        <w:t xml:space="preserve">TRANSFORMATION</w:t>
      </w:r>
      <w:r>
        <w:t xml:space="preserve"> </w:t>
      </w:r>
      <w:r>
        <w:t xml:space="preserve">SI</w:t>
      </w:r>
    </w:p>
    <w:p>
      <w:pPr>
        <w:pStyle w:val="FirstParagraph"/>
      </w:pPr>
      <w:r>
        <w:t xml:space="preserve">Paris / Île-de-France · Freelance · 06 33 66 12 48 · harezki@kiras.fr · Disponible immédiatement</w:t>
      </w:r>
    </w:p>
    <w:p>
      <w:pPr>
        <w:pStyle w:val="BodyText"/>
      </w:pPr>
      <w:r>
        <w:t xml:space="preserve">Directeur de programme Data et IA, 12 ans d’expérience (15 en incluant la recherche doctorale) dans le pilotage de transformations SI de bout en bout, de la trajectoire stratégique à l’industrialisation, dont 8 ans en environnement régulé bancaire et financier (BIL, BPCE) et en grands groupes industriels (TotalEnergies, RATP).</w:t>
      </w:r>
    </w:p>
    <w:p>
      <w:pPr>
        <w:pStyle w:val="BodyText"/>
      </w:pPr>
      <w:r>
        <w:t xml:space="preserve">Pilotage de programmes pluri-annuels associant plusieurs directions métiers, la DSI, l’architecture, la cybersécurité et des partenaires externes : construction de la feuille de route, priorisation du portefeuille de chantiers, gestion du planning, du budget, des ressources, des risques et des dépendances, préparation des arbitrages et reporting aux instances de gouvernance.</w:t>
      </w:r>
    </w:p>
    <w:p>
      <w:pPr>
        <w:pStyle w:val="BodyText"/>
      </w:pPr>
      <w:r>
        <w:t xml:space="preserve">Conduite de la modernisation et de la migration d’applications historiques vers des plateformes cibles, incluant la cartographie du parc, la construction des business cases, la définition des vagues de migration, la sécurisation des reprises de données et le décommissionnement.</w:t>
      </w:r>
    </w:p>
    <w:p>
      <w:pPr>
        <w:pStyle w:val="BodyText"/>
      </w:pPr>
      <w:r>
        <w:t xml:space="preserve">Management d’équipes pluridisciplinaires d’une vingtaine de personnes réparties entre métiers, Data Engineering, Data Science, architecture, cloud et DevOps, avec pilotage des partenaires et prestataires externes.</w:t>
      </w:r>
    </w:p>
    <w:bookmarkStart w:id="20" w:name="programmes-en-environnement-régulé"/>
    <w:p>
      <w:pPr>
        <w:pStyle w:val="Heading2"/>
      </w:pPr>
      <w:r>
        <w:t xml:space="preserve">Programmes en environnement régulé</w:t>
      </w:r>
    </w:p>
    <w:p>
      <w:pPr>
        <w:numPr>
          <w:ilvl w:val="0"/>
          <w:numId w:val="1001"/>
        </w:numPr>
        <w:pStyle w:val="Compact"/>
      </w:pPr>
      <w:r>
        <w:rPr>
          <w:bCs/>
          <w:b/>
        </w:rPr>
        <w:t xml:space="preserve">BIL, Banque Internationale à Luxembourg</w:t>
      </w:r>
      <w:r>
        <w:t xml:space="preserve"> </w:t>
      </w:r>
      <w:r>
        <w:t xml:space="preserve">(depuis 2026) : programme de plateforme Data et IA d’entreprise, migration du décisionnel historique, gouvernance IA, conformité RGPD et DORA.</w:t>
      </w:r>
    </w:p>
    <w:p>
      <w:pPr>
        <w:numPr>
          <w:ilvl w:val="0"/>
          <w:numId w:val="1001"/>
        </w:numPr>
        <w:pStyle w:val="Compact"/>
      </w:pPr>
      <w:r>
        <w:rPr>
          <w:bCs/>
          <w:b/>
        </w:rPr>
        <w:t xml:space="preserve">RATP, programme MSM</w:t>
      </w:r>
      <w:r>
        <w:t xml:space="preserve"> </w:t>
      </w:r>
      <w:r>
        <w:t xml:space="preserve">(2018-2020) : programme multi-partenaires réunissant RATP, Alstom, Renault et l’IRT SystemX, du cadrage des cas d’usage jusqu’au déploiement en production.</w:t>
      </w:r>
    </w:p>
    <w:p>
      <w:pPr>
        <w:numPr>
          <w:ilvl w:val="0"/>
          <w:numId w:val="1001"/>
        </w:numPr>
        <w:pStyle w:val="Compact"/>
      </w:pPr>
      <w:r>
        <w:rPr>
          <w:bCs/>
          <w:b/>
        </w:rPr>
        <w:t xml:space="preserve">TotalEnergies</w:t>
      </w:r>
      <w:r>
        <w:t xml:space="preserve"> </w:t>
      </w:r>
      <w:r>
        <w:t xml:space="preserve">(2020-2025) : industrialisation à l’échelle du groupe des cas d’usage Machine Learning et IA générative sur plateforme Data d’entreprise, au service de plusieurs domaines métiers.</w:t>
      </w:r>
    </w:p>
    <w:p>
      <w:pPr>
        <w:numPr>
          <w:ilvl w:val="0"/>
          <w:numId w:val="1001"/>
        </w:numPr>
        <w:pStyle w:val="Compact"/>
      </w:pPr>
      <w:r>
        <w:rPr>
          <w:bCs/>
          <w:b/>
        </w:rPr>
        <w:t xml:space="preserve">BPCE, banque et assurance</w:t>
      </w:r>
      <w:r>
        <w:t xml:space="preserve"> </w:t>
      </w:r>
      <w:r>
        <w:t xml:space="preserve">(2017-2018) : programme de lutte contre la criminalité financière et de mise en conformité RGPD des chaînes de traitement de données financières.</w:t>
      </w:r>
    </w:p>
    <w:bookmarkEnd w:id="20"/>
    <w:bookmarkStart w:id="26" w:name="compétences-clés"/>
    <w:p>
      <w:pPr>
        <w:pStyle w:val="Heading2"/>
      </w:pPr>
      <w:r>
        <w:t xml:space="preserve">Compétences clés</w:t>
      </w:r>
    </w:p>
    <w:bookmarkStart w:id="21" w:name="pilotage-de-programme-et-de-portefeuille"/>
    <w:p>
      <w:pPr>
        <w:pStyle w:val="Heading3"/>
      </w:pPr>
      <w:r>
        <w:t xml:space="preserve">Pilotage de programme et de portefeuille</w:t>
      </w:r>
    </w:p>
    <w:p>
      <w:pPr>
        <w:pStyle w:val="FirstParagraph"/>
      </w:pPr>
      <w:r>
        <w:t xml:space="preserve">Construction et pilotage de la trajectoire de transformation · Structuration et priorisation des chantiers · Planning, budget, ressources, risques et dépendances · Préparation des arbitrages et reporting aux instances · Business cases et pilotage de la valeur · Méthodes Agile, Scrum, Kanban, SAFe · Jira, Confluence, Miro</w:t>
      </w:r>
    </w:p>
    <w:bookmarkEnd w:id="21"/>
    <w:bookmarkStart w:id="22" w:name="direction-de-projet-et-delivery"/>
    <w:p>
      <w:pPr>
        <w:pStyle w:val="Heading3"/>
      </w:pPr>
      <w:r>
        <w:t xml:space="preserve">Direction de projet et delivery</w:t>
      </w:r>
    </w:p>
    <w:p>
      <w:pPr>
        <w:pStyle w:val="FirstParagraph"/>
      </w:pPr>
      <w:r>
        <w:t xml:space="preserve">Cadrage, découpage et jalonnement · Pilotage des vagues de migration et des bascules · Sécurisation des reprises de données, des tests et des plans de retour arrière · Décommissionnement du patrimoine historique · Suivi de la qualité de service et des engagements</w:t>
      </w:r>
    </w:p>
    <w:bookmarkEnd w:id="22"/>
    <w:bookmarkStart w:id="23" w:name="gouvernance-conformité-et-risques"/>
    <w:p>
      <w:pPr>
        <w:pStyle w:val="Heading3"/>
      </w:pPr>
      <w:r>
        <w:t xml:space="preserve">Gouvernance, conformité et risques</w:t>
      </w:r>
    </w:p>
    <w:p>
      <w:pPr>
        <w:pStyle w:val="FirstParagraph"/>
      </w:pPr>
      <w:r>
        <w:t xml:space="preserve">Animation des comités de programme, d’architecture et de sécurité · Alignement métiers, DSI, architecture, cybersécurité · RGPD, DORA, auditabilité et traçabilité · Gouvernance de la donnée et de l’IA : politiques d’accès, sélection et approbation des modèles, maîtrise du risque de modèle</w:t>
      </w:r>
    </w:p>
    <w:bookmarkEnd w:id="23"/>
    <w:bookmarkStart w:id="24" w:name="conduite-du-changement-et-adoption"/>
    <w:p>
      <w:pPr>
        <w:pStyle w:val="Heading3"/>
      </w:pPr>
      <w:r>
        <w:t xml:space="preserve">Conduite du changement et adoption</w:t>
      </w:r>
    </w:p>
    <w:p>
      <w:pPr>
        <w:pStyle w:val="FirstParagraph"/>
      </w:pPr>
      <w:r>
        <w:t xml:space="preserve">Stratégie d’accompagnement et analyse d’impact · Communication, acculturation et formation des métiers · Suivi de l’adoption et traitement des résistances · Accompagnement des transitions lors du remplacement d’applications historiques</w:t>
      </w:r>
    </w:p>
    <w:bookmarkEnd w:id="24"/>
    <w:bookmarkStart w:id="25" w:name="Xea5fda630af28dc09704aef6c830f5bb533f71e"/>
    <w:p>
      <w:pPr>
        <w:pStyle w:val="Heading3"/>
      </w:pPr>
      <w:r>
        <w:t xml:space="preserve">Management et relations parties prenantes</w:t>
      </w:r>
    </w:p>
    <w:p>
      <w:pPr>
        <w:pStyle w:val="FirstParagraph"/>
      </w:pPr>
      <w:r>
        <w:t xml:space="preserve">Encadrement d’équipes pluridisciplinaires d’une vingtaine de personnes · Pilotage de partenaires technologiques et d’intégrateurs · Dialogue avec des interlocuteurs métiers, techniques et dirigeants · Communication au niveau comité exécutif</w:t>
      </w:r>
    </w:p>
    <w:bookmarkEnd w:id="25"/>
    <w:bookmarkEnd w:id="26"/>
    <w:bookmarkStart w:id="27" w:name="environnement-technique"/>
    <w:p>
      <w:pPr>
        <w:pStyle w:val="Heading2"/>
      </w:pPr>
      <w:r>
        <w:t xml:space="preserve">Environnement technique</w:t>
      </w:r>
    </w:p>
    <w:p>
      <w:pPr>
        <w:pStyle w:val="FirstParagraph"/>
      </w:pPr>
      <w:r>
        <w:t xml:space="preserve">Plateformes Data et Cloud : Snowflake, Databricks, dbt, Azure, GCP, AWS · IA et IA générative : OpenAI, Azure OpenAI, Microsoft Copilot et Copilot Studio, Claude, Mistral, LLaMA, RAG, agents IA, MLOps et LLMOps · Data Engineering : Python, SQL, Spark, PySpark, Kafka, Airflow · Décisionnel : Power BI, IBM Cognos · Gouvernance : catalogue de données, lignage, Apache Atlas, MDM, qualité de données, RBAC, RLS, RGPD, DORA · DevOps : Docker, Kubernetes, Terraform, GitLab CI/CD, Azure DevOps</w:t>
      </w:r>
    </w:p>
    <w:bookmarkEnd w:id="27"/>
    <w:bookmarkStart w:id="35" w:name="expérience-professionnelle"/>
    <w:p>
      <w:pPr>
        <w:pStyle w:val="Heading2"/>
      </w:pPr>
      <w:r>
        <w:t xml:space="preserve">Expérience professionnelle</w:t>
      </w:r>
    </w:p>
    <w:bookmarkStart w:id="28"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 (FinOps).</w:t>
      </w:r>
    </w:p>
    <w:p>
      <w:pPr>
        <w:numPr>
          <w:ilvl w:val="0"/>
          <w:numId w:val="1002"/>
        </w:numPr>
        <w:pStyle w:val="Compact"/>
      </w:pPr>
      <w:r>
        <w:t xml:space="preserve">Pilotage FinOps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28"/>
    <w:bookmarkStart w:id="29"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29"/>
    <w:bookmarkStart w:id="30"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0"/>
    <w:bookmarkStart w:id="31"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1"/>
    <w:bookmarkStart w:id="32"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3"/>
    <w:bookmarkStart w:id="34"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4"/>
    <w:bookmarkEnd w:id="35"/>
    <w:bookmarkStart w:id="36"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6"/>
    <w:bookmarkStart w:id="37"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7"/>
    <w:bookmarkStart w:id="38"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38"/>
    <w:bookmarkStart w:id="39"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39"/>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DIRECTEUR DE PROGRAMME DATA &amp; IA — TRANSFORMATION SI</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