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&amp;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ARCHITECT</w:t>
      </w:r>
      <w:r>
        <w:t xml:space="preserve"> </w:t>
      </w:r>
      <w:r>
        <w:t xml:space="preserve">—</w:t>
      </w:r>
      <w:r>
        <w:t xml:space="preserve"> </w:t>
      </w:r>
      <w:r>
        <w:t xml:space="preserve">LLM,</w:t>
      </w:r>
      <w:r>
        <w:t xml:space="preserve"> </w:t>
      </w:r>
      <w:r>
        <w:t xml:space="preserve">RAG</w:t>
      </w:r>
      <w:r>
        <w:t xml:space="preserve"> </w:t>
      </w:r>
      <w:r>
        <w:t xml:space="preserve">AND</w:t>
      </w:r>
      <w:r>
        <w:t xml:space="preserve"> </w:t>
      </w:r>
      <w:r>
        <w:t xml:space="preserve">AGENTS</w:t>
      </w:r>
    </w:p>
    <w:p>
      <w:pPr>
        <w:pStyle w:val="FirstParagraph"/>
      </w:pPr>
      <w:r>
        <w:t xml:space="preserve">Paris / Île-de-France · Freelance · [Phone] · [Email] · [LinkedIn] · Available from 1 September 2026</w:t>
      </w:r>
    </w:p>
    <w:p>
      <w:pPr>
        <w:pStyle w:val="BodyText"/>
      </w:pPr>
      <w:r>
        <w:t xml:space="preserve">AI architect and technical lead with 12 years of experience (15 including doctoral research) in Data and Artificial Intelligence, including 8 years in regulated financial services (BIL, BPCE) and large industrial groups (TotalEnergies, RATP). PhD from CentraleSupélec.</w:t>
      </w:r>
    </w:p>
    <w:p>
      <w:pPr>
        <w:pStyle w:val="BodyText"/>
      </w:pPr>
      <w:r>
        <w:t xml:space="preserve">Design and operation of GENIA, a secure enterprise Data and AI platform in a banking environment: Generative AI, LLM and agent capabilities delivered as governed products, enabling business domains to build and run AI use cases at scale.</w:t>
      </w:r>
    </w:p>
    <w:p>
      <w:pPr>
        <w:pStyle w:val="BodyText"/>
      </w:pPr>
      <w:r>
        <w:t xml:space="preserve">Hands-on across the full scope: multi-LLM orchestration with routing, caching, fallback and latency control; RAG and Document AI pipelines; AI agents; LLMOps and MLOps industrialisation; API and event-driven integration; AI governance covering access policies, model selection, hallucination risk, confidentiality and auditability.</w:t>
      </w:r>
    </w:p>
    <w:p>
      <w:pPr>
        <w:pStyle w:val="BodyText"/>
      </w:pPr>
      <w:r>
        <w:t xml:space="preserve">Strong data platform foundation (Snowflake, Databricks, dbt, Power BI) ensuring AI capabilities are fed by governed, trusted and secured enterprise data rather than isolated pipelines.</w:t>
      </w:r>
    </w:p>
    <w:bookmarkStart w:id="20" w:name="ai-delivery-in-regulated-environments"/>
    <w:p>
      <w:pPr>
        <w:pStyle w:val="Heading2"/>
      </w:pPr>
      <w:r>
        <w:t xml:space="preserve">AI delivery in regulated environments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BIL, Banque Internationale à Luxembourg</w:t>
      </w:r>
      <w:r>
        <w:t xml:space="preserve"> </w:t>
      </w:r>
      <w:r>
        <w:t xml:space="preserve">(since 2026): enterprise Data and AI platform, multi-LLM mesh, RAG and Document AI, AI agents, LLMOps, AI governance, RBAC and Row-Level Security, GDPR, DORA.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TotalEnergies</w:t>
      </w:r>
      <w:r>
        <w:t xml:space="preserve"> </w:t>
      </w:r>
      <w:r>
        <w:t xml:space="preserve">(2020-2025): group-scale industrialisation of Machine Learning and Generative AI use cases, AI agents, Document AI, RAG pipelines, MLOps and LLMOps.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RATP, MSM programme</w:t>
      </w:r>
      <w:r>
        <w:t xml:space="preserve"> </w:t>
      </w:r>
      <w:r>
        <w:t xml:space="preserve">(2018-2020): predictive models, computer vision and OCR, real-time architectures for multimodal mobility supervision.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BPCE</w:t>
      </w:r>
      <w:r>
        <w:t xml:space="preserve"> </w:t>
      </w:r>
      <w:r>
        <w:t xml:space="preserve">(2017-2018): AI-driven financial crime detection — money laundering, terrorism financing, sanctions and embargo screening, fraud — enterprise catalog and lineage, GDPR compliance.</w:t>
      </w:r>
    </w:p>
    <w:bookmarkEnd w:id="20"/>
    <w:bookmarkStart w:id="27" w:name="core-skills"/>
    <w:p>
      <w:pPr>
        <w:pStyle w:val="Heading2"/>
      </w:pPr>
      <w:r>
        <w:t xml:space="preserve">Core skills</w:t>
      </w:r>
    </w:p>
    <w:bookmarkStart w:id="21" w:name="ai-and-agentic-platform-architecture"/>
    <w:p>
      <w:pPr>
        <w:pStyle w:val="Heading3"/>
      </w:pPr>
      <w:r>
        <w:t xml:space="preserve">AI and agentic platform architecture</w:t>
      </w:r>
    </w:p>
    <w:p>
      <w:pPr>
        <w:pStyle w:val="FirstParagraph"/>
      </w:pPr>
      <w:r>
        <w:t xml:space="preserve">Architecture of agentic AI platforms: orchestration, tool calling, memory, guardrails · Multi-LLM orchestration, model routing, caching, fallback and latency control · RAG, hybrid search, reranking and Document AI pipelines · Integration with the enterprise data layer and business applications · Connectors, APIs and event-driven integration patterns</w:t>
      </w:r>
    </w:p>
    <w:bookmarkEnd w:id="21"/>
    <w:bookmarkStart w:id="22" w:name="ai-lifecycle-industrialisation"/>
    <w:p>
      <w:pPr>
        <w:pStyle w:val="Heading3"/>
      </w:pPr>
      <w:r>
        <w:t xml:space="preserve">AI lifecycle industrialisation</w:t>
      </w:r>
    </w:p>
    <w:p>
      <w:pPr>
        <w:pStyle w:val="FirstParagraph"/>
      </w:pPr>
      <w:r>
        <w:t xml:space="preserve">Deployment and operation of frontier and open-source models · Model lifecycle: deploy, monitor, retrain · Versioning, CI/CD for models and prompts · Evaluation frameworks: RAGAS, Hit Rate, MRR, Recall@k, nDCG · Performance, usage, cost and reliability monitoring · Production deployment at scale</w:t>
      </w:r>
    </w:p>
    <w:bookmarkEnd w:id="22"/>
    <w:bookmarkStart w:id="23" w:name="machine-learning-and-data-science"/>
    <w:p>
      <w:pPr>
        <w:pStyle w:val="Heading3"/>
      </w:pPr>
      <w:r>
        <w:t xml:space="preserve">Machine Learning and Data Science</w:t>
      </w:r>
    </w:p>
    <w:p>
      <w:pPr>
        <w:pStyle w:val="FirstParagraph"/>
      </w:pPr>
      <w:r>
        <w:t xml:space="preserve">Predictive and classification models · Natural language processing, computer vision and OCR · Time series and forecasting · Anomaly detection · Recommendation engines · Industrialisation and scaling of model code</w:t>
      </w:r>
    </w:p>
    <w:bookmarkEnd w:id="23"/>
    <w:bookmarkStart w:id="24" w:name="ai-governance-risk-and-compliance"/>
    <w:p>
      <w:pPr>
        <w:pStyle w:val="Heading3"/>
      </w:pPr>
      <w:r>
        <w:t xml:space="preserve">AI governance, risk and compliance</w:t>
      </w:r>
    </w:p>
    <w:p>
      <w:pPr>
        <w:pStyle w:val="FirstParagraph"/>
      </w:pPr>
      <w:r>
        <w:t xml:space="preserve">Governance frameworks: access policies, model selection and approval, usage rules · Risk management: hallucination control, guardrails, human-in-the-loop, model risk · Data confidentiality and regulatory constraints: GDPR, DORA, EU AI Act awareness · Security and IAM for AI usage · Auditability and traceability of AI outputs</w:t>
      </w:r>
    </w:p>
    <w:bookmarkEnd w:id="24"/>
    <w:bookmarkStart w:id="25" w:name="enablement-and-adoption"/>
    <w:p>
      <w:pPr>
        <w:pStyle w:val="Heading3"/>
      </w:pPr>
      <w:r>
        <w:t xml:space="preserve">Enablement and adoption</w:t>
      </w:r>
    </w:p>
    <w:p>
      <w:pPr>
        <w:pStyle w:val="FirstParagraph"/>
      </w:pPr>
      <w:r>
        <w:t xml:space="preserve">Catalog of reusable components: agents, prompts, APIs, templates · Developer and user experience · Onboarding of business domains and promotion of adoption · Training of business and technical teams</w:t>
      </w:r>
    </w:p>
    <w:bookmarkEnd w:id="25"/>
    <w:bookmarkStart w:id="26" w:name="technical-leadership"/>
    <w:p>
      <w:pPr>
        <w:pStyle w:val="Heading3"/>
      </w:pPr>
      <w:r>
        <w:t xml:space="preserve">Technical leadership</w:t>
      </w:r>
    </w:p>
    <w:p>
      <w:pPr>
        <w:pStyle w:val="FirstParagraph"/>
      </w:pPr>
      <w:r>
        <w:t xml:space="preserve">Leadership of multi-disciplinary platform teams of around 20 people · Architecture governance, structuring decisions and technical standards · Dialogue with business and executive sponsors · Balance of innovation, cost and risk · Agile delivery: Scrum, Kanban, Jira, Confluence</w:t>
      </w:r>
    </w:p>
    <w:bookmarkEnd w:id="26"/>
    <w:bookmarkEnd w:id="27"/>
    <w:bookmarkStart w:id="28" w:name="technology-environment"/>
    <w:p>
      <w:pPr>
        <w:pStyle w:val="Heading2"/>
      </w:pPr>
      <w:r>
        <w:t xml:space="preserve">Technology environment</w:t>
      </w:r>
    </w:p>
    <w:p>
      <w:pPr>
        <w:pStyle w:val="FirstParagraph"/>
      </w:pPr>
      <w:r>
        <w:t xml:space="preserve">AI and Generative AI: OpenAI, Azure OpenAI, Claude, Mistral, LLaMA, Hugging Face, RAG, AI agents, Document AI · Frameworks: LangChain, LlamaIndex, Semantic Kernel, MLflow, Dataiku, PyTorch, TensorFlow, scikit-learn · RAG and vector search: FAISS, PGVector, BM25, hybrid search, reranking, RAGAS · Document AI: Azure Document Intelligence, vision-language models, Docling, Tesseract, OpenCV · MLOps and observability: MLflow, OpenTelemetry, Prometheus, Grafana, Langfuse, Arize · Data and Cloud platforms: Snowflake, Databricks, dbt, Azure, GCP, AWS · Data Engineering: Python, SQL, Spark, PySpark, Kafka, Airflow · APIs and integration: FastAPI, REST APIs, Redis Streams, event-driven architectures · Infrastructure: Docker, Kubernetes, Terraform, GitHub Actions, Azure DevOps, GitLab CI/CD</w:t>
      </w:r>
    </w:p>
    <w:bookmarkEnd w:id="28"/>
    <w:bookmarkStart w:id="36" w:name="professional-experience"/>
    <w:p>
      <w:pPr>
        <w:pStyle w:val="Heading2"/>
      </w:pPr>
      <w:r>
        <w:t xml:space="preserve">Professional experience</w:t>
      </w:r>
    </w:p>
    <w:bookmarkStart w:id="29" w:name="Xedd4706dce7ce751dd0ee50137585b26913cdc5"/>
    <w:p>
      <w:pPr>
        <w:pStyle w:val="Heading3"/>
      </w:pPr>
      <w:r>
        <w:t xml:space="preserve">Data &amp; AI Programme Lead — BIL, Banque Internationale à Luxembourg</w:t>
      </w:r>
    </w:p>
    <w:p>
      <w:pPr>
        <w:pStyle w:val="FirstParagraph"/>
      </w:pPr>
      <w:r>
        <w:rPr>
          <w:iCs/>
          <w:i/>
        </w:rPr>
        <w:t xml:space="preserve">January 2026 to present</w:t>
      </w:r>
    </w:p>
    <w:p>
      <w:pPr>
        <w:pStyle w:val="BodyText"/>
      </w:pPr>
      <w:r>
        <w:t xml:space="preserve">Leading the design, industrialisation and operation of GENIA, the bank’s enterprise Data &amp; AI platform, delivering governed, shared Generative AI capabilities to business domains in a regulated banking environment.</w:t>
      </w:r>
    </w:p>
    <w:p>
      <w:pPr>
        <w:numPr>
          <w:ilvl w:val="0"/>
          <w:numId w:val="1002"/>
        </w:numPr>
        <w:pStyle w:val="Compact"/>
      </w:pPr>
      <w:r>
        <w:t xml:space="preserve">Contributed to the platform vision, target architecture and operating model, treating AI capabilities as reusable products rather than isolated use cases.</w:t>
      </w:r>
    </w:p>
    <w:p>
      <w:pPr>
        <w:numPr>
          <w:ilvl w:val="0"/>
          <w:numId w:val="1002"/>
        </w:numPr>
        <w:pStyle w:val="Compact"/>
      </w:pPr>
      <w:r>
        <w:t xml:space="preserve">Translated business priorities into a platform roadmap and a prioritised portfolio of shared capabilities, agreed with business and IT stakeholders.</w:t>
      </w:r>
    </w:p>
    <w:p>
      <w:pPr>
        <w:numPr>
          <w:ilvl w:val="0"/>
          <w:numId w:val="1002"/>
        </w:numPr>
        <w:pStyle w:val="Compact"/>
      </w:pPr>
      <w:r>
        <w:t xml:space="preserve">Defined platform steering indicators covering usage, performance, adoption and cost of AI services.</w:t>
      </w:r>
    </w:p>
    <w:p>
      <w:pPr>
        <w:numPr>
          <w:ilvl w:val="0"/>
          <w:numId w:val="1002"/>
        </w:numPr>
        <w:pStyle w:val="Compact"/>
      </w:pPr>
      <w:r>
        <w:t xml:space="preserve">Drove cost control and optimisation of model and API consumption, including model selection, routing and caching strategies.</w:t>
      </w:r>
    </w:p>
    <w:p>
      <w:pPr>
        <w:numPr>
          <w:ilvl w:val="0"/>
          <w:numId w:val="1002"/>
        </w:numPr>
        <w:pStyle w:val="Compact"/>
      </w:pPr>
      <w:r>
        <w:t xml:space="preserve">Led the modernisation of the legacy IBM Cognos decision-support estate towards Snowflake and Power BI: inventory and rationalisation of the reporting portfolio, redesign of data models, semantic layer rebuild, reconciliation, performance testing and user enablement.</w:t>
      </w:r>
    </w:p>
    <w:p>
      <w:pPr>
        <w:numPr>
          <w:ilvl w:val="0"/>
          <w:numId w:val="1002"/>
        </w:numPr>
        <w:pStyle w:val="Compact"/>
      </w:pPr>
      <w:r>
        <w:t xml:space="preserve">Contributed to the AI governance framework: access policies, model selection and approval, usage rules, alignment with the bank’s Data and Digital governance bodies.</w:t>
      </w:r>
    </w:p>
    <w:p>
      <w:pPr>
        <w:numPr>
          <w:ilvl w:val="0"/>
          <w:numId w:val="1002"/>
        </w:numPr>
        <w:pStyle w:val="Compact"/>
      </w:pPr>
      <w:r>
        <w:t xml:space="preserve">Addressed AI-specific risks: hallucination control, guardrails, human-in-the-loop validation and evaluation gates before go-live.</w:t>
      </w:r>
    </w:p>
    <w:p>
      <w:pPr>
        <w:numPr>
          <w:ilvl w:val="0"/>
          <w:numId w:val="1002"/>
        </w:numPr>
        <w:pStyle w:val="Compact"/>
      </w:pPr>
      <w:r>
        <w:t xml:space="preserve">Ensured compliance with confidentiality and regulatory constraints: RBAC, Row-Level Security, GDPR, encryption, traceability and auditability, in line with banking requirements including DORA.</w:t>
      </w:r>
    </w:p>
    <w:p>
      <w:pPr>
        <w:numPr>
          <w:ilvl w:val="0"/>
          <w:numId w:val="1002"/>
        </w:numPr>
        <w:pStyle w:val="Compact"/>
      </w:pPr>
      <w:r>
        <w:t xml:space="preserve">Coordinated Data, Engineering, Architecture, AI, DevOps and business stakeholders, and managed technology partners.</w:t>
      </w:r>
    </w:p>
    <w:bookmarkEnd w:id="29"/>
    <w:bookmarkStart w:id="30" w:name="lead-data-ai-platform-totalenergies"/>
    <w:p>
      <w:pPr>
        <w:pStyle w:val="Heading3"/>
      </w:pPr>
      <w:r>
        <w:t xml:space="preserve">Lead Data &amp; AI Platform — TotalEnergies</w:t>
      </w:r>
    </w:p>
    <w:p>
      <w:pPr>
        <w:pStyle w:val="FirstParagraph"/>
      </w:pPr>
      <w:r>
        <w:rPr>
          <w:iCs/>
          <w:i/>
        </w:rPr>
        <w:t xml:space="preserve">December 2020 to December 2025</w:t>
      </w:r>
    </w:p>
    <w:p>
      <w:pPr>
        <w:pStyle w:val="BodyText"/>
      </w:pPr>
      <w:r>
        <w:t xml:space="preserve">Group-scale industrialisation of Machine Learning and Generative AI use cases on an enterprise Data Platform serving multiple business domains: retail, human resources and industrial operations.</w:t>
      </w:r>
    </w:p>
    <w:p>
      <w:pPr>
        <w:numPr>
          <w:ilvl w:val="0"/>
          <w:numId w:val="1003"/>
        </w:numPr>
        <w:pStyle w:val="Compact"/>
      </w:pPr>
      <w:r>
        <w:t xml:space="preserve">Led multi-disciplinary teams of around 20 people across business, Data Engineering, Data Science, architecture, cloud and DevOps.</w:t>
      </w:r>
    </w:p>
    <w:p>
      <w:pPr>
        <w:numPr>
          <w:ilvl w:val="0"/>
          <w:numId w:val="1003"/>
        </w:numPr>
        <w:pStyle w:val="Compact"/>
      </w:pPr>
      <w:r>
        <w:t xml:space="preserve">Managed external partners and service providers contributing to platform and use-case delivery.</w:t>
      </w:r>
    </w:p>
    <w:p>
      <w:pPr>
        <w:numPr>
          <w:ilvl w:val="0"/>
          <w:numId w:val="1003"/>
        </w:numPr>
        <w:pStyle w:val="Compact"/>
      </w:pPr>
      <w:r>
        <w:t xml:space="preserve">Moved use cases from experimentation to production with the associated MLOps and LLMOps practices: CI/CD, monitoring, evaluation, observability and continuous improvement.</w:t>
      </w:r>
    </w:p>
    <w:p>
      <w:pPr>
        <w:numPr>
          <w:ilvl w:val="0"/>
          <w:numId w:val="1003"/>
        </w:numPr>
        <w:pStyle w:val="Compact"/>
      </w:pPr>
      <w:r>
        <w:t xml:space="preserve">Contributed to the design and evolution of the enterprise Data Platform on Snowflake, supporting multiple business domains and large heterogeneous volumes.</w:t>
      </w:r>
    </w:p>
    <w:p>
      <w:pPr>
        <w:numPr>
          <w:ilvl w:val="0"/>
          <w:numId w:val="1003"/>
        </w:numPr>
        <w:pStyle w:val="Compact"/>
      </w:pPr>
      <w:r>
        <w:t xml:space="preserve">Defined data architecture and technical standards covering data modelling, MDM, APIs, governance, security and platform integration.</w:t>
      </w:r>
    </w:p>
    <w:p>
      <w:pPr>
        <w:numPr>
          <w:ilvl w:val="0"/>
          <w:numId w:val="1003"/>
        </w:numPr>
        <w:pStyle w:val="Compact"/>
      </w:pPr>
      <w:r>
        <w:t xml:space="preserve">Translated business requirements into reusable data products and platform capabilities.</w:t>
      </w:r>
    </w:p>
    <w:p>
      <w:pPr>
        <w:numPr>
          <w:ilvl w:val="0"/>
          <w:numId w:val="1003"/>
        </w:numPr>
        <w:pStyle w:val="Compact"/>
      </w:pPr>
      <w:r>
        <w:t xml:space="preserve">Contributed to Master Data Management initiatives and implemented data quality, governance, lineage and access-control practices.</w:t>
      </w:r>
    </w:p>
    <w:p>
      <w:pPr>
        <w:numPr>
          <w:ilvl w:val="0"/>
          <w:numId w:val="1003"/>
        </w:numPr>
        <w:pStyle w:val="Compact"/>
      </w:pPr>
      <w:r>
        <w:t xml:space="preserve">Supported the adoption and continuous evolution of AI services, data products and BI capabilities across the organisation.</w:t>
      </w:r>
    </w:p>
    <w:bookmarkEnd w:id="30"/>
    <w:bookmarkStart w:id="31" w:name="Xb2124ec2467996b76e8ba7dfac0425a7f863a14"/>
    <w:p>
      <w:pPr>
        <w:pStyle w:val="Heading3"/>
      </w:pPr>
      <w:r>
        <w:t xml:space="preserve">Head of Data — RATP, MSM programme with Alstom, Renault and IRT SystemX</w:t>
      </w:r>
    </w:p>
    <w:p>
      <w:pPr>
        <w:pStyle w:val="FirstParagraph"/>
      </w:pPr>
      <w:r>
        <w:rPr>
          <w:iCs/>
          <w:i/>
        </w:rPr>
        <w:t xml:space="preserve">August 2018 to December 2020</w:t>
      </w:r>
    </w:p>
    <w:p>
      <w:pPr>
        <w:pStyle w:val="BodyText"/>
      </w:pPr>
      <w:r>
        <w:t xml:space="preserve">Leadership of the Data and AI workstreams of a multi-partner multimodal mobility programme bringing together several industrial partners and a technology research institute.</w:t>
      </w:r>
    </w:p>
    <w:p>
      <w:pPr>
        <w:numPr>
          <w:ilvl w:val="0"/>
          <w:numId w:val="1004"/>
        </w:numPr>
        <w:pStyle w:val="Compact"/>
      </w:pPr>
      <w:r>
        <w:t xml:space="preserve">Led AI and data initiatives across the programme, from use-case framing through architecture design to production deployment.</w:t>
      </w:r>
    </w:p>
    <w:p>
      <w:pPr>
        <w:numPr>
          <w:ilvl w:val="0"/>
          <w:numId w:val="1004"/>
        </w:numPr>
        <w:pStyle w:val="Compact"/>
      </w:pPr>
      <w:r>
        <w:t xml:space="preserve">Managed internal and external teams — AI engineers, data scientists, developers: scope definition, resource planning, roadmap alignment, technical governance and delivery standards.</w:t>
      </w:r>
    </w:p>
    <w:p>
      <w:pPr>
        <w:numPr>
          <w:ilvl w:val="0"/>
          <w:numId w:val="1004"/>
        </w:numPr>
        <w:pStyle w:val="Compact"/>
      </w:pPr>
      <w:r>
        <w:t xml:space="preserve">Designed microservices-based architectures for real-time supervision and incident management.</w:t>
      </w:r>
    </w:p>
    <w:p>
      <w:pPr>
        <w:numPr>
          <w:ilvl w:val="0"/>
          <w:numId w:val="1004"/>
        </w:numPr>
        <w:pStyle w:val="Compact"/>
      </w:pPr>
      <w:r>
        <w:t xml:space="preserve">Built and deployed a multi-layered Data Lake on Azure for scalable ingestion, processing and analytics.</w:t>
      </w:r>
    </w:p>
    <w:p>
      <w:pPr>
        <w:numPr>
          <w:ilvl w:val="0"/>
          <w:numId w:val="1004"/>
        </w:numPr>
        <w:pStyle w:val="Compact"/>
      </w:pPr>
      <w:r>
        <w:t xml:space="preserve">Developed predictive models for passenger flow, incident duration and operational planning.</w:t>
      </w:r>
    </w:p>
    <w:p>
      <w:pPr>
        <w:numPr>
          <w:ilvl w:val="0"/>
          <w:numId w:val="1004"/>
        </w:numPr>
        <w:pStyle w:val="Compact"/>
      </w:pPr>
      <w:r>
        <w:t xml:space="preserve">Implemented anomaly detection and log analysis to ensure data quality and regulatory compliance.</w:t>
      </w:r>
    </w:p>
    <w:p>
      <w:pPr>
        <w:numPr>
          <w:ilvl w:val="0"/>
          <w:numId w:val="1004"/>
        </w:numPr>
        <w:pStyle w:val="Compact"/>
      </w:pPr>
      <w:r>
        <w:t xml:space="preserve">Trained business and technical teams on AI platforms, data visualisation and process automation.</w:t>
      </w:r>
    </w:p>
    <w:p>
      <w:pPr>
        <w:numPr>
          <w:ilvl w:val="0"/>
          <w:numId w:val="1004"/>
        </w:numPr>
        <w:pStyle w:val="Compact"/>
      </w:pPr>
      <w:r>
        <w:t xml:space="preserve">Delivered functional demonstrators for smart mobility supervision at La Défense.</w:t>
      </w:r>
    </w:p>
    <w:bookmarkEnd w:id="31"/>
    <w:bookmarkStart w:id="32" w:name="X574d33054a44a3cecb1f212e8eeecf5374567fb"/>
    <w:p>
      <w:pPr>
        <w:pStyle w:val="Heading3"/>
      </w:pPr>
      <w:r>
        <w:t xml:space="preserve">Lead Data Science &amp; Governance — BPCE, Banking &amp; Insurance</w:t>
      </w:r>
    </w:p>
    <w:p>
      <w:pPr>
        <w:pStyle w:val="FirstParagraph"/>
      </w:pPr>
      <w:r>
        <w:rPr>
          <w:iCs/>
          <w:i/>
        </w:rPr>
        <w:t xml:space="preserve">January 2017 to August 2018</w:t>
      </w:r>
    </w:p>
    <w:p>
      <w:pPr>
        <w:pStyle w:val="BodyText"/>
      </w:pPr>
      <w:r>
        <w:t xml:space="preserve">Data and AI programme within a major French banking and insurance group, covering anti-money-laundering, counter-terrorism financing, sanctions and embargo screening, fraud detection and GDPR compliance of financial data processing.</w:t>
      </w:r>
    </w:p>
    <w:p>
      <w:pPr>
        <w:numPr>
          <w:ilvl w:val="0"/>
          <w:numId w:val="1005"/>
        </w:numPr>
        <w:pStyle w:val="Compact"/>
      </w:pPr>
      <w:r>
        <w:t xml:space="preserve">Led the build of an end-to-end AI-driven fraud detection engine and the automation of alert, sanctions and embargo workflows.</w:t>
      </w:r>
    </w:p>
    <w:p>
      <w:pPr>
        <w:numPr>
          <w:ilvl w:val="0"/>
          <w:numId w:val="1005"/>
        </w:numPr>
        <w:pStyle w:val="Compact"/>
      </w:pPr>
      <w:r>
        <w:t xml:space="preserve">Designed and deployed the enterprise data dictionary and lineage capability on Apache Atlas, establishing traceability of financial data assets from source systems through to regulatory reporting.</w:t>
      </w:r>
    </w:p>
    <w:p>
      <w:pPr>
        <w:numPr>
          <w:ilvl w:val="0"/>
          <w:numId w:val="1005"/>
        </w:numPr>
        <w:pStyle w:val="Compact"/>
      </w:pPr>
      <w:r>
        <w:t xml:space="preserve">Structured metadata, ownership and data definitions across compliance, sanctions and fraud domains.</w:t>
      </w:r>
    </w:p>
    <w:p>
      <w:pPr>
        <w:numPr>
          <w:ilvl w:val="0"/>
          <w:numId w:val="1005"/>
        </w:numPr>
        <w:pStyle w:val="Compact"/>
      </w:pPr>
      <w:r>
        <w:t xml:space="preserve">Ensured GDPR compliance of financial data processing chains: access control, traceability and data protection.</w:t>
      </w:r>
    </w:p>
    <w:p>
      <w:pPr>
        <w:numPr>
          <w:ilvl w:val="0"/>
          <w:numId w:val="1005"/>
        </w:numPr>
        <w:pStyle w:val="Compact"/>
      </w:pPr>
      <w:r>
        <w:t xml:space="preserve">Defined and tracked detection-system performance indicators as service-level metrics, with Power BI reporting for risk and compliance teams.</w:t>
      </w:r>
    </w:p>
    <w:p>
      <w:pPr>
        <w:numPr>
          <w:ilvl w:val="0"/>
          <w:numId w:val="1005"/>
        </w:numPr>
        <w:pStyle w:val="Compact"/>
      </w:pPr>
      <w:r>
        <w:t xml:space="preserve">Ran Agile delivery adapted to data-centric work in a banking environment: kickoff, steering committees, retrospectives, testing and go-live reviews.</w:t>
      </w:r>
    </w:p>
    <w:bookmarkEnd w:id="32"/>
    <w:bookmarkStart w:id="33" w:name="lead-data-scientist-luxury-retail"/>
    <w:p>
      <w:pPr>
        <w:pStyle w:val="Heading3"/>
      </w:pPr>
      <w:r>
        <w:t xml:space="preserve">Lead Data Scientist — Luxury Retail</w:t>
      </w:r>
    </w:p>
    <w:p>
      <w:pPr>
        <w:pStyle w:val="FirstParagraph"/>
      </w:pPr>
      <w:r>
        <w:rPr>
          <w:iCs/>
          <w:i/>
        </w:rPr>
        <w:t xml:space="preserve">September 2015 to January 2017</w:t>
      </w:r>
    </w:p>
    <w:p>
      <w:pPr>
        <w:numPr>
          <w:ilvl w:val="0"/>
          <w:numId w:val="1006"/>
        </w:numPr>
        <w:pStyle w:val="Compact"/>
      </w:pPr>
      <w:r>
        <w:t xml:space="preserve">Built a customer intelligence engine: profile classification, behaviour prediction, churn and retention modelling, and a recommendation engine.</w:t>
      </w:r>
    </w:p>
    <w:p>
      <w:pPr>
        <w:numPr>
          <w:ilvl w:val="0"/>
          <w:numId w:val="1006"/>
        </w:numPr>
        <w:pStyle w:val="Compact"/>
      </w:pPr>
      <w:r>
        <w:t xml:space="preserve">Defined and tracked retail performance indicators, with real-time reporting to business teams.</w:t>
      </w:r>
    </w:p>
    <w:p>
      <w:pPr>
        <w:numPr>
          <w:ilvl w:val="0"/>
          <w:numId w:val="1006"/>
        </w:numPr>
        <w:pStyle w:val="Compact"/>
      </w:pPr>
      <w:r>
        <w:t xml:space="preserve">Refactored and industrialised model code for scalability and deployment.</w:t>
      </w:r>
    </w:p>
    <w:bookmarkEnd w:id="33"/>
    <w:bookmarkStart w:id="34" w:name="X9570a6bf48ca200cfdaf461ed3edb8647d92c96"/>
    <w:p>
      <w:pPr>
        <w:pStyle w:val="Heading3"/>
      </w:pPr>
      <w:r>
        <w:t xml:space="preserve">Data Scientist — Beamlabs / Française des Jeux</w:t>
      </w:r>
    </w:p>
    <w:p>
      <w:pPr>
        <w:pStyle w:val="FirstParagraph"/>
      </w:pPr>
      <w:r>
        <w:rPr>
          <w:iCs/>
          <w:i/>
        </w:rPr>
        <w:t xml:space="preserve">November 2014 to September 2015</w:t>
      </w:r>
    </w:p>
    <w:p>
      <w:pPr>
        <w:numPr>
          <w:ilvl w:val="0"/>
          <w:numId w:val="1007"/>
        </w:numPr>
        <w:pStyle w:val="Compact"/>
      </w:pPr>
      <w:r>
        <w:t xml:space="preserve">Built a Big Data foundation for real-time marketing: distributed architecture, streaming ingestion, indexing.</w:t>
      </w:r>
    </w:p>
    <w:p>
      <w:pPr>
        <w:numPr>
          <w:ilvl w:val="0"/>
          <w:numId w:val="1007"/>
        </w:numPr>
        <w:pStyle w:val="Compact"/>
      </w:pPr>
      <w:r>
        <w:t xml:space="preserve">Developed a real-time recommendation engine and predictive marketing models.</w:t>
      </w:r>
    </w:p>
    <w:bookmarkEnd w:id="34"/>
    <w:bookmarkStart w:id="35" w:name="X68da9df42145b490d66382f7c267b10b166f0a9"/>
    <w:p>
      <w:pPr>
        <w:pStyle w:val="Heading3"/>
      </w:pPr>
      <w:r>
        <w:t xml:space="preserve">R&amp;D Engineer, PhD — CentraleSupélec and École Polytechnique</w:t>
      </w:r>
    </w:p>
    <w:p>
      <w:pPr>
        <w:pStyle w:val="FirstParagraph"/>
      </w:pPr>
      <w:r>
        <w:rPr>
          <w:iCs/>
          <w:i/>
        </w:rPr>
        <w:t xml:space="preserve">February 2010 to October 2014</w:t>
      </w:r>
    </w:p>
    <w:p>
      <w:pPr>
        <w:numPr>
          <w:ilvl w:val="0"/>
          <w:numId w:val="1008"/>
        </w:numPr>
        <w:pStyle w:val="Compact"/>
      </w:pPr>
      <w:r>
        <w:t xml:space="preserve">Applied Machine Learning to photovoltaic cell performance optimisation and transistor modelling; market analysis of photovoltaic expansion in Europe.</w:t>
      </w:r>
    </w:p>
    <w:p>
      <w:pPr>
        <w:numPr>
          <w:ilvl w:val="0"/>
          <w:numId w:val="1008"/>
        </w:numPr>
        <w:pStyle w:val="Compact"/>
      </w:pPr>
      <w:r>
        <w:t xml:space="preserve">Developed simulation and data analysis algorithms, and scientific data visualisation.</w:t>
      </w:r>
    </w:p>
    <w:bookmarkEnd w:id="35"/>
    <w:bookmarkEnd w:id="36"/>
    <w:bookmarkStart w:id="37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9"/>
        </w:numPr>
        <w:pStyle w:val="Compact"/>
      </w:pPr>
      <w:r>
        <w:t xml:space="preserve">PhD, CentraleSupélec, Université Paris-Saclay, Orsay (2011-2014)</w:t>
      </w:r>
    </w:p>
    <w:p>
      <w:pPr>
        <w:numPr>
          <w:ilvl w:val="0"/>
          <w:numId w:val="1009"/>
        </w:numPr>
        <w:pStyle w:val="Compact"/>
      </w:pPr>
      <w:r>
        <w:t xml:space="preserve">Master of Sciences, Université Pierre et Marie Curie, Paris VI (2010-2011)</w:t>
      </w:r>
    </w:p>
    <w:p>
      <w:pPr>
        <w:numPr>
          <w:ilvl w:val="0"/>
          <w:numId w:val="1009"/>
        </w:numPr>
        <w:pStyle w:val="Compact"/>
      </w:pPr>
      <w:r>
        <w:t xml:space="preserve">Master’s degree in Engineering Sciences, Université Paris Diderot, Paris VII (2009-2010)</w:t>
      </w:r>
    </w:p>
    <w:bookmarkEnd w:id="37"/>
    <w:bookmarkStart w:id="38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10"/>
        </w:numPr>
        <w:pStyle w:val="Compact"/>
      </w:pPr>
      <w:r>
        <w:t xml:space="preserve">French: native</w:t>
      </w:r>
    </w:p>
    <w:p>
      <w:pPr>
        <w:numPr>
          <w:ilvl w:val="0"/>
          <w:numId w:val="1010"/>
        </w:numPr>
        <w:pStyle w:val="Compact"/>
      </w:pPr>
      <w:r>
        <w:t xml:space="preserve">English: fluent professional proficiency</w:t>
      </w:r>
    </w:p>
    <w:p>
      <w:pPr>
        <w:numPr>
          <w:ilvl w:val="0"/>
          <w:numId w:val="1010"/>
        </w:numPr>
        <w:pStyle w:val="Compact"/>
      </w:pPr>
      <w:r>
        <w:t xml:space="preserve">German: notions</w:t>
      </w:r>
    </w:p>
    <w:bookmarkEnd w:id="38"/>
    <w:bookmarkStart w:id="39" w:name="publications-and-speaking"/>
    <w:p>
      <w:pPr>
        <w:pStyle w:val="Heading2"/>
      </w:pPr>
      <w:r>
        <w:t xml:space="preserve">Publications and speaking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Architecture of a Public Transport Supervision System Using Hybridization Models Based on Real and Predictive Data</w:t>
      </w:r>
      <w:r>
        <w:t xml:space="preserve">, IEEE / DSD 2020, pp. 440-446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Disruption Impact on the Offer and Demand on the Public Transport Network in Paris</w:t>
      </w:r>
    </w:p>
    <w:p>
      <w:pPr>
        <w:numPr>
          <w:ilvl w:val="0"/>
          <w:numId w:val="1011"/>
        </w:numPr>
        <w:pStyle w:val="Compact"/>
      </w:pPr>
      <w:r>
        <w:t xml:space="preserve">Big Data Paris 2018, speaker:</w:t>
      </w:r>
      <w:r>
        <w:t xml:space="preserve"> </w:t>
      </w:r>
      <w:r>
        <w:t xml:space="preserve">“</w:t>
      </w:r>
      <w:r>
        <w:t xml:space="preserve">We can tell you by what external context your sales are influenced</w:t>
      </w:r>
      <w:r>
        <w:t xml:space="preserve">”</w:t>
      </w:r>
    </w:p>
    <w:bookmarkEnd w:id="39"/>
    <w:bookmarkStart w:id="40" w:name="training-delivered"/>
    <w:p>
      <w:pPr>
        <w:pStyle w:val="Heading2"/>
      </w:pPr>
      <w:r>
        <w:t xml:space="preserve">Training delivered</w:t>
      </w:r>
    </w:p>
    <w:p>
      <w:pPr>
        <w:pStyle w:val="FirstParagraph"/>
      </w:pPr>
      <w:r>
        <w:t xml:space="preserve">Advanced Python for Machine Learning (SQLI Institute, 2019) · Datalab (Saagie, 2019) · SQL for Data Science (Fitec, 2018) · ELK (Fitec, 2017) · Kafka (Air4Data / SQLI Institute, 2017) · DataViz, Tableau and Power BI (SQLI Institute, 2017)</w:t>
      </w:r>
    </w:p>
    <w:bookmarkEnd w:id="40"/>
    <w:sectPr w:rsidR="00FC693F" w:rsidRPr="0006063C" w:rsidSect="00034616">
      <w:pgSz w:h="15840" w:w="12240"/>
      <w:pgMar w:bottom="850" w:footer="720" w:gutter="0" w:header="720" w:left="1020" w:right="1020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60"/>
      <w:outlineLvl w:val="0"/>
    </w:pPr>
    <w:rPr>
      <w:rFonts w:ascii="Calibri" w:asciiTheme="majorHAnsi" w:cstheme="majorBidi" w:eastAsiaTheme="majorEastAsia" w:hAnsi="Calibri" w:hAnsiTheme="majorHAnsi"/>
      <w:b/>
      <w:bCs/>
      <w:caps/>
      <w:color w:val="0D364A"/>
      <w:sz w:val="2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80"/>
      <w:outlineLvl w:val="1"/>
    </w:pPr>
    <w:rPr>
      <w:rFonts w:ascii="Calibri" w:asciiTheme="majorHAnsi" w:cstheme="majorBidi" w:eastAsiaTheme="majorEastAsia" w:hAnsi="Calibri" w:hAnsiTheme="majorHAnsi"/>
      <w:b/>
      <w:bCs/>
      <w:caps w:val="0"/>
      <w:color w:val="2B4C5E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0" w:before="140"/>
      <w:outlineLvl w:val="2"/>
    </w:pPr>
    <w:rPr>
      <w:rFonts w:ascii="Calibri" w:asciiTheme="majorHAnsi" w:cstheme="majorBidi" w:eastAsiaTheme="majorEastAsia" w:hAnsi="Calibri" w:hAnsiTheme="majorHAnsi"/>
      <w:b/>
      <w:bCs/>
      <w:caps w:val="0"/>
      <w:color w:val="445A68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40" w:before="0" w:line="240" w:lineRule="auto"/>
      <w:contextualSpacing/>
    </w:pPr>
    <w:rPr>
      <w:rFonts w:ascii="Calibri" w:asciiTheme="majorHAnsi" w:cstheme="majorBidi" w:eastAsiaTheme="majorEastAsia" w:hAnsi="Calibri" w:hAnsiTheme="majorHAnsi"/>
      <w:b/>
      <w:caps w:val="0"/>
      <w:color w:val="0D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asciiTheme="majorHAnsi" w:cstheme="majorBidi" w:eastAsiaTheme="majorEastAsia" w:hAnsi="Calibri" w:hAnsiTheme="majorHAnsi"/>
      <w:b w:val="0"/>
      <w:i/>
      <w:iCs/>
      <w:color w:val="4A5A66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HAKIM AREZKI, PhD</dc:title>
  <dc:creator>AI &amp; GENERATIVE AI ARCHITECT — LLM, RAG AND AGENTS</dc:creator>
  <cp:keywords/>
  <dcterms:created xsi:type="dcterms:W3CDTF">2026-09-03T19:21:10Z</dcterms:created>
  <dcterms:modified xsi:type="dcterms:W3CDTF">2026-09-03T19:21:10Z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