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b w:val="1"/>
          <w:sz w:val="28"/>
          <w:szCs w:val="28"/>
          <w:rtl w:val="0"/>
        </w:rPr>
        <w:t xml:space="preserve">Project 3 - Concordance of microarray and RNA-Seq differential gene expression</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Group Members:</w:t>
      </w:r>
    </w:p>
    <w:p w:rsidR="00000000" w:rsidDel="00000000" w:rsidP="00000000" w:rsidRDefault="00000000" w:rsidRPr="00000000" w14:paraId="00000003">
      <w:pPr>
        <w:spacing w:after="240" w:before="240" w:lineRule="auto"/>
        <w:rPr/>
      </w:pPr>
      <w:r w:rsidDel="00000000" w:rsidR="00000000" w:rsidRPr="00000000">
        <w:rPr>
          <w:rtl w:val="0"/>
        </w:rPr>
        <w:t xml:space="preserve">Jinghan Huang (Data Curator)</w:t>
      </w:r>
    </w:p>
    <w:p w:rsidR="00000000" w:rsidDel="00000000" w:rsidP="00000000" w:rsidRDefault="00000000" w:rsidRPr="00000000" w14:paraId="00000004">
      <w:pPr>
        <w:spacing w:after="240" w:before="240" w:lineRule="auto"/>
        <w:rPr/>
      </w:pPr>
      <w:r w:rsidDel="00000000" w:rsidR="00000000" w:rsidRPr="00000000">
        <w:rPr>
          <w:rtl w:val="0"/>
        </w:rPr>
        <w:t xml:space="preserve">Jiaming Zhang (Programmer)</w:t>
      </w:r>
    </w:p>
    <w:p w:rsidR="00000000" w:rsidDel="00000000" w:rsidP="00000000" w:rsidRDefault="00000000" w:rsidRPr="00000000" w14:paraId="00000005">
      <w:pPr>
        <w:spacing w:after="240" w:before="240" w:lineRule="auto"/>
        <w:rPr/>
      </w:pPr>
      <w:r w:rsidDel="00000000" w:rsidR="00000000" w:rsidRPr="00000000">
        <w:rPr>
          <w:rtl w:val="0"/>
        </w:rPr>
        <w:t xml:space="preserve">Mikhail Kouzminov (Analyst)</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TA:</w:t>
      </w:r>
    </w:p>
    <w:p w:rsidR="00000000" w:rsidDel="00000000" w:rsidP="00000000" w:rsidRDefault="00000000" w:rsidRPr="00000000" w14:paraId="00000007">
      <w:pPr>
        <w:spacing w:after="240" w:before="240" w:lineRule="auto"/>
        <w:rPr/>
      </w:pPr>
      <w:r w:rsidDel="00000000" w:rsidR="00000000" w:rsidRPr="00000000">
        <w:rPr>
          <w:rtl w:val="0"/>
        </w:rPr>
        <w:t xml:space="preserve">Kritika Karri</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The original paper, ‘A comprehensive study design reveals treatment- and transcript abundance–dependent concordance between RNA-seq and microarray data’ [1], presented the comparison between two popular techniques for measuring mRNA abundance: microarray and RNA-seq. The goal of this study was to verify the concordance between RNA-seq and microarray data so that the level of the confidence of the results could be more accurately assessed. The author generated the data from the same set of rat liver samples which were treated with different toxicological chemicals representing the different modes of action (MOA) [1]. Since the differentially expressed genes (DEGs) were highly affected by the biological complexity of the MOA, the DEGs had been identified and the performance of the predictive models had been assessed to evaluate the differences and similarities between these two techniques. For the bioinformatics techniques, six bioinformatics pipelines had been used to process the raw RNA-seq data in the upstream analysis, and then three methods (limma, edgeR and DESeq) had been applied for identifying DEGs in downstream analysis. RMA and Microarray Analysis suite had been used for microarray data.</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In this project, we are going to reproduce parts of the results in this paper, including Figure 2a and Figure 3b,c, which showed the between-platform concordance of DEGs against the number of DEGs identified by RNA-seq, and the concordance level related to highly/low expressed DEGs for each toxic group.  The toxic group we selected is toxic group 3, which included Leflunomide, Fluconazole and Ifosfamide.</w:t>
      </w:r>
    </w:p>
    <w:p w:rsidR="00000000" w:rsidDel="00000000" w:rsidP="00000000" w:rsidRDefault="00000000" w:rsidRPr="00000000" w14:paraId="0000000C">
      <w:pPr>
        <w:spacing w:after="240" w:before="240" w:lineRule="auto"/>
        <w:rPr>
          <w:b w:val="1"/>
          <w:sz w:val="24"/>
          <w:szCs w:val="24"/>
        </w:rPr>
      </w:pPr>
      <w:r w:rsidDel="00000000" w:rsidR="00000000" w:rsidRPr="00000000">
        <w:rPr>
          <w:b w:val="1"/>
          <w:sz w:val="24"/>
          <w:szCs w:val="24"/>
          <w:rtl w:val="0"/>
        </w:rPr>
        <w:t xml:space="preserve">Data</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Data Description</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The data was obtained from male Sprague Dawley rats treated with 27 different chemicals and then the RNA was isolated from their livers. The samples had been divided into a training set and test set. In the training set, there were 45 treated rats and 18 controls in total. There were 15 chemicals with 3 rats per chemical. While for the test set, there were 36 treated rats and 6 controls in total and therefore 12 chemicals with 3 rats per chemical. The Affymetrix microarrays and Illumina HiScanSQ and Hiseq2000 systems had been applied to process these samples.</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The average number of reads for the 9 samples we selected was about 16833935. These pair end reads were all 100bp long. The raw data could be accessed from GEO, NCBI with accession SRP039021 [2], GSE55347 [3] and GSE47875 [4], which were sequenced from rat livers. The samples we processed were SRR1178008, SRR1178009, SRR1178010, SRR1178014, SRR1178021, SRR1178047, SRR1177981, SRR1177982, SRR1177983, SRR1178050, SRR1178061, SRR1178063, SRR1178004, SRR1178006 and SRR1178013 from toxic group 3 that included Leflunomide, Fluconazole and Ifosfamide. These samples were then aligned using STAR and the quality control had also been conducted using fastqc and multiqc software.</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Data quality control</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The quality of the data was assessed by fastqc and multiqc software. In each section of fastqc and multiqc report, there was a standard for acceptable quality. The following table and figures were the results created from multiqc. There wasn’t any sample removed from our dataset, though some of them did not meet the standard of some quality control metrics. The details were shown below.</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1.0566615620214"/>
        <w:gridCol w:w="1290.0459418070443"/>
        <w:gridCol w:w="1290.0459418070443"/>
        <w:gridCol w:w="1232.7105666156203"/>
        <w:gridCol w:w="1247.0444104134763"/>
        <w:gridCol w:w="1247.0444104134763"/>
        <w:gridCol w:w="1462.0520673813169"/>
        <w:tblGridChange w:id="0">
          <w:tblGrid>
            <w:gridCol w:w="1591.0566615620214"/>
            <w:gridCol w:w="1290.0459418070443"/>
            <w:gridCol w:w="1290.0459418070443"/>
            <w:gridCol w:w="1232.7105666156203"/>
            <w:gridCol w:w="1247.0444104134763"/>
            <w:gridCol w:w="1247.0444104134763"/>
            <w:gridCol w:w="1462.0520673813169"/>
          </w:tblGrid>
        </w:tblGridChange>
      </w:tblGrid>
      <w:tr>
        <w:trPr>
          <w:trHeight w:val="22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Sample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Total reads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Number of uniquely mapped reads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 of uniquely mapped reads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Number of multi-mapping reads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 of multi-mapping reads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 of reads unmapped</w:t>
            </w:r>
          </w:p>
        </w:tc>
      </w:tr>
      <w:tr>
        <w:trPr>
          <w:trHeight w:val="10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pPr>
            <w:r w:rsidDel="00000000" w:rsidR="00000000" w:rsidRPr="00000000">
              <w:rPr>
                <w:rtl w:val="0"/>
              </w:rPr>
              <w:t xml:space="preserve">SRR1177981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pPr>
            <w:r w:rsidDel="00000000" w:rsidR="00000000" w:rsidRPr="00000000">
              <w:rPr>
                <w:rtl w:val="0"/>
              </w:rPr>
              <w:t xml:space="preserve">14229351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pPr>
            <w:r w:rsidDel="00000000" w:rsidR="00000000" w:rsidRPr="00000000">
              <w:rPr>
                <w:rtl w:val="0"/>
              </w:rPr>
              <w:t xml:space="preserve">11410110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pPr>
            <w:r w:rsidDel="00000000" w:rsidR="00000000" w:rsidRPr="00000000">
              <w:rPr>
                <w:rtl w:val="0"/>
              </w:rPr>
              <w:t xml:space="preserve">80.19%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pPr>
            <w:r w:rsidDel="00000000" w:rsidR="00000000" w:rsidRPr="00000000">
              <w:rPr>
                <w:rtl w:val="0"/>
              </w:rPr>
              <w:t xml:space="preserve">537573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pPr>
            <w:r w:rsidDel="00000000" w:rsidR="00000000" w:rsidRPr="00000000">
              <w:rPr>
                <w:rtl w:val="0"/>
              </w:rPr>
              <w:t xml:space="preserve">3.78%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pPr>
            <w:r w:rsidDel="00000000" w:rsidR="00000000" w:rsidRPr="00000000">
              <w:rPr>
                <w:rtl w:val="0"/>
              </w:rPr>
              <w:t xml:space="preserve">15.91%</w:t>
            </w:r>
          </w:p>
        </w:tc>
      </w:tr>
      <w:tr>
        <w:trPr>
          <w:trHeight w:val="10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t xml:space="preserve">SRR1177982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17168681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14390023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t xml:space="preserve">83.82%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630047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rtl w:val="0"/>
              </w:rPr>
              <w:t xml:space="preserve">3.67%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t xml:space="preserve">12.35%</w:t>
            </w:r>
          </w:p>
        </w:tc>
      </w:tr>
      <w:tr>
        <w:trPr>
          <w:trHeight w:val="10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pPr>
            <w:r w:rsidDel="00000000" w:rsidR="00000000" w:rsidRPr="00000000">
              <w:rPr>
                <w:rtl w:val="0"/>
              </w:rPr>
              <w:t xml:space="preserve">SRR1177983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16152281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12859278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79.61%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568705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pPr>
            <w:r w:rsidDel="00000000" w:rsidR="00000000" w:rsidRPr="00000000">
              <w:rPr>
                <w:rtl w:val="0"/>
              </w:rPr>
              <w:t xml:space="preserve">3.52%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pPr>
            <w:r w:rsidDel="00000000" w:rsidR="00000000" w:rsidRPr="00000000">
              <w:rPr>
                <w:rtl w:val="0"/>
              </w:rPr>
              <w:t xml:space="preserve">16.72%</w:t>
            </w:r>
          </w:p>
        </w:tc>
      </w:tr>
      <w:tr>
        <w:trPr>
          <w:trHeight w:val="10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pPr>
            <w:r w:rsidDel="00000000" w:rsidR="00000000" w:rsidRPr="00000000">
              <w:rPr>
                <w:rtl w:val="0"/>
              </w:rPr>
              <w:t xml:space="preserve">SRR1178008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pPr>
            <w:r w:rsidDel="00000000" w:rsidR="00000000" w:rsidRPr="00000000">
              <w:rPr>
                <w:rtl w:val="0"/>
              </w:rPr>
              <w:t xml:space="preserve">15156072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pPr>
            <w:r w:rsidDel="00000000" w:rsidR="00000000" w:rsidRPr="00000000">
              <w:rPr>
                <w:rtl w:val="0"/>
              </w:rPr>
              <w:t xml:space="preserve">13348761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pPr>
            <w:r w:rsidDel="00000000" w:rsidR="00000000" w:rsidRPr="00000000">
              <w:rPr>
                <w:rtl w:val="0"/>
              </w:rPr>
              <w:t xml:space="preserve">88.08%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pPr>
            <w:r w:rsidDel="00000000" w:rsidR="00000000" w:rsidRPr="00000000">
              <w:rPr>
                <w:rtl w:val="0"/>
              </w:rPr>
              <w:t xml:space="preserve">533695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pPr>
            <w:r w:rsidDel="00000000" w:rsidR="00000000" w:rsidRPr="00000000">
              <w:rPr>
                <w:rtl w:val="0"/>
              </w:rPr>
              <w:t xml:space="preserve">3.52%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pPr>
            <w:r w:rsidDel="00000000" w:rsidR="00000000" w:rsidRPr="00000000">
              <w:rPr>
                <w:rtl w:val="0"/>
              </w:rPr>
              <w:t xml:space="preserve">8.16%</w:t>
            </w:r>
          </w:p>
        </w:tc>
      </w:tr>
      <w:tr>
        <w:trPr>
          <w:trHeight w:val="10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pPr>
            <w:r w:rsidDel="00000000" w:rsidR="00000000" w:rsidRPr="00000000">
              <w:rPr>
                <w:rtl w:val="0"/>
              </w:rPr>
              <w:t xml:space="preserve">SRR1178009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pPr>
            <w:r w:rsidDel="00000000" w:rsidR="00000000" w:rsidRPr="00000000">
              <w:rPr>
                <w:rtl w:val="0"/>
              </w:rPr>
              <w:t xml:space="preserve">18110504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pPr>
            <w:r w:rsidDel="00000000" w:rsidR="00000000" w:rsidRPr="00000000">
              <w:rPr>
                <w:rtl w:val="0"/>
              </w:rPr>
              <w:t xml:space="preserve">16315003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pPr>
            <w:r w:rsidDel="00000000" w:rsidR="00000000" w:rsidRPr="00000000">
              <w:rPr>
                <w:rtl w:val="0"/>
              </w:rPr>
              <w:t xml:space="preserve">90.09%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pPr>
            <w:r w:rsidDel="00000000" w:rsidR="00000000" w:rsidRPr="00000000">
              <w:rPr>
                <w:rtl w:val="0"/>
              </w:rPr>
              <w:t xml:space="preserve">460617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pPr>
            <w:r w:rsidDel="00000000" w:rsidR="00000000" w:rsidRPr="00000000">
              <w:rPr>
                <w:rtl w:val="0"/>
              </w:rPr>
              <w:t xml:space="preserve">2.54%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t xml:space="preserve">7.22%</w:t>
            </w:r>
          </w:p>
        </w:tc>
      </w:tr>
      <w:tr>
        <w:trPr>
          <w:trHeight w:val="10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rtl w:val="0"/>
              </w:rPr>
              <w:t xml:space="preserve">SRR1178010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pPr>
            <w:r w:rsidDel="00000000" w:rsidR="00000000" w:rsidRPr="00000000">
              <w:rPr>
                <w:rtl w:val="0"/>
              </w:rPr>
              <w:t xml:space="preserve">18572519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pPr>
            <w:r w:rsidDel="00000000" w:rsidR="00000000" w:rsidRPr="00000000">
              <w:rPr>
                <w:rtl w:val="0"/>
              </w:rPr>
              <w:t xml:space="preserve">16832537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pPr>
            <w:r w:rsidDel="00000000" w:rsidR="00000000" w:rsidRPr="00000000">
              <w:rPr>
                <w:rtl w:val="0"/>
              </w:rPr>
              <w:t xml:space="preserve">90.63%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pPr>
            <w:r w:rsidDel="00000000" w:rsidR="00000000" w:rsidRPr="00000000">
              <w:rPr>
                <w:rtl w:val="0"/>
              </w:rPr>
              <w:t xml:space="preserve">505301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pPr>
            <w:r w:rsidDel="00000000" w:rsidR="00000000" w:rsidRPr="00000000">
              <w:rPr>
                <w:rtl w:val="0"/>
              </w:rPr>
              <w:t xml:space="preserve">2.72%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pPr>
            <w:r w:rsidDel="00000000" w:rsidR="00000000" w:rsidRPr="00000000">
              <w:rPr>
                <w:rtl w:val="0"/>
              </w:rPr>
              <w:t xml:space="preserve">6.50%</w:t>
            </w:r>
          </w:p>
        </w:tc>
      </w:tr>
      <w:tr>
        <w:trPr>
          <w:trHeight w:val="10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pPr>
            <w:r w:rsidDel="00000000" w:rsidR="00000000" w:rsidRPr="00000000">
              <w:rPr>
                <w:rtl w:val="0"/>
              </w:rPr>
              <w:t xml:space="preserve">SRR1178014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pPr>
            <w:r w:rsidDel="00000000" w:rsidR="00000000" w:rsidRPr="00000000">
              <w:rPr>
                <w:rtl w:val="0"/>
              </w:rPr>
              <w:t xml:space="preserve">17524782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pPr>
            <w:r w:rsidDel="00000000" w:rsidR="00000000" w:rsidRPr="00000000">
              <w:rPr>
                <w:rtl w:val="0"/>
              </w:rPr>
              <w:t xml:space="preserve">14637080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pPr>
            <w:r w:rsidDel="00000000" w:rsidR="00000000" w:rsidRPr="00000000">
              <w:rPr>
                <w:rtl w:val="0"/>
              </w:rPr>
              <w:t xml:space="preserve">83.52%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pPr>
            <w:r w:rsidDel="00000000" w:rsidR="00000000" w:rsidRPr="00000000">
              <w:rPr>
                <w:rtl w:val="0"/>
              </w:rPr>
              <w:t xml:space="preserve">1151194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pPr>
            <w:r w:rsidDel="00000000" w:rsidR="00000000" w:rsidRPr="00000000">
              <w:rPr>
                <w:rtl w:val="0"/>
              </w:rPr>
              <w:t xml:space="preserve">6.57%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pPr>
            <w:r w:rsidDel="00000000" w:rsidR="00000000" w:rsidRPr="00000000">
              <w:rPr>
                <w:rtl w:val="0"/>
              </w:rPr>
              <w:t xml:space="preserve">9.41%</w:t>
            </w:r>
          </w:p>
        </w:tc>
      </w:tr>
      <w:tr>
        <w:trPr>
          <w:trHeight w:val="10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pPr>
            <w:r w:rsidDel="00000000" w:rsidR="00000000" w:rsidRPr="00000000">
              <w:rPr>
                <w:rtl w:val="0"/>
              </w:rPr>
              <w:t xml:space="preserve">SRR1178021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pPr>
            <w:r w:rsidDel="00000000" w:rsidR="00000000" w:rsidRPr="00000000">
              <w:rPr>
                <w:rtl w:val="0"/>
              </w:rPr>
              <w:t xml:space="preserve">17497925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rtl w:val="0"/>
              </w:rPr>
              <w:t xml:space="preserve">14340044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pPr>
            <w:r w:rsidDel="00000000" w:rsidR="00000000" w:rsidRPr="00000000">
              <w:rPr>
                <w:rtl w:val="0"/>
              </w:rPr>
              <w:t xml:space="preserve">81.95%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pPr>
            <w:r w:rsidDel="00000000" w:rsidR="00000000" w:rsidRPr="00000000">
              <w:rPr>
                <w:rtl w:val="0"/>
              </w:rPr>
              <w:t xml:space="preserve">1008867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5.77%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11.98%</w:t>
            </w:r>
          </w:p>
        </w:tc>
      </w:tr>
      <w:tr>
        <w:trPr>
          <w:trHeight w:val="10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pPr>
            <w:r w:rsidDel="00000000" w:rsidR="00000000" w:rsidRPr="00000000">
              <w:rPr>
                <w:rtl w:val="0"/>
              </w:rPr>
              <w:t xml:space="preserve">SRR1178047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t xml:space="preserve">17093302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pPr>
            <w:r w:rsidDel="00000000" w:rsidR="00000000" w:rsidRPr="00000000">
              <w:rPr>
                <w:rtl w:val="0"/>
              </w:rPr>
              <w:t xml:space="preserve">14355442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pPr>
            <w:r w:rsidDel="00000000" w:rsidR="00000000" w:rsidRPr="00000000">
              <w:rPr>
                <w:rtl w:val="0"/>
              </w:rPr>
              <w:t xml:space="preserve">83.98%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pPr>
            <w:r w:rsidDel="00000000" w:rsidR="00000000" w:rsidRPr="00000000">
              <w:rPr>
                <w:rtl w:val="0"/>
              </w:rPr>
              <w:t xml:space="preserve">999412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pPr>
            <w:r w:rsidDel="00000000" w:rsidR="00000000" w:rsidRPr="00000000">
              <w:rPr>
                <w:rtl w:val="0"/>
              </w:rPr>
              <w:t xml:space="preserve">5.85%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pPr>
            <w:r w:rsidDel="00000000" w:rsidR="00000000" w:rsidRPr="00000000">
              <w:rPr>
                <w:rtl w:val="0"/>
              </w:rPr>
              <w:t xml:space="preserve">9.73%</w:t>
            </w:r>
          </w:p>
        </w:tc>
      </w:tr>
    </w:tbl>
    <w:p w:rsidR="00000000" w:rsidDel="00000000" w:rsidP="00000000" w:rsidRDefault="00000000" w:rsidRPr="00000000" w14:paraId="00000058">
      <w:pPr>
        <w:jc w:val="center"/>
        <w:rPr>
          <w:b w:val="1"/>
          <w:sz w:val="20"/>
          <w:szCs w:val="20"/>
        </w:rPr>
      </w:pPr>
      <w:r w:rsidDel="00000000" w:rsidR="00000000" w:rsidRPr="00000000">
        <w:rPr>
          <w:b w:val="1"/>
          <w:sz w:val="20"/>
          <w:szCs w:val="20"/>
          <w:rtl w:val="0"/>
        </w:rPr>
        <w:t xml:space="preserve">Table.1 STAR alignment statisticsTable.1 STAR alignment statistics of total reads, uniquely mapped reads, multi-mapping reads and unmapped reads for the 9 samples</w:t>
      </w:r>
    </w:p>
    <w:p w:rsidR="00000000" w:rsidDel="00000000" w:rsidP="00000000" w:rsidRDefault="00000000" w:rsidRPr="00000000" w14:paraId="00000059">
      <w:pPr>
        <w:jc w:val="center"/>
        <w:rPr>
          <w:b w:val="1"/>
          <w:sz w:val="20"/>
          <w:szCs w:val="20"/>
        </w:rPr>
      </w:pPr>
      <w:r w:rsidDel="00000000" w:rsidR="00000000" w:rsidRPr="00000000">
        <w:rPr>
          <w:rtl w:val="0"/>
        </w:rPr>
      </w:r>
    </w:p>
    <w:p w:rsidR="00000000" w:rsidDel="00000000" w:rsidP="00000000" w:rsidRDefault="00000000" w:rsidRPr="00000000" w14:paraId="0000005A">
      <w:pPr>
        <w:jc w:val="center"/>
        <w:rPr>
          <w:b w:val="1"/>
          <w:sz w:val="20"/>
          <w:szCs w:val="20"/>
        </w:rPr>
      </w:pPr>
      <w:r w:rsidDel="00000000" w:rsidR="00000000" w:rsidRPr="00000000">
        <w:rPr>
          <w:b w:val="1"/>
          <w:sz w:val="20"/>
          <w:szCs w:val="20"/>
        </w:rPr>
        <w:drawing>
          <wp:inline distB="114300" distT="114300" distL="114300" distR="114300">
            <wp:extent cx="4019550" cy="26860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1955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center"/>
        <w:rPr>
          <w:b w:val="1"/>
          <w:sz w:val="20"/>
          <w:szCs w:val="20"/>
        </w:rPr>
      </w:pPr>
      <w:r w:rsidDel="00000000" w:rsidR="00000000" w:rsidRPr="00000000">
        <w:rPr>
          <w:b w:val="1"/>
          <w:sz w:val="20"/>
          <w:szCs w:val="20"/>
          <w:rtl w:val="0"/>
        </w:rPr>
        <w:t xml:space="preserve">Fig.1 STAR alignment percentage of numbers of uniquely mapped reads, multi-mapping reads and unmapped reads for the 9 samples</w:t>
      </w:r>
    </w:p>
    <w:p w:rsidR="00000000" w:rsidDel="00000000" w:rsidP="00000000" w:rsidRDefault="00000000" w:rsidRPr="00000000" w14:paraId="0000005C">
      <w:pPr>
        <w:rPr>
          <w:b w:val="1"/>
          <w:sz w:val="20"/>
          <w:szCs w:val="20"/>
        </w:rPr>
      </w:pPr>
      <w:r w:rsidDel="00000000" w:rsidR="00000000" w:rsidRPr="00000000">
        <w:rPr>
          <w:rtl w:val="0"/>
        </w:rPr>
      </w:r>
    </w:p>
    <w:p w:rsidR="00000000" w:rsidDel="00000000" w:rsidP="00000000" w:rsidRDefault="00000000" w:rsidRPr="00000000" w14:paraId="0000005D">
      <w:pPr>
        <w:spacing w:after="240" w:before="240" w:lineRule="auto"/>
        <w:jc w:val="both"/>
        <w:rPr/>
      </w:pPr>
      <w:r w:rsidDel="00000000" w:rsidR="00000000" w:rsidRPr="00000000">
        <w:rPr>
          <w:rtl w:val="0"/>
        </w:rPr>
        <w:t xml:space="preserve">The alignment statistics (Table.1) and the percentage bar chart for the statistics (Fig.1) were shown above. The average number of the total reads for the 9 samples was around 16833935. Among these reads, there were about 80%-90% of them successfully uniquely mapped to the genome. There were only 2%-6% of the reads multi-mapped and 6%-16% of the reads unmapped, which could be treated as acceptable quality. </w:t>
      </w:r>
    </w:p>
    <w:p w:rsidR="00000000" w:rsidDel="00000000" w:rsidP="00000000" w:rsidRDefault="00000000" w:rsidRPr="00000000" w14:paraId="0000005E">
      <w:pPr>
        <w:spacing w:after="240" w:before="240" w:lineRule="auto"/>
        <w:jc w:val="both"/>
        <w:rPr/>
      </w:pPr>
      <w:r w:rsidDel="00000000" w:rsidR="00000000" w:rsidRPr="00000000">
        <w:rPr>
          <w:rtl w:val="0"/>
        </w:rPr>
      </w:r>
    </w:p>
    <w:p w:rsidR="00000000" w:rsidDel="00000000" w:rsidP="00000000" w:rsidRDefault="00000000" w:rsidRPr="00000000" w14:paraId="0000005F">
      <w:pPr>
        <w:spacing w:after="240" w:before="240" w:lineRule="auto"/>
        <w:jc w:val="center"/>
        <w:rPr/>
      </w:pPr>
      <w:r w:rsidDel="00000000" w:rsidR="00000000" w:rsidRPr="00000000">
        <w:rPr/>
        <w:drawing>
          <wp:inline distB="114300" distT="114300" distL="114300" distR="114300">
            <wp:extent cx="4007644" cy="2671763"/>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007644" cy="267176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40" w:before="240" w:lineRule="auto"/>
        <w:jc w:val="center"/>
        <w:rPr>
          <w:b w:val="1"/>
          <w:sz w:val="20"/>
          <w:szCs w:val="20"/>
        </w:rPr>
      </w:pPr>
      <w:r w:rsidDel="00000000" w:rsidR="00000000" w:rsidRPr="00000000">
        <w:rPr>
          <w:b w:val="1"/>
          <w:sz w:val="20"/>
          <w:szCs w:val="20"/>
          <w:rtl w:val="0"/>
        </w:rPr>
        <w:t xml:space="preserve">Fig.2 MultiQC report: FastQC—quality scores across all bases</w:t>
      </w:r>
    </w:p>
    <w:p w:rsidR="00000000" w:rsidDel="00000000" w:rsidP="00000000" w:rsidRDefault="00000000" w:rsidRPr="00000000" w14:paraId="00000061">
      <w:pPr>
        <w:spacing w:after="240" w:before="240" w:lineRule="auto"/>
        <w:jc w:val="both"/>
        <w:rPr/>
      </w:pPr>
      <w:r w:rsidDel="00000000" w:rsidR="00000000" w:rsidRPr="00000000">
        <w:rPr>
          <w:rtl w:val="0"/>
        </w:rPr>
        <w:t xml:space="preserve">The ‘per base sequence quality’ which showed the quality scores across all bases for the 9 samples (18 fastq files) was shown above (Fig.2). In this part, among the 18 fastq files, only 3 of them passed the quality test. There were 15 of them raising failures. From Fig.2, for most of the samples, the qualities of the bases were good until ~70bp (higher than 30). However, they were not satisfactory after 90bp and dropped below 20 at the end of the reads. The reason for these failures could be concluded that in general sequencing, chemistry degraded with increasing read length and for long runs the base quality would decrease to a level that would result in a failure [5]. One possible solution is to perform quality trimming where reads are truncated based on their average quality. Here the last 10 bp could be trimmed. However, we did not remove these data or perform any further steps to improve their qualities. On one hand, the author of the original paper did not mention if they performed any trimming step, though they did mention that they had used Fastqc for quality control. On the other hand, it was acceptable to see the relatively lower quality at the end of the reads (over 20 around 90bp). As we were aiming to reproduce their results, we kept these data for the following analysis.</w:t>
      </w:r>
    </w:p>
    <w:p w:rsidR="00000000" w:rsidDel="00000000" w:rsidP="00000000" w:rsidRDefault="00000000" w:rsidRPr="00000000" w14:paraId="00000062">
      <w:pPr>
        <w:spacing w:after="240" w:before="240" w:lineRule="auto"/>
        <w:jc w:val="center"/>
        <w:rPr/>
      </w:pPr>
      <w:r w:rsidDel="00000000" w:rsidR="00000000" w:rsidRPr="00000000">
        <w:rPr/>
        <w:drawing>
          <wp:inline distB="114300" distT="114300" distL="114300" distR="114300">
            <wp:extent cx="3807619" cy="2538413"/>
            <wp:effectExtent b="0" l="0" r="0" t="0"/>
            <wp:docPr id="9"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3807619" cy="2538413"/>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240" w:before="240" w:lineRule="auto"/>
        <w:jc w:val="center"/>
        <w:rPr>
          <w:b w:val="1"/>
          <w:sz w:val="20"/>
          <w:szCs w:val="20"/>
        </w:rPr>
      </w:pPr>
      <w:r w:rsidDel="00000000" w:rsidR="00000000" w:rsidRPr="00000000">
        <w:rPr>
          <w:b w:val="1"/>
          <w:sz w:val="20"/>
          <w:szCs w:val="20"/>
          <w:rtl w:val="0"/>
        </w:rPr>
        <w:t xml:space="preserve">Fig.3 MultiQC report: FastQC—per sequence quality scores</w:t>
      </w:r>
    </w:p>
    <w:p w:rsidR="00000000" w:rsidDel="00000000" w:rsidP="00000000" w:rsidRDefault="00000000" w:rsidRPr="00000000" w14:paraId="00000064">
      <w:pPr>
        <w:spacing w:after="240" w:before="240" w:lineRule="auto"/>
        <w:jc w:val="both"/>
        <w:rPr/>
      </w:pPr>
      <w:r w:rsidDel="00000000" w:rsidR="00000000" w:rsidRPr="00000000">
        <w:rPr>
          <w:rtl w:val="0"/>
        </w:rPr>
        <w:t xml:space="preserve">The ‘per sequence quality scores’ which indicated the quality of the subsets of the sequences was shown in Fig.3. In this part, all the samples passed the quality test. From Fig.3, the most frequently average quality was around 36 and there is no other obvious peak or fluctuation, which indicated that a large proportion of the sequences had good average quality. </w:t>
      </w:r>
    </w:p>
    <w:p w:rsidR="00000000" w:rsidDel="00000000" w:rsidP="00000000" w:rsidRDefault="00000000" w:rsidRPr="00000000" w14:paraId="00000065">
      <w:pPr>
        <w:spacing w:after="240" w:before="240" w:lineRule="auto"/>
        <w:jc w:val="center"/>
        <w:rPr/>
      </w:pPr>
      <w:r w:rsidDel="00000000" w:rsidR="00000000" w:rsidRPr="00000000">
        <w:rPr/>
        <w:drawing>
          <wp:inline distB="114300" distT="114300" distL="114300" distR="114300">
            <wp:extent cx="5286375" cy="2314575"/>
            <wp:effectExtent b="0" l="0" r="0" t="0"/>
            <wp:docPr id="26"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528637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40" w:before="240" w:lineRule="auto"/>
        <w:jc w:val="center"/>
        <w:rPr>
          <w:b w:val="1"/>
          <w:sz w:val="20"/>
          <w:szCs w:val="20"/>
        </w:rPr>
      </w:pPr>
      <w:r w:rsidDel="00000000" w:rsidR="00000000" w:rsidRPr="00000000">
        <w:rPr>
          <w:b w:val="1"/>
          <w:sz w:val="20"/>
          <w:szCs w:val="20"/>
          <w:rtl w:val="0"/>
        </w:rPr>
        <w:t xml:space="preserve">Fig.4 MultiQC report: FastQC—Per Base Sequence Content</w:t>
      </w:r>
    </w:p>
    <w:p w:rsidR="00000000" w:rsidDel="00000000" w:rsidP="00000000" w:rsidRDefault="00000000" w:rsidRPr="00000000" w14:paraId="00000067">
      <w:pPr>
        <w:spacing w:after="240" w:before="240" w:lineRule="auto"/>
        <w:jc w:val="both"/>
        <w:rPr/>
      </w:pPr>
      <w:r w:rsidDel="00000000" w:rsidR="00000000" w:rsidRPr="00000000">
        <w:rPr>
          <w:rtl w:val="0"/>
        </w:rPr>
        <w:t xml:space="preserve">The ‘per base sequence content’ which indicated the percentage of four normal DNA bases in each base position was shown in Fig.4. In this part, most of the samples failed the test because an unexpected difference between the four DNA bases was greater than 20% at the start of the reads. From Fig.4, for each sample, there were obvious colors representing the DNA bases shown at the first several bases that indicated their higher percentage. Nevertheless, it was acceptable since nearly all RNA-Seq data will fail this test because of a biased selection of the random primers that would affect around the first 12bp [5]. In this situation, it didn’t represent biased sequences and would not influence the following processing and analysis.  </w:t>
      </w:r>
    </w:p>
    <w:p w:rsidR="00000000" w:rsidDel="00000000" w:rsidP="00000000" w:rsidRDefault="00000000" w:rsidRPr="00000000" w14:paraId="00000068">
      <w:pPr>
        <w:spacing w:after="240" w:before="240" w:lineRule="auto"/>
        <w:jc w:val="center"/>
        <w:rPr/>
      </w:pPr>
      <w:r w:rsidDel="00000000" w:rsidR="00000000" w:rsidRPr="00000000">
        <w:rPr/>
        <w:drawing>
          <wp:inline distB="114300" distT="114300" distL="114300" distR="114300">
            <wp:extent cx="3874102" cy="2586038"/>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874102" cy="258603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40" w:before="240" w:lineRule="auto"/>
        <w:jc w:val="center"/>
        <w:rPr>
          <w:b w:val="1"/>
          <w:sz w:val="20"/>
          <w:szCs w:val="20"/>
        </w:rPr>
      </w:pPr>
      <w:r w:rsidDel="00000000" w:rsidR="00000000" w:rsidRPr="00000000">
        <w:rPr>
          <w:b w:val="1"/>
          <w:sz w:val="20"/>
          <w:szCs w:val="20"/>
          <w:rtl w:val="0"/>
        </w:rPr>
        <w:t xml:space="preserve">Fig.5 MultiQC report: FastQC—Per Sequence GC Content</w:t>
      </w:r>
    </w:p>
    <w:p w:rsidR="00000000" w:rsidDel="00000000" w:rsidP="00000000" w:rsidRDefault="00000000" w:rsidRPr="00000000" w14:paraId="0000006A">
      <w:pPr>
        <w:spacing w:after="240" w:before="240" w:lineRule="auto"/>
        <w:jc w:val="both"/>
        <w:rPr/>
      </w:pPr>
      <w:r w:rsidDel="00000000" w:rsidR="00000000" w:rsidRPr="00000000">
        <w:rPr>
          <w:rtl w:val="0"/>
        </w:rPr>
        <w:t xml:space="preserve">The ‘per sequence GC content’ which indicated the average GC content of reads was shown in Fig.5. In this part, there were some warnings raised because the sum of the deviations from the normal distribution represents more than 15% of the reads [5] but they were still acceptable. </w:t>
      </w:r>
    </w:p>
    <w:p w:rsidR="00000000" w:rsidDel="00000000" w:rsidP="00000000" w:rsidRDefault="00000000" w:rsidRPr="00000000" w14:paraId="0000006B">
      <w:pPr>
        <w:spacing w:after="240" w:before="240" w:lineRule="auto"/>
        <w:jc w:val="center"/>
        <w:rPr/>
      </w:pPr>
      <w:r w:rsidDel="00000000" w:rsidR="00000000" w:rsidRPr="00000000">
        <w:rPr/>
        <w:drawing>
          <wp:inline distB="114300" distT="114300" distL="114300" distR="114300">
            <wp:extent cx="3893344" cy="2595563"/>
            <wp:effectExtent b="0" l="0" r="0" t="0"/>
            <wp:docPr id="1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893344" cy="259556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40" w:before="240" w:lineRule="auto"/>
        <w:jc w:val="center"/>
        <w:rPr>
          <w:b w:val="1"/>
          <w:sz w:val="20"/>
          <w:szCs w:val="20"/>
        </w:rPr>
      </w:pPr>
      <w:r w:rsidDel="00000000" w:rsidR="00000000" w:rsidRPr="00000000">
        <w:rPr>
          <w:b w:val="1"/>
          <w:sz w:val="20"/>
          <w:szCs w:val="20"/>
          <w:rtl w:val="0"/>
        </w:rPr>
        <w:t xml:space="preserve">Fig.6 MultiQC report: FastQC—Per base N Content</w:t>
      </w:r>
    </w:p>
    <w:p w:rsidR="00000000" w:rsidDel="00000000" w:rsidP="00000000" w:rsidRDefault="00000000" w:rsidRPr="00000000" w14:paraId="0000006D">
      <w:pPr>
        <w:spacing w:after="240" w:before="240" w:lineRule="auto"/>
        <w:jc w:val="both"/>
        <w:rPr/>
      </w:pPr>
      <w:r w:rsidDel="00000000" w:rsidR="00000000" w:rsidRPr="00000000">
        <w:rPr>
          <w:rtl w:val="0"/>
        </w:rPr>
        <w:t xml:space="preserve">The ‘per base N content’ which indicated the percentage of ‘N’ at each position was shown in Fig.6. When it was not confident to call any of the four DNA bases, the N would be substituted. In this part, all the samples passed the test and the samples showed very low percent of ‘N’ in each position.  </w:t>
      </w:r>
    </w:p>
    <w:p w:rsidR="00000000" w:rsidDel="00000000" w:rsidP="00000000" w:rsidRDefault="00000000" w:rsidRPr="00000000" w14:paraId="0000006E">
      <w:pPr>
        <w:spacing w:after="240" w:before="240" w:lineRule="auto"/>
        <w:jc w:val="center"/>
        <w:rPr/>
      </w:pPr>
      <w:r w:rsidDel="00000000" w:rsidR="00000000" w:rsidRPr="00000000">
        <w:rPr/>
        <w:drawing>
          <wp:inline distB="114300" distT="114300" distL="114300" distR="114300">
            <wp:extent cx="3833813" cy="2555875"/>
            <wp:effectExtent b="0" l="0" r="0" t="0"/>
            <wp:docPr id="1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833813" cy="25558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Rule="auto"/>
        <w:jc w:val="center"/>
        <w:rPr>
          <w:b w:val="1"/>
          <w:sz w:val="20"/>
          <w:szCs w:val="20"/>
        </w:rPr>
      </w:pPr>
      <w:r w:rsidDel="00000000" w:rsidR="00000000" w:rsidRPr="00000000">
        <w:rPr>
          <w:b w:val="1"/>
          <w:sz w:val="20"/>
          <w:szCs w:val="20"/>
          <w:rtl w:val="0"/>
        </w:rPr>
        <w:t xml:space="preserve">Fig.7 MultiQC report: FastQC—percentage of sequence counts</w:t>
      </w:r>
    </w:p>
    <w:p w:rsidR="00000000" w:rsidDel="00000000" w:rsidP="00000000" w:rsidRDefault="00000000" w:rsidRPr="00000000" w14:paraId="00000070">
      <w:pPr>
        <w:spacing w:after="240" w:before="240" w:lineRule="auto"/>
        <w:jc w:val="center"/>
        <w:rPr/>
      </w:pPr>
      <w:r w:rsidDel="00000000" w:rsidR="00000000" w:rsidRPr="00000000">
        <w:rPr/>
        <w:drawing>
          <wp:inline distB="114300" distT="114300" distL="114300" distR="114300">
            <wp:extent cx="3681413" cy="2460944"/>
            <wp:effectExtent b="0" l="0" r="0" t="0"/>
            <wp:docPr id="12"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3681413" cy="2460944"/>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Rule="auto"/>
        <w:jc w:val="center"/>
        <w:rPr>
          <w:b w:val="1"/>
          <w:sz w:val="20"/>
          <w:szCs w:val="20"/>
        </w:rPr>
      </w:pPr>
      <w:r w:rsidDel="00000000" w:rsidR="00000000" w:rsidRPr="00000000">
        <w:rPr>
          <w:b w:val="1"/>
          <w:sz w:val="20"/>
          <w:szCs w:val="20"/>
          <w:rtl w:val="0"/>
        </w:rPr>
        <w:t xml:space="preserve">Fig.8 MultiQC report: FastQC—sequence duplication levels</w:t>
      </w:r>
    </w:p>
    <w:p w:rsidR="00000000" w:rsidDel="00000000" w:rsidP="00000000" w:rsidRDefault="00000000" w:rsidRPr="00000000" w14:paraId="00000072">
      <w:pPr>
        <w:spacing w:after="240" w:before="240" w:lineRule="auto"/>
        <w:jc w:val="both"/>
        <w:rPr/>
      </w:pPr>
      <w:r w:rsidDel="00000000" w:rsidR="00000000" w:rsidRPr="00000000">
        <w:rPr>
          <w:rtl w:val="0"/>
        </w:rPr>
        <w:t xml:space="preserve">The percentage of unique reads and duplicate reads and the ‘sequence duplication levels’ which indicated the relative number of sequences with different degrees of duplication were shown in Fig.7 and Fig.8. In this part, many of the samples failed the test due to their high duplication levels. However, for RNA-seq data, usually high expressed transcripts would be over-sequenced to obtain the lowly expressed transcript so that the large amounts of duplicates would always happen [5]. It was acceptable for RNA-seq data to have a high duplicated level and we concluded that the data could be used for following analysis.</w:t>
      </w:r>
    </w:p>
    <w:p w:rsidR="00000000" w:rsidDel="00000000" w:rsidP="00000000" w:rsidRDefault="00000000" w:rsidRPr="00000000" w14:paraId="00000073">
      <w:pPr>
        <w:spacing w:after="240" w:before="240" w:lineRule="auto"/>
        <w:jc w:val="center"/>
        <w:rPr/>
      </w:pPr>
      <w:r w:rsidDel="00000000" w:rsidR="00000000" w:rsidRPr="00000000">
        <w:rPr/>
        <w:drawing>
          <wp:inline distB="114300" distT="114300" distL="114300" distR="114300">
            <wp:extent cx="3976688" cy="2651125"/>
            <wp:effectExtent b="0" l="0" r="0" t="0"/>
            <wp:docPr id="24"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3976688" cy="26511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240" w:before="240" w:lineRule="auto"/>
        <w:jc w:val="center"/>
        <w:rPr>
          <w:b w:val="1"/>
          <w:sz w:val="20"/>
          <w:szCs w:val="20"/>
        </w:rPr>
      </w:pPr>
      <w:r w:rsidDel="00000000" w:rsidR="00000000" w:rsidRPr="00000000">
        <w:rPr>
          <w:b w:val="1"/>
          <w:sz w:val="20"/>
          <w:szCs w:val="20"/>
          <w:rtl w:val="0"/>
        </w:rPr>
        <w:t xml:space="preserve">Fig.9 MultiQC report: FastQC—overrepresented sequence</w:t>
      </w:r>
    </w:p>
    <w:p w:rsidR="00000000" w:rsidDel="00000000" w:rsidP="00000000" w:rsidRDefault="00000000" w:rsidRPr="00000000" w14:paraId="00000075">
      <w:pPr>
        <w:spacing w:after="240" w:before="240" w:lineRule="auto"/>
        <w:jc w:val="both"/>
        <w:rPr/>
      </w:pPr>
      <w:r w:rsidDel="00000000" w:rsidR="00000000" w:rsidRPr="00000000">
        <w:rPr>
          <w:rtl w:val="0"/>
        </w:rPr>
        <w:t xml:space="preserve">The ‘overrepresented sequences’ which indicated the percentage of top overrepresented sequence and sum of remaining overrepresented sequences was shown in Fig.9. In this part, there are two failed tests among the samples due to the sequences representing over 1% of total. As mentioned previously, for RNA-seq some high expressed transcripts would be over-sequenced to obtain those lowly expressed transcripts. Therefore, it was common that overrepresented sequences were present and they were acceptable for RNA-seq data.</w:t>
      </w:r>
    </w:p>
    <w:p w:rsidR="00000000" w:rsidDel="00000000" w:rsidP="00000000" w:rsidRDefault="00000000" w:rsidRPr="00000000" w14:paraId="00000076">
      <w:pPr>
        <w:spacing w:after="240" w:before="240" w:lineRule="auto"/>
        <w:jc w:val="center"/>
        <w:rPr/>
      </w:pPr>
      <w:r w:rsidDel="00000000" w:rsidR="00000000" w:rsidRPr="00000000">
        <w:rPr/>
        <w:drawing>
          <wp:inline distB="114300" distT="114300" distL="114300" distR="114300">
            <wp:extent cx="4129088" cy="2752725"/>
            <wp:effectExtent b="0" l="0" r="0" t="0"/>
            <wp:docPr id="27"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4129088"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40" w:before="240" w:lineRule="auto"/>
        <w:jc w:val="center"/>
        <w:rPr>
          <w:b w:val="1"/>
          <w:sz w:val="20"/>
          <w:szCs w:val="20"/>
        </w:rPr>
      </w:pPr>
      <w:r w:rsidDel="00000000" w:rsidR="00000000" w:rsidRPr="00000000">
        <w:rPr>
          <w:b w:val="1"/>
          <w:sz w:val="20"/>
          <w:szCs w:val="20"/>
          <w:rtl w:val="0"/>
        </w:rPr>
        <w:t xml:space="preserve">Fig.10 MultiQC report: FastQC—Adapter content</w:t>
      </w:r>
    </w:p>
    <w:p w:rsidR="00000000" w:rsidDel="00000000" w:rsidP="00000000" w:rsidRDefault="00000000" w:rsidRPr="00000000" w14:paraId="00000078">
      <w:pPr>
        <w:spacing w:after="240" w:before="240" w:lineRule="auto"/>
        <w:jc w:val="both"/>
        <w:rPr/>
      </w:pPr>
      <w:r w:rsidDel="00000000" w:rsidR="00000000" w:rsidRPr="00000000">
        <w:rPr>
          <w:rtl w:val="0"/>
        </w:rPr>
        <w:t xml:space="preserve">The ‘adapter content’ which indicated the cumulative percentage count of the proportion of the adapter sequence at each base position was shown in Fig.10. In this part, all the samples passed the test and there was no adapter sequence present in more than 2% of all reads, which indicated their good quality. </w:t>
      </w:r>
    </w:p>
    <w:p w:rsidR="00000000" w:rsidDel="00000000" w:rsidP="00000000" w:rsidRDefault="00000000" w:rsidRPr="00000000" w14:paraId="00000079">
      <w:pPr>
        <w:spacing w:after="240" w:before="240" w:lineRule="auto"/>
        <w:jc w:val="both"/>
        <w:rPr/>
      </w:pPr>
      <w:r w:rsidDel="00000000" w:rsidR="00000000" w:rsidRPr="00000000">
        <w:rPr>
          <w:rtl w:val="0"/>
        </w:rPr>
      </w:r>
    </w:p>
    <w:p w:rsidR="00000000" w:rsidDel="00000000" w:rsidP="00000000" w:rsidRDefault="00000000" w:rsidRPr="00000000" w14:paraId="0000007A">
      <w:pPr>
        <w:spacing w:after="240" w:before="240" w:lineRule="auto"/>
        <w:jc w:val="both"/>
        <w:rPr>
          <w:b w:val="1"/>
          <w:sz w:val="24"/>
          <w:szCs w:val="24"/>
        </w:rPr>
      </w:pPr>
      <w:r w:rsidDel="00000000" w:rsidR="00000000" w:rsidRPr="00000000">
        <w:rPr>
          <w:b w:val="1"/>
          <w:sz w:val="24"/>
          <w:szCs w:val="24"/>
          <w:rtl w:val="0"/>
        </w:rPr>
        <w:t xml:space="preserve">Methods</w:t>
      </w:r>
    </w:p>
    <w:p w:rsidR="00000000" w:rsidDel="00000000" w:rsidP="00000000" w:rsidRDefault="00000000" w:rsidRPr="00000000" w14:paraId="0000007B">
      <w:pPr>
        <w:spacing w:after="240" w:before="240" w:lineRule="auto"/>
        <w:jc w:val="both"/>
        <w:rPr>
          <w:b w:val="1"/>
        </w:rPr>
      </w:pPr>
      <w:r w:rsidDel="00000000" w:rsidR="00000000" w:rsidRPr="00000000">
        <w:rPr>
          <w:b w:val="1"/>
          <w:rtl w:val="0"/>
        </w:rPr>
        <w:t xml:space="preserve">Quality Control Tools</w:t>
      </w:r>
    </w:p>
    <w:p w:rsidR="00000000" w:rsidDel="00000000" w:rsidP="00000000" w:rsidRDefault="00000000" w:rsidRPr="00000000" w14:paraId="0000007C">
      <w:pPr>
        <w:spacing w:after="240" w:before="240" w:lineRule="auto"/>
        <w:jc w:val="both"/>
        <w:rPr/>
      </w:pPr>
      <w:r w:rsidDel="00000000" w:rsidR="00000000" w:rsidRPr="00000000">
        <w:rPr>
          <w:rtl w:val="0"/>
        </w:rPr>
        <w:t xml:space="preserve">Fastqc/0.11.7 and MultiQC/1.6 had been used for raw data quality control to ensure the good quality of reads. For Fastqc, it provided some analyses that could be used as indices and indicators for the data quality before doing any further analysis [5]. The fastq files were the input and the output was the quality control metrics as html format. For MultiQC [6], it collected information created from multiple bioinformatics software such as Fastqc and STAR (described below) and made them into one single html report. The available information would be put in one directory as input and the output would be one single html report.</w:t>
      </w:r>
    </w:p>
    <w:p w:rsidR="00000000" w:rsidDel="00000000" w:rsidP="00000000" w:rsidRDefault="00000000" w:rsidRPr="00000000" w14:paraId="0000007D">
      <w:pPr>
        <w:spacing w:after="240" w:before="240" w:lineRule="auto"/>
        <w:jc w:val="both"/>
        <w:rPr/>
      </w:pPr>
      <w:r w:rsidDel="00000000" w:rsidR="00000000" w:rsidRPr="00000000">
        <w:rPr>
          <w:b w:val="1"/>
          <w:rtl w:val="0"/>
        </w:rPr>
        <w:t xml:space="preserve">Sample alignment </w:t>
      </w:r>
      <w:r w:rsidDel="00000000" w:rsidR="00000000" w:rsidRPr="00000000">
        <w:rPr>
          <w:rtl w:val="0"/>
        </w:rPr>
        <w:t xml:space="preserve"> </w:t>
      </w:r>
    </w:p>
    <w:p w:rsidR="00000000" w:rsidDel="00000000" w:rsidP="00000000" w:rsidRDefault="00000000" w:rsidRPr="00000000" w14:paraId="0000007E">
      <w:pPr>
        <w:spacing w:after="240" w:before="240" w:lineRule="auto"/>
        <w:jc w:val="both"/>
        <w:rPr/>
      </w:pPr>
      <w:r w:rsidDel="00000000" w:rsidR="00000000" w:rsidRPr="00000000">
        <w:rPr>
          <w:rtl w:val="0"/>
        </w:rPr>
        <w:t xml:space="preserve">Each sample was aligned against the rat genome using STAR/2.6.0c [7]. STAR was an alignment tool spliced RNA-seq data and was based on an alignment algorithm that applied sequential maximum mappable seed search in uncompressed suffix arrays followed by seed clustering and stitching procedure [8]. Running STAR aligner required the genome and index as parameters put in one directory, together with setting the fastq files as input. The other parameters we set include ‘runThreadN’ as 16, ‘readFilesCommand’ as zcat and ‘outSAMtype’ as Bam SortedByCoordinate. This allowed us to obtain the sorted Bam format files instead of Sam format files. Besides, the ‘outFileNamePrefix’ parameter was also specified to obtain a unique name for each sample. The output included the alignment bam files, together with alignment statistics including the information for uniquely mapped reads, multi-mapped reads as well as the unmapped reads.</w:t>
      </w:r>
    </w:p>
    <w:p w:rsidR="00000000" w:rsidDel="00000000" w:rsidP="00000000" w:rsidRDefault="00000000" w:rsidRPr="00000000" w14:paraId="0000007F">
      <w:pPr>
        <w:spacing w:after="240" w:before="240" w:lineRule="auto"/>
        <w:jc w:val="both"/>
        <w:rPr>
          <w:b w:val="1"/>
        </w:rPr>
      </w:pPr>
      <w:r w:rsidDel="00000000" w:rsidR="00000000" w:rsidRPr="00000000">
        <w:rPr>
          <w:b w:val="1"/>
          <w:rtl w:val="0"/>
        </w:rPr>
        <w:t xml:space="preserve">Gene annotation </w:t>
      </w:r>
    </w:p>
    <w:p w:rsidR="00000000" w:rsidDel="00000000" w:rsidP="00000000" w:rsidRDefault="00000000" w:rsidRPr="00000000" w14:paraId="00000080">
      <w:pPr>
        <w:spacing w:after="240" w:before="240" w:lineRule="auto"/>
        <w:jc w:val="both"/>
        <w:rPr/>
      </w:pPr>
      <w:r w:rsidDel="00000000" w:rsidR="00000000" w:rsidRPr="00000000">
        <w:rPr>
          <w:rtl w:val="0"/>
        </w:rPr>
        <w:t xml:space="preserve">The nine samples aligned with STAR are then annotated against a gene annotation gtf file using featureCounts tool from the subread package. A qsub script was submitted on SCC, which ran featureCounts on each aligned sample BAM file against the gene annotation file. The script successfully executed and outuputted nine gene count files for each sample. Subsequent quality check on gene annotation output was performed by multiqc per samplewise. The gene counts were extracted from each featureCounts output file and combined into a single csv file for further analysis. Each samples’ gene counts across the entire annotation gene list was plotted as a boxplot using the combined csv file and R for a quick visual examination of the distribution of the counts. Due to irregular distribution and the large range of the gene counts, log scale of the gene counts were used instead.</w:t>
      </w:r>
    </w:p>
    <w:p w:rsidR="00000000" w:rsidDel="00000000" w:rsidP="00000000" w:rsidRDefault="00000000" w:rsidRPr="00000000" w14:paraId="00000081">
      <w:pPr>
        <w:spacing w:after="240" w:before="240" w:lineRule="auto"/>
        <w:jc w:val="both"/>
        <w:rPr>
          <w:b w:val="1"/>
        </w:rPr>
      </w:pPr>
      <w:r w:rsidDel="00000000" w:rsidR="00000000" w:rsidRPr="00000000">
        <w:rPr>
          <w:b w:val="1"/>
          <w:rtl w:val="0"/>
        </w:rPr>
        <w:t xml:space="preserve">RNA-seq differential expression analysis</w:t>
      </w:r>
    </w:p>
    <w:p w:rsidR="00000000" w:rsidDel="00000000" w:rsidP="00000000" w:rsidRDefault="00000000" w:rsidRPr="00000000" w14:paraId="00000082">
      <w:pPr>
        <w:spacing w:after="240" w:before="240" w:lineRule="auto"/>
        <w:jc w:val="both"/>
        <w:rPr/>
      </w:pPr>
      <w:r w:rsidDel="00000000" w:rsidR="00000000" w:rsidRPr="00000000">
        <w:rPr>
          <w:rtl w:val="0"/>
        </w:rPr>
        <w:t xml:space="preserve">DESeq2 that uses a negative binomial regression was employed to analyze the gene count difference between experimental samples groups and control groups. The samples from toxicological chemicals treatment group three contain three sets of mode of action treatment groups, including chemical targeting AhR, CAR/PXR nuclear receptors, and chemical that causes DNA damage. Depending on the delivery vehicle of the toxins, three sets of samples’ gene counts were compared with the appropriate controls. </w:t>
      </w:r>
      <w:r w:rsidDel="00000000" w:rsidR="00000000" w:rsidRPr="00000000">
        <w:rPr>
          <w:rtl w:val="0"/>
        </w:rPr>
        <w:t xml:space="preserve">DESeq2</w:t>
      </w:r>
      <w:r w:rsidDel="00000000" w:rsidR="00000000" w:rsidRPr="00000000">
        <w:rPr>
          <w:rtl w:val="0"/>
        </w:rPr>
        <w:t xml:space="preserve"> package in R successfully produced 3 sets of output files for each toxin group. The result data frames were then sorted based on the adjusted p value in an ascending order, allowing the most significantly differentially expressed genes after toxin treatment to be examined. The number of genes with adjusted p value lower than 0.05 were counted for each treatment group and the top 10 most significant genes were reported and combined into a new dataframe and subsequently saved as a new csv file. Histograms of significant genes’ fold change for each toxin treatment group were plotted using R. Volcano plots were generated using the ggplot package in R and the most significantly differentially expressed genes in each group were highlighted red.</w:t>
      </w:r>
    </w:p>
    <w:p w:rsidR="00000000" w:rsidDel="00000000" w:rsidP="00000000" w:rsidRDefault="00000000" w:rsidRPr="00000000" w14:paraId="00000083">
      <w:pPr>
        <w:spacing w:after="240" w:before="240" w:lineRule="auto"/>
        <w:jc w:val="both"/>
        <w:rPr/>
      </w:pPr>
      <w:r w:rsidDel="00000000" w:rsidR="00000000" w:rsidRPr="00000000">
        <w:rPr>
          <w:rtl w:val="0"/>
        </w:rPr>
        <w:t xml:space="preserve">LIMMA and Microarray Differential Expression</w:t>
      </w:r>
    </w:p>
    <w:p w:rsidR="00000000" w:rsidDel="00000000" w:rsidP="00000000" w:rsidRDefault="00000000" w:rsidRPr="00000000" w14:paraId="00000084">
      <w:pPr>
        <w:spacing w:after="240" w:before="240" w:lineRule="auto"/>
        <w:jc w:val="both"/>
        <w:rPr/>
      </w:pPr>
      <w:r w:rsidDel="00000000" w:rsidR="00000000" w:rsidRPr="00000000">
        <w:rPr>
          <w:rtl w:val="0"/>
        </w:rPr>
        <w:t xml:space="preserve">Limma uses linear models and differential expression to predict the Expression of various genes based on microarray analysis and using different probes and their relevance to predicting fold change. In the original paper a cutoff of 1.5 FC was used and a p value of 0.05, and our paper used a p of 0.05 for predicting the genes most differentially expressed due to the use of various probes.</w:t>
      </w:r>
    </w:p>
    <w:p w:rsidR="00000000" w:rsidDel="00000000" w:rsidP="00000000" w:rsidRDefault="00000000" w:rsidRPr="00000000" w14:paraId="00000085">
      <w:pPr>
        <w:spacing w:after="240" w:before="240" w:lineRule="auto"/>
        <w:jc w:val="both"/>
        <w:rPr/>
      </w:pPr>
      <w:r w:rsidDel="00000000" w:rsidR="00000000" w:rsidRPr="00000000">
        <w:rPr>
          <w:rtl w:val="0"/>
        </w:rPr>
        <w:t xml:space="preserve">Concordance:</w:t>
      </w:r>
    </w:p>
    <w:p w:rsidR="00000000" w:rsidDel="00000000" w:rsidP="00000000" w:rsidRDefault="00000000" w:rsidRPr="00000000" w14:paraId="00000086">
      <w:pPr>
        <w:spacing w:after="240" w:before="240" w:lineRule="auto"/>
        <w:jc w:val="both"/>
        <w:rPr/>
      </w:pPr>
      <w:r w:rsidDel="00000000" w:rsidR="00000000" w:rsidRPr="00000000">
        <w:rPr>
          <w:rtl w:val="0"/>
        </w:rPr>
        <w:t xml:space="preserve">We also attempted to calculate Concordance between Ref-Seq and microarray DE genes. Unfortunately, we realized too late that we had accidentally found all genes for microarray probesets where p was &gt; 0.5, leading to what was an interesting image, but also took far too much time to calculate. If we had a few extra hours, we could get much better results. This would require running a batch job either way, since it requires over a million comparisons between 3 different memory locations in order to find that the gene sets are concordant in their direction of fold change.</w:t>
      </w:r>
    </w:p>
    <w:p w:rsidR="00000000" w:rsidDel="00000000" w:rsidP="00000000" w:rsidRDefault="00000000" w:rsidRPr="00000000" w14:paraId="00000087">
      <w:pPr>
        <w:spacing w:after="240" w:before="240" w:lineRule="auto"/>
        <w:jc w:val="both"/>
        <w:rPr/>
      </w:pPr>
      <w:r w:rsidDel="00000000" w:rsidR="00000000" w:rsidRPr="00000000">
        <w:rPr>
          <w:rtl w:val="0"/>
        </w:rPr>
        <w:t xml:space="preserve">The formula used to calculate concordance corrected for background, after finding which pairs of genes were concordant was: where n0 is the number of items observably concordant, n1 was the number of items in one gene set and n2 the number of items in the other. N is the total number of unique items.</w:t>
      </w:r>
    </w:p>
    <w:p w:rsidR="00000000" w:rsidDel="00000000" w:rsidP="00000000" w:rsidRDefault="00000000" w:rsidRPr="00000000" w14:paraId="00000088">
      <w:pPr>
        <w:spacing w:after="240" w:before="240" w:lineRule="auto"/>
        <w:jc w:val="both"/>
        <w:rPr/>
      </w:pPr>
      <w:r w:rsidDel="00000000" w:rsidR="00000000" w:rsidRPr="00000000">
        <w:rPr>
          <w:rtl w:val="0"/>
        </w:rPr>
        <w:t xml:space="preserve">(</w:t>
      </w:r>
      <w:r w:rsidDel="00000000" w:rsidR="00000000" w:rsidRPr="00000000">
        <w:rPr>
          <w:i w:val="1"/>
          <w:rtl w:val="0"/>
        </w:rPr>
        <w:t xml:space="preserve">n</w:t>
      </w:r>
      <w:r w:rsidDel="00000000" w:rsidR="00000000" w:rsidRPr="00000000">
        <w:rPr>
          <w:vertAlign w:val="subscript"/>
          <w:rtl w:val="0"/>
        </w:rPr>
        <w:t xml:space="preserve">0</w:t>
      </w:r>
      <w:r w:rsidDel="00000000" w:rsidR="00000000" w:rsidRPr="00000000">
        <w:rPr>
          <w:rtl w:val="0"/>
        </w:rPr>
        <w:t xml:space="preserve"> × </w:t>
      </w:r>
      <w:r w:rsidDel="00000000" w:rsidR="00000000" w:rsidRPr="00000000">
        <w:rPr>
          <w:i w:val="1"/>
          <w:rtl w:val="0"/>
        </w:rPr>
        <w:t xml:space="preserve">N</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n</w:t>
      </w:r>
      <w:r w:rsidDel="00000000" w:rsidR="00000000" w:rsidRPr="00000000">
        <w:rPr>
          <w:vertAlign w:val="subscript"/>
          <w:rtl w:val="0"/>
        </w:rPr>
        <w:t xml:space="preserve">1</w:t>
      </w:r>
      <w:r w:rsidDel="00000000" w:rsidR="00000000" w:rsidRPr="00000000">
        <w:rPr>
          <w:rtl w:val="0"/>
        </w:rPr>
        <w:t xml:space="preserve"> × </w:t>
      </w:r>
      <w:r w:rsidDel="00000000" w:rsidR="00000000" w:rsidRPr="00000000">
        <w:rPr>
          <w:i w:val="1"/>
          <w:rtl w:val="0"/>
        </w:rPr>
        <w:t xml:space="preserve">n</w:t>
      </w:r>
      <w:r w:rsidDel="00000000" w:rsidR="00000000" w:rsidRPr="00000000">
        <w:rPr>
          <w:vertAlign w:val="subscript"/>
          <w:rtl w:val="0"/>
        </w:rPr>
        <w:t xml:space="preserve">2</w:t>
      </w:r>
      <w:r w:rsidDel="00000000" w:rsidR="00000000" w:rsidRPr="00000000">
        <w:rPr>
          <w:rtl w:val="0"/>
        </w:rPr>
        <w:t xml:space="preserve">)/(</w:t>
      </w:r>
      <w:r w:rsidDel="00000000" w:rsidR="00000000" w:rsidRPr="00000000">
        <w:rPr>
          <w:i w:val="1"/>
          <w:rtl w:val="0"/>
        </w:rPr>
        <w:t xml:space="preserve">n</w:t>
      </w:r>
      <w:r w:rsidDel="00000000" w:rsidR="00000000" w:rsidRPr="00000000">
        <w:rPr>
          <w:vertAlign w:val="subscript"/>
          <w:rtl w:val="0"/>
        </w:rPr>
        <w:t xml:space="preserve">0</w:t>
      </w:r>
      <w:r w:rsidDel="00000000" w:rsidR="00000000" w:rsidRPr="00000000">
        <w:rPr>
          <w:rtl w:val="0"/>
        </w:rPr>
        <w:t xml:space="preserve"> + </w:t>
      </w:r>
      <w:r w:rsidDel="00000000" w:rsidR="00000000" w:rsidRPr="00000000">
        <w:rPr>
          <w:i w:val="1"/>
          <w:rtl w:val="0"/>
        </w:rPr>
        <w:t xml:space="preserve">N</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n</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n</w:t>
      </w:r>
      <w:r w:rsidDel="00000000" w:rsidR="00000000" w:rsidRPr="00000000">
        <w:rPr>
          <w:vertAlign w:val="subscript"/>
          <w:rtl w:val="0"/>
        </w:rPr>
        <w:t xml:space="preserve">2</w:t>
      </w:r>
      <w:r w:rsidDel="00000000" w:rsidR="00000000" w:rsidRPr="00000000">
        <w:rPr>
          <w:rtl w:val="0"/>
        </w:rPr>
        <w:t xml:space="preserve">) = concordance</w:t>
      </w:r>
    </w:p>
    <w:p w:rsidR="00000000" w:rsidDel="00000000" w:rsidP="00000000" w:rsidRDefault="00000000" w:rsidRPr="00000000" w14:paraId="00000089">
      <w:pPr>
        <w:spacing w:after="240" w:before="240" w:lineRule="auto"/>
        <w:jc w:val="both"/>
        <w:rPr/>
      </w:pPr>
      <w:r w:rsidDel="00000000" w:rsidR="00000000" w:rsidRPr="00000000">
        <w:rPr>
          <w:rtl w:val="0"/>
        </w:rPr>
        <w:t xml:space="preserve">As for accounting for multiple probe sets per reference sequence, this would have been handled by counting both probe sets as different samples for the purpose of finding their concordance and variance. They could have been taken under different conditions and resulted in different results. This would have separated them when finding the result by splitting into 3 groups based on the median.</w:t>
      </w:r>
      <w:r w:rsidDel="00000000" w:rsidR="00000000" w:rsidRPr="00000000">
        <w:rPr>
          <w:rtl w:val="0"/>
        </w:rPr>
      </w:r>
    </w:p>
    <w:p w:rsidR="00000000" w:rsidDel="00000000" w:rsidP="00000000" w:rsidRDefault="00000000" w:rsidRPr="00000000" w14:paraId="0000008A">
      <w:pPr>
        <w:spacing w:after="240" w:before="240" w:lineRule="auto"/>
        <w:jc w:val="both"/>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8B">
      <w:pPr>
        <w:spacing w:after="240" w:before="240" w:lineRule="auto"/>
        <w:jc w:val="both"/>
        <w:rPr/>
      </w:pPr>
      <w:r w:rsidDel="00000000" w:rsidR="00000000" w:rsidRPr="00000000">
        <w:rPr>
          <w:rtl w:val="0"/>
        </w:rPr>
        <w:t xml:space="preserve">The multiQC report on gene annotation showed that the aligned reads from all nine samples has a good match percentage to the genes in the annotation file. Most of the samples have a 60% assigned rate. </w:t>
      </w:r>
    </w:p>
    <w:p w:rsidR="00000000" w:rsidDel="00000000" w:rsidP="00000000" w:rsidRDefault="00000000" w:rsidRPr="00000000" w14:paraId="0000008C">
      <w:pPr>
        <w:spacing w:after="240" w:before="240" w:lineRule="auto"/>
        <w:jc w:val="both"/>
        <w:rPr>
          <w:b w:val="1"/>
          <w:sz w:val="24"/>
          <w:szCs w:val="24"/>
        </w:rPr>
      </w:pPr>
      <w:r w:rsidDel="00000000" w:rsidR="00000000" w:rsidRPr="00000000">
        <w:rPr>
          <w:b w:val="1"/>
          <w:sz w:val="24"/>
          <w:szCs w:val="24"/>
        </w:rPr>
        <w:drawing>
          <wp:inline distB="114300" distT="114300" distL="114300" distR="114300">
            <wp:extent cx="5943600" cy="2476500"/>
            <wp:effectExtent b="0" l="0" r="0" t="0"/>
            <wp:docPr id="7"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240" w:before="240" w:lineRule="auto"/>
        <w:jc w:val="center"/>
        <w:rPr>
          <w:b w:val="1"/>
          <w:sz w:val="20"/>
          <w:szCs w:val="20"/>
        </w:rPr>
      </w:pPr>
      <w:r w:rsidDel="00000000" w:rsidR="00000000" w:rsidRPr="00000000">
        <w:rPr>
          <w:b w:val="1"/>
          <w:sz w:val="20"/>
          <w:szCs w:val="20"/>
          <w:rtl w:val="0"/>
        </w:rPr>
        <w:t xml:space="preserve">Fig.11. MultiQC result on featureCounts alignment result</w:t>
      </w:r>
    </w:p>
    <w:p w:rsidR="00000000" w:rsidDel="00000000" w:rsidP="00000000" w:rsidRDefault="00000000" w:rsidRPr="00000000" w14:paraId="0000008E">
      <w:pPr>
        <w:spacing w:after="240" w:before="240" w:lineRule="auto"/>
        <w:jc w:val="both"/>
        <w:rPr/>
      </w:pPr>
      <w:r w:rsidDel="00000000" w:rsidR="00000000" w:rsidRPr="00000000">
        <w:rPr>
          <w:rtl w:val="0"/>
        </w:rPr>
        <w:t xml:space="preserve">According to the log scale boxplot, The range of the gene counts are really high even on a log scale. The distribution of gene expression level seems to be agreeable between samples.</w:t>
      </w:r>
    </w:p>
    <w:p w:rsidR="00000000" w:rsidDel="00000000" w:rsidP="00000000" w:rsidRDefault="00000000" w:rsidRPr="00000000" w14:paraId="0000008F">
      <w:pPr>
        <w:spacing w:after="240" w:before="240" w:lineRule="auto"/>
        <w:rPr/>
      </w:pPr>
      <w:r w:rsidDel="00000000" w:rsidR="00000000" w:rsidRPr="00000000">
        <w:rPr>
          <w:rtl w:val="0"/>
        </w:rPr>
      </w:r>
    </w:p>
    <w:p w:rsidR="00000000" w:rsidDel="00000000" w:rsidP="00000000" w:rsidRDefault="00000000" w:rsidRPr="00000000" w14:paraId="00000090">
      <w:pPr>
        <w:spacing w:after="240" w:before="240" w:lineRule="auto"/>
        <w:jc w:val="center"/>
        <w:rPr/>
      </w:pPr>
      <w:r w:rsidDel="00000000" w:rsidR="00000000" w:rsidRPr="00000000">
        <w:rPr/>
        <w:drawing>
          <wp:inline distB="114300" distT="114300" distL="114300" distR="114300">
            <wp:extent cx="5943600" cy="4953000"/>
            <wp:effectExtent b="0" l="0" r="0" t="0"/>
            <wp:docPr id="13"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240" w:before="240" w:lineRule="auto"/>
        <w:jc w:val="center"/>
        <w:rPr>
          <w:b w:val="1"/>
          <w:sz w:val="20"/>
          <w:szCs w:val="20"/>
        </w:rPr>
      </w:pPr>
      <w:r w:rsidDel="00000000" w:rsidR="00000000" w:rsidRPr="00000000">
        <w:rPr>
          <w:b w:val="1"/>
          <w:sz w:val="20"/>
          <w:szCs w:val="20"/>
          <w:rtl w:val="0"/>
        </w:rPr>
        <w:t xml:space="preserve">Fig.12 Boxplots of gene counts in log scale</w:t>
      </w:r>
    </w:p>
    <w:p w:rsidR="00000000" w:rsidDel="00000000" w:rsidP="00000000" w:rsidRDefault="00000000" w:rsidRPr="00000000" w14:paraId="00000092">
      <w:pPr>
        <w:spacing w:after="240" w:before="240" w:lineRule="auto"/>
        <w:rPr/>
      </w:pPr>
      <w:r w:rsidDel="00000000" w:rsidR="00000000" w:rsidRPr="00000000">
        <w:rPr>
          <w:rtl w:val="0"/>
        </w:rPr>
        <w:t xml:space="preserve">The histograms showed that AhR samples had most genes with a log2 fold change of 1 comparing treatment samples and control. and CAR/PXR samples have a similar distribution as AhR samples. DNA damage treatment group on the other hand has very few significant genes and the log2 fold change are relatively low compared to AhR and CAR/PXR group.</w:t>
      </w:r>
    </w:p>
    <w:p w:rsidR="00000000" w:rsidDel="00000000" w:rsidP="00000000" w:rsidRDefault="00000000" w:rsidRPr="00000000" w14:paraId="00000093">
      <w:pPr>
        <w:spacing w:after="240" w:before="240" w:lineRule="auto"/>
        <w:jc w:val="center"/>
        <w:rPr/>
      </w:pPr>
      <w:r w:rsidDel="00000000" w:rsidR="00000000" w:rsidRPr="00000000">
        <w:rPr/>
        <w:drawing>
          <wp:inline distB="114300" distT="114300" distL="114300" distR="114300">
            <wp:extent cx="5943600" cy="3225800"/>
            <wp:effectExtent b="0" l="0" r="0" t="0"/>
            <wp:docPr id="22"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240" w:before="240" w:lineRule="auto"/>
        <w:jc w:val="center"/>
        <w:rPr>
          <w:b w:val="1"/>
          <w:sz w:val="20"/>
          <w:szCs w:val="20"/>
        </w:rPr>
      </w:pPr>
      <w:r w:rsidDel="00000000" w:rsidR="00000000" w:rsidRPr="00000000">
        <w:rPr>
          <w:b w:val="1"/>
          <w:sz w:val="20"/>
          <w:szCs w:val="20"/>
          <w:rtl w:val="0"/>
        </w:rPr>
        <w:t xml:space="preserve">Fig.13. Histogram of expression fold change for AhR group samples</w:t>
      </w:r>
    </w:p>
    <w:p w:rsidR="00000000" w:rsidDel="00000000" w:rsidP="00000000" w:rsidRDefault="00000000" w:rsidRPr="00000000" w14:paraId="00000095">
      <w:pPr>
        <w:spacing w:after="240" w:before="240" w:lineRule="auto"/>
        <w:jc w:val="center"/>
        <w:rPr/>
      </w:pPr>
      <w:r w:rsidDel="00000000" w:rsidR="00000000" w:rsidRPr="00000000">
        <w:rPr>
          <w:rtl w:val="0"/>
        </w:rPr>
      </w:r>
    </w:p>
    <w:p w:rsidR="00000000" w:rsidDel="00000000" w:rsidP="00000000" w:rsidRDefault="00000000" w:rsidRPr="00000000" w14:paraId="00000096">
      <w:pPr>
        <w:spacing w:after="240" w:before="240" w:lineRule="auto"/>
        <w:jc w:val="center"/>
        <w:rPr/>
      </w:pPr>
      <w:r w:rsidDel="00000000" w:rsidR="00000000" w:rsidRPr="00000000">
        <w:rPr/>
        <w:drawing>
          <wp:inline distB="114300" distT="114300" distL="114300" distR="114300">
            <wp:extent cx="5943600" cy="3225800"/>
            <wp:effectExtent b="0" l="0" r="0" t="0"/>
            <wp:docPr id="14"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240" w:before="240" w:lineRule="auto"/>
        <w:jc w:val="center"/>
        <w:rPr>
          <w:b w:val="1"/>
          <w:sz w:val="20"/>
          <w:szCs w:val="20"/>
        </w:rPr>
      </w:pPr>
      <w:r w:rsidDel="00000000" w:rsidR="00000000" w:rsidRPr="00000000">
        <w:rPr>
          <w:b w:val="1"/>
          <w:sz w:val="20"/>
          <w:szCs w:val="20"/>
          <w:rtl w:val="0"/>
        </w:rPr>
        <w:t xml:space="preserve">Fig.14 Histogram of expression fold change for CAR/PXR group samples</w:t>
      </w:r>
    </w:p>
    <w:p w:rsidR="00000000" w:rsidDel="00000000" w:rsidP="00000000" w:rsidRDefault="00000000" w:rsidRPr="00000000" w14:paraId="00000098">
      <w:pPr>
        <w:spacing w:after="240" w:before="240" w:lineRule="auto"/>
        <w:jc w:val="both"/>
        <w:rPr>
          <w:b w:val="1"/>
          <w:sz w:val="24"/>
          <w:szCs w:val="24"/>
        </w:rPr>
      </w:pPr>
      <w:r w:rsidDel="00000000" w:rsidR="00000000" w:rsidRPr="00000000">
        <w:rPr>
          <w:b w:val="1"/>
          <w:sz w:val="24"/>
          <w:szCs w:val="24"/>
        </w:rPr>
        <w:drawing>
          <wp:inline distB="114300" distT="114300" distL="114300" distR="114300">
            <wp:extent cx="5943600" cy="3225800"/>
            <wp:effectExtent b="0" l="0" r="0" t="0"/>
            <wp:docPr id="19"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240" w:before="240" w:lineRule="auto"/>
        <w:jc w:val="center"/>
        <w:rPr>
          <w:b w:val="1"/>
          <w:sz w:val="20"/>
          <w:szCs w:val="20"/>
        </w:rPr>
      </w:pPr>
      <w:r w:rsidDel="00000000" w:rsidR="00000000" w:rsidRPr="00000000">
        <w:rPr>
          <w:b w:val="1"/>
          <w:sz w:val="20"/>
          <w:szCs w:val="20"/>
          <w:rtl w:val="0"/>
        </w:rPr>
        <w:t xml:space="preserve">Fig.15 Histogram of expression fold change for DNA-dmg group samples</w:t>
      </w:r>
    </w:p>
    <w:p w:rsidR="00000000" w:rsidDel="00000000" w:rsidP="00000000" w:rsidRDefault="00000000" w:rsidRPr="00000000" w14:paraId="0000009A">
      <w:pPr>
        <w:spacing w:after="240" w:before="240" w:lineRule="auto"/>
        <w:jc w:val="center"/>
        <w:rPr/>
      </w:pPr>
      <w:r w:rsidDel="00000000" w:rsidR="00000000" w:rsidRPr="00000000">
        <w:rPr>
          <w:rtl w:val="0"/>
        </w:rPr>
      </w:r>
    </w:p>
    <w:p w:rsidR="00000000" w:rsidDel="00000000" w:rsidP="00000000" w:rsidRDefault="00000000" w:rsidRPr="00000000" w14:paraId="0000009B">
      <w:pPr>
        <w:spacing w:after="240" w:before="240" w:lineRule="auto"/>
        <w:jc w:val="center"/>
        <w:rPr/>
      </w:pPr>
      <w:r w:rsidDel="00000000" w:rsidR="00000000" w:rsidRPr="00000000">
        <w:rPr>
          <w:rtl w:val="0"/>
        </w:rPr>
      </w:r>
    </w:p>
    <w:p w:rsidR="00000000" w:rsidDel="00000000" w:rsidP="00000000" w:rsidRDefault="00000000" w:rsidRPr="00000000" w14:paraId="0000009C">
      <w:pPr>
        <w:spacing w:after="240" w:before="240" w:lineRule="auto"/>
        <w:jc w:val="center"/>
        <w:rPr/>
      </w:pPr>
      <w:r w:rsidDel="00000000" w:rsidR="00000000" w:rsidRPr="00000000">
        <w:rPr>
          <w:rtl w:val="0"/>
        </w:rPr>
      </w:r>
    </w:p>
    <w:p w:rsidR="00000000" w:rsidDel="00000000" w:rsidP="00000000" w:rsidRDefault="00000000" w:rsidRPr="00000000" w14:paraId="0000009D">
      <w:pPr>
        <w:spacing w:after="240" w:before="240" w:lineRule="auto"/>
        <w:jc w:val="center"/>
        <w:rPr/>
      </w:pPr>
      <w:r w:rsidDel="00000000" w:rsidR="00000000" w:rsidRPr="00000000">
        <w:rPr>
          <w:rtl w:val="0"/>
        </w:rPr>
      </w:r>
    </w:p>
    <w:p w:rsidR="00000000" w:rsidDel="00000000" w:rsidP="00000000" w:rsidRDefault="00000000" w:rsidRPr="00000000" w14:paraId="0000009E">
      <w:pPr>
        <w:spacing w:after="240" w:before="240" w:lineRule="auto"/>
        <w:jc w:val="center"/>
        <w:rPr/>
      </w:pPr>
      <w:r w:rsidDel="00000000" w:rsidR="00000000" w:rsidRPr="00000000">
        <w:rPr>
          <w:rtl w:val="0"/>
        </w:rPr>
      </w:r>
    </w:p>
    <w:p w:rsidR="00000000" w:rsidDel="00000000" w:rsidP="00000000" w:rsidRDefault="00000000" w:rsidRPr="00000000" w14:paraId="0000009F">
      <w:pPr>
        <w:spacing w:after="240" w:before="240" w:lineRule="auto"/>
        <w:jc w:val="center"/>
        <w:rPr/>
      </w:pPr>
      <w:r w:rsidDel="00000000" w:rsidR="00000000" w:rsidRPr="00000000">
        <w:rPr>
          <w:rtl w:val="0"/>
        </w:rPr>
      </w:r>
    </w:p>
    <w:p w:rsidR="00000000" w:rsidDel="00000000" w:rsidP="00000000" w:rsidRDefault="00000000" w:rsidRPr="00000000" w14:paraId="000000A0">
      <w:pPr>
        <w:spacing w:after="240" w:before="240" w:lineRule="auto"/>
        <w:jc w:val="center"/>
        <w:rPr/>
      </w:pPr>
      <w:r w:rsidDel="00000000" w:rsidR="00000000" w:rsidRPr="00000000">
        <w:rPr>
          <w:rtl w:val="0"/>
        </w:rPr>
      </w:r>
    </w:p>
    <w:p w:rsidR="00000000" w:rsidDel="00000000" w:rsidP="00000000" w:rsidRDefault="00000000" w:rsidRPr="00000000" w14:paraId="000000A1">
      <w:pPr>
        <w:spacing w:after="240" w:before="240" w:lineRule="auto"/>
        <w:jc w:val="center"/>
        <w:rPr/>
      </w:pPr>
      <w:r w:rsidDel="00000000" w:rsidR="00000000" w:rsidRPr="00000000">
        <w:rPr>
          <w:rtl w:val="0"/>
        </w:rPr>
      </w:r>
    </w:p>
    <w:p w:rsidR="00000000" w:rsidDel="00000000" w:rsidP="00000000" w:rsidRDefault="00000000" w:rsidRPr="00000000" w14:paraId="000000A2">
      <w:pPr>
        <w:spacing w:after="240" w:before="240" w:lineRule="auto"/>
        <w:jc w:val="center"/>
        <w:rPr/>
      </w:pPr>
      <w:r w:rsidDel="00000000" w:rsidR="00000000" w:rsidRPr="00000000">
        <w:rPr>
          <w:rtl w:val="0"/>
        </w:rPr>
      </w:r>
    </w:p>
    <w:p w:rsidR="00000000" w:rsidDel="00000000" w:rsidP="00000000" w:rsidRDefault="00000000" w:rsidRPr="00000000" w14:paraId="000000A3">
      <w:pPr>
        <w:spacing w:after="240" w:before="240" w:lineRule="auto"/>
        <w:jc w:val="center"/>
        <w:rPr/>
      </w:pPr>
      <w:r w:rsidDel="00000000" w:rsidR="00000000" w:rsidRPr="00000000">
        <w:rPr>
          <w:rtl w:val="0"/>
        </w:rPr>
      </w:r>
    </w:p>
    <w:p w:rsidR="00000000" w:rsidDel="00000000" w:rsidP="00000000" w:rsidRDefault="00000000" w:rsidRPr="00000000" w14:paraId="000000A4">
      <w:pPr>
        <w:spacing w:after="240" w:before="240" w:lineRule="auto"/>
        <w:jc w:val="center"/>
        <w:rPr/>
      </w:pPr>
      <w:r w:rsidDel="00000000" w:rsidR="00000000" w:rsidRPr="00000000">
        <w:rPr>
          <w:rtl w:val="0"/>
        </w:rPr>
      </w:r>
    </w:p>
    <w:p w:rsidR="00000000" w:rsidDel="00000000" w:rsidP="00000000" w:rsidRDefault="00000000" w:rsidRPr="00000000" w14:paraId="000000A5">
      <w:pPr>
        <w:spacing w:after="240" w:before="240" w:lineRule="auto"/>
        <w:jc w:val="left"/>
        <w:rPr/>
      </w:pPr>
      <w:r w:rsidDel="00000000" w:rsidR="00000000" w:rsidRPr="00000000">
        <w:rPr>
          <w:rtl w:val="0"/>
        </w:rPr>
      </w:r>
    </w:p>
    <w:p w:rsidR="00000000" w:rsidDel="00000000" w:rsidP="00000000" w:rsidRDefault="00000000" w:rsidRPr="00000000" w14:paraId="000000A6">
      <w:pPr>
        <w:spacing w:after="240" w:before="240" w:lineRule="auto"/>
        <w:jc w:val="left"/>
        <w:rPr/>
      </w:pPr>
      <w:r w:rsidDel="00000000" w:rsidR="00000000" w:rsidRPr="00000000">
        <w:rPr>
          <w:rtl w:val="0"/>
        </w:rPr>
      </w:r>
    </w:p>
    <w:p w:rsidR="00000000" w:rsidDel="00000000" w:rsidP="00000000" w:rsidRDefault="00000000" w:rsidRPr="00000000" w14:paraId="000000A7">
      <w:pPr>
        <w:spacing w:after="240" w:before="240" w:lineRule="auto"/>
        <w:jc w:val="center"/>
        <w:rPr/>
      </w:pPr>
      <w:r w:rsidDel="00000000" w:rsidR="00000000" w:rsidRPr="00000000">
        <w:rPr/>
        <w:drawing>
          <wp:inline distB="114300" distT="114300" distL="114300" distR="114300">
            <wp:extent cx="4762500" cy="5048250"/>
            <wp:effectExtent b="0" l="0" r="0" t="0"/>
            <wp:docPr id="17"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4762500" cy="504825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after="240" w:before="240" w:lineRule="auto"/>
        <w:jc w:val="center"/>
        <w:rPr>
          <w:b w:val="1"/>
          <w:sz w:val="20"/>
          <w:szCs w:val="20"/>
        </w:rPr>
      </w:pPr>
      <w:r w:rsidDel="00000000" w:rsidR="00000000" w:rsidRPr="00000000">
        <w:rPr>
          <w:b w:val="1"/>
          <w:sz w:val="20"/>
          <w:szCs w:val="20"/>
          <w:rtl w:val="0"/>
        </w:rPr>
        <w:t xml:space="preserve">Fig.16. Expression log-fold change against p-value for AhR samples</w:t>
      </w:r>
    </w:p>
    <w:p w:rsidR="00000000" w:rsidDel="00000000" w:rsidP="00000000" w:rsidRDefault="00000000" w:rsidRPr="00000000" w14:paraId="000000A9">
      <w:pPr>
        <w:spacing w:after="240" w:before="240" w:lineRule="auto"/>
        <w:jc w:val="center"/>
        <w:rPr/>
      </w:pPr>
      <w:r w:rsidDel="00000000" w:rsidR="00000000" w:rsidRPr="00000000">
        <w:rPr/>
        <w:drawing>
          <wp:inline distB="114300" distT="114300" distL="114300" distR="114300">
            <wp:extent cx="4762500" cy="5048250"/>
            <wp:effectExtent b="0" l="0" r="0" t="0"/>
            <wp:docPr id="25" name="image27.png"/>
            <a:graphic>
              <a:graphicData uri="http://schemas.openxmlformats.org/drawingml/2006/picture">
                <pic:pic>
                  <pic:nvPicPr>
                    <pic:cNvPr id="0" name="image27.png"/>
                    <pic:cNvPicPr preferRelativeResize="0"/>
                  </pic:nvPicPr>
                  <pic:blipFill>
                    <a:blip r:embed="rId22"/>
                    <a:srcRect b="0" l="0" r="0" t="0"/>
                    <a:stretch>
                      <a:fillRect/>
                    </a:stretch>
                  </pic:blipFill>
                  <pic:spPr>
                    <a:xfrm>
                      <a:off x="0" y="0"/>
                      <a:ext cx="4762500" cy="504825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240" w:before="240" w:lineRule="auto"/>
        <w:jc w:val="center"/>
        <w:rPr>
          <w:b w:val="1"/>
          <w:sz w:val="20"/>
          <w:szCs w:val="20"/>
        </w:rPr>
      </w:pPr>
      <w:r w:rsidDel="00000000" w:rsidR="00000000" w:rsidRPr="00000000">
        <w:rPr>
          <w:b w:val="1"/>
          <w:sz w:val="20"/>
          <w:szCs w:val="20"/>
          <w:rtl w:val="0"/>
        </w:rPr>
        <w:t xml:space="preserve">Fig.17 Expression log-fold change against p-value for CAR/PXR samples</w:t>
      </w:r>
    </w:p>
    <w:p w:rsidR="00000000" w:rsidDel="00000000" w:rsidP="00000000" w:rsidRDefault="00000000" w:rsidRPr="00000000" w14:paraId="000000AB">
      <w:pPr>
        <w:spacing w:after="240" w:before="240" w:lineRule="auto"/>
        <w:jc w:val="center"/>
        <w:rPr/>
      </w:pPr>
      <w:r w:rsidDel="00000000" w:rsidR="00000000" w:rsidRPr="00000000">
        <w:rPr/>
        <w:drawing>
          <wp:inline distB="114300" distT="114300" distL="114300" distR="114300">
            <wp:extent cx="4762500" cy="5048250"/>
            <wp:effectExtent b="0" l="0" r="0" t="0"/>
            <wp:docPr id="11"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4762500" cy="504825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after="240" w:before="240" w:lineRule="auto"/>
        <w:jc w:val="center"/>
        <w:rPr>
          <w:b w:val="1"/>
          <w:sz w:val="20"/>
          <w:szCs w:val="20"/>
        </w:rPr>
      </w:pPr>
      <w:r w:rsidDel="00000000" w:rsidR="00000000" w:rsidRPr="00000000">
        <w:rPr>
          <w:b w:val="1"/>
          <w:sz w:val="20"/>
          <w:szCs w:val="20"/>
          <w:rtl w:val="0"/>
        </w:rPr>
        <w:t xml:space="preserve">Fig.18 Expression log-fold change against p-value for DNA damage samples</w:t>
      </w:r>
    </w:p>
    <w:p w:rsidR="00000000" w:rsidDel="00000000" w:rsidP="00000000" w:rsidRDefault="00000000" w:rsidRPr="00000000" w14:paraId="000000AD">
      <w:pPr>
        <w:spacing w:after="240" w:before="240" w:lineRule="auto"/>
        <w:jc w:val="center"/>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CAR/PXR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DNA DMG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Significant genes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NM_013096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NM_053288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NM_033234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NM_033234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NM_001108693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NM_001007722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NM_001007722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NM_001130558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NM_198776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NM_001257095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NM_001134844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NM_001111269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NM_001008880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NM_080581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NM_013096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NM_001130558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NM_013033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NM_012623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NM_012540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NM_053699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NM_199113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NM_198776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NM_024127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NM_001107084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NM_012541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NM_031048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NM_001113223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NM_130407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NM_013098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NM_001013057</w:t>
            </w:r>
          </w:p>
        </w:tc>
      </w:tr>
    </w:tbl>
    <w:p w:rsidR="00000000" w:rsidDel="00000000" w:rsidP="00000000" w:rsidRDefault="00000000" w:rsidRPr="00000000" w14:paraId="000000DE">
      <w:pPr>
        <w:spacing w:after="240" w:before="240" w:lineRule="auto"/>
        <w:jc w:val="center"/>
        <w:rPr/>
      </w:pPr>
      <w:r w:rsidDel="00000000" w:rsidR="00000000" w:rsidRPr="00000000">
        <w:rPr>
          <w:rtl w:val="0"/>
        </w:rPr>
      </w:r>
    </w:p>
    <w:p w:rsidR="00000000" w:rsidDel="00000000" w:rsidP="00000000" w:rsidRDefault="00000000" w:rsidRPr="00000000" w14:paraId="000000DF">
      <w:pPr>
        <w:spacing w:after="240" w:before="240" w:lineRule="auto"/>
        <w:jc w:val="center"/>
        <w:rPr>
          <w:b w:val="1"/>
          <w:sz w:val="20"/>
          <w:szCs w:val="20"/>
        </w:rPr>
      </w:pPr>
      <w:r w:rsidDel="00000000" w:rsidR="00000000" w:rsidRPr="00000000">
        <w:rPr>
          <w:b w:val="1"/>
          <w:sz w:val="20"/>
          <w:szCs w:val="20"/>
          <w:rtl w:val="0"/>
        </w:rPr>
        <w:t xml:space="preserve">Table.2 Significant genes and top hits report</w:t>
      </w:r>
    </w:p>
    <w:p w:rsidR="00000000" w:rsidDel="00000000" w:rsidP="00000000" w:rsidRDefault="00000000" w:rsidRPr="00000000" w14:paraId="000000E0">
      <w:pPr>
        <w:spacing w:after="240" w:before="240" w:lineRule="auto"/>
        <w:jc w:val="left"/>
        <w:rPr/>
      </w:pPr>
      <w:r w:rsidDel="00000000" w:rsidR="00000000" w:rsidRPr="00000000">
        <w:rPr>
          <w:rtl w:val="0"/>
        </w:rPr>
      </w:r>
    </w:p>
    <w:p w:rsidR="00000000" w:rsidDel="00000000" w:rsidP="00000000" w:rsidRDefault="00000000" w:rsidRPr="00000000" w14:paraId="000000E1">
      <w:pPr>
        <w:spacing w:after="240" w:before="240" w:lineRule="auto"/>
        <w:jc w:val="both"/>
        <w:rPr/>
      </w:pPr>
      <w:r w:rsidDel="00000000" w:rsidR="00000000" w:rsidRPr="00000000">
        <w:rPr>
          <w:rtl w:val="0"/>
        </w:rPr>
        <w:t xml:space="preserve">Analysis of the probeset showed that probes got the most significant results, with THIOACETATE having 15115 total passing with a p value lower than 0.05, while BETA-NAPHTHOFLAVONE had 1195, and BETA-NAPHTHOFLAVONE had 1491Unlike in the paper, we did not have an absolute 1.5 Fold Count cutoff. We also made a histogram of Fold Counts, as indicated in the summary of steps, as opposed to log of fold count, though this might have been in error.</w:t>
      </w:r>
    </w:p>
    <w:p w:rsidR="00000000" w:rsidDel="00000000" w:rsidP="00000000" w:rsidRDefault="00000000" w:rsidRPr="00000000" w14:paraId="000000E2">
      <w:pPr>
        <w:spacing w:after="240" w:before="240" w:lineRule="auto"/>
        <w:jc w:val="left"/>
        <w:rPr/>
      </w:pPr>
      <w:r w:rsidDel="00000000" w:rsidR="00000000" w:rsidRPr="00000000">
        <w:rPr>
          <w:rtl w:val="0"/>
        </w:rPr>
        <w:t xml:space="preserve">Our most significant results for each probe follow:</w:t>
      </w:r>
    </w:p>
    <w:p w:rsidR="00000000" w:rsidDel="00000000" w:rsidP="00000000" w:rsidRDefault="00000000" w:rsidRPr="00000000" w14:paraId="000000E3">
      <w:pPr>
        <w:spacing w:after="240" w:before="240" w:lineRule="auto"/>
        <w:jc w:val="left"/>
        <w:rPr/>
      </w:pPr>
      <w:r w:rsidDel="00000000" w:rsidR="00000000" w:rsidRPr="00000000">
        <w:rPr>
          <w:rtl w:val="0"/>
        </w:rPr>
      </w:r>
    </w:p>
    <w:p w:rsidR="00000000" w:rsidDel="00000000" w:rsidP="00000000" w:rsidRDefault="00000000" w:rsidRPr="00000000" w14:paraId="000000E4">
      <w:pPr>
        <w:spacing w:after="240" w:lineRule="auto"/>
        <w:rPr/>
      </w:pPr>
      <w:r w:rsidDel="00000000" w:rsidR="00000000" w:rsidRPr="00000000">
        <w:rPr>
          <w:rtl w:val="0"/>
        </w:rPr>
        <w:t xml:space="preserve">BETA-NAPHTHOFLAVONE:</w:t>
      </w:r>
    </w:p>
    <w:p w:rsidR="00000000" w:rsidDel="00000000" w:rsidP="00000000" w:rsidRDefault="00000000" w:rsidRPr="00000000" w14:paraId="000000E5">
      <w:pPr>
        <w:spacing w:after="240" w:before="240" w:lineRule="auto"/>
        <w:rPr/>
      </w:pPr>
      <w:r w:rsidDel="00000000" w:rsidR="00000000" w:rsidRPr="00000000">
        <w:rPr/>
        <w:drawing>
          <wp:inline distB="114300" distT="114300" distL="114300" distR="114300">
            <wp:extent cx="5943600" cy="2159000"/>
            <wp:effectExtent b="0" l="0" r="0" t="0"/>
            <wp:docPr id="4"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after="240" w:before="240" w:lineRule="auto"/>
        <w:rPr/>
      </w:pPr>
      <w:r w:rsidDel="00000000" w:rsidR="00000000" w:rsidRPr="00000000">
        <w:rPr>
          <w:rtl w:val="0"/>
        </w:rPr>
        <w:t xml:space="preserve">ECONAZOLE:</w:t>
      </w:r>
    </w:p>
    <w:p w:rsidR="00000000" w:rsidDel="00000000" w:rsidP="00000000" w:rsidRDefault="00000000" w:rsidRPr="00000000" w14:paraId="000000E7">
      <w:pPr>
        <w:spacing w:after="240" w:before="240" w:lineRule="auto"/>
        <w:rPr/>
      </w:pPr>
      <w:r w:rsidDel="00000000" w:rsidR="00000000" w:rsidRPr="00000000">
        <w:rPr/>
        <w:drawing>
          <wp:inline distB="114300" distT="114300" distL="114300" distR="114300">
            <wp:extent cx="5943600" cy="2286000"/>
            <wp:effectExtent b="0" l="0" r="0" t="0"/>
            <wp:docPr id="5"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after="240" w:before="240" w:lineRule="auto"/>
        <w:rPr/>
      </w:pPr>
      <w:r w:rsidDel="00000000" w:rsidR="00000000" w:rsidRPr="00000000">
        <w:rPr>
          <w:rtl w:val="0"/>
        </w:rPr>
        <w:t xml:space="preserve">THIOACETAMIDE</w:t>
      </w:r>
    </w:p>
    <w:p w:rsidR="00000000" w:rsidDel="00000000" w:rsidP="00000000" w:rsidRDefault="00000000" w:rsidRPr="00000000" w14:paraId="000000E9">
      <w:pPr>
        <w:spacing w:after="240" w:before="240" w:lineRule="auto"/>
        <w:rPr/>
      </w:pPr>
      <w:r w:rsidDel="00000000" w:rsidR="00000000" w:rsidRPr="00000000">
        <w:rPr/>
        <w:drawing>
          <wp:inline distB="114300" distT="114300" distL="114300" distR="114300">
            <wp:extent cx="5943600" cy="2362200"/>
            <wp:effectExtent b="0" l="0" r="0" t="0"/>
            <wp:docPr id="20"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pacing w:after="240" w:before="240" w:lineRule="auto"/>
        <w:rPr/>
      </w:pPr>
      <w:r w:rsidDel="00000000" w:rsidR="00000000" w:rsidRPr="00000000">
        <w:rPr>
          <w:rtl w:val="0"/>
        </w:rPr>
      </w:r>
    </w:p>
    <w:p w:rsidR="00000000" w:rsidDel="00000000" w:rsidP="00000000" w:rsidRDefault="00000000" w:rsidRPr="00000000" w14:paraId="000000EB">
      <w:pPr>
        <w:spacing w:after="240" w:before="240" w:lineRule="auto"/>
        <w:jc w:val="both"/>
        <w:rPr/>
      </w:pPr>
      <w:r w:rsidDel="00000000" w:rsidR="00000000" w:rsidRPr="00000000">
        <w:rPr>
          <w:rtl w:val="0"/>
        </w:rPr>
        <w:t xml:space="preserve">The histograms show that FoldChange is mostly a little under 1 for all 3 types of probes, though some are much larger. There is a “valley” in the center since though there are many genes in that area, they have very high p values, as we found out by accidentally making these with all the wrong genes first.</w:t>
      </w:r>
    </w:p>
    <w:p w:rsidR="00000000" w:rsidDel="00000000" w:rsidP="00000000" w:rsidRDefault="00000000" w:rsidRPr="00000000" w14:paraId="000000EC">
      <w:pPr>
        <w:spacing w:after="240" w:before="240" w:lineRule="auto"/>
        <w:rPr/>
      </w:pPr>
      <w:r w:rsidDel="00000000" w:rsidR="00000000" w:rsidRPr="00000000">
        <w:rPr/>
        <w:drawing>
          <wp:inline distB="114300" distT="114300" distL="114300" distR="114300">
            <wp:extent cx="5943600" cy="5918200"/>
            <wp:effectExtent b="0" l="0" r="0" t="0"/>
            <wp:docPr id="6"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5943600" cy="59182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after="240" w:before="240" w:lineRule="auto"/>
        <w:jc w:val="center"/>
        <w:rPr>
          <w:b w:val="1"/>
          <w:sz w:val="20"/>
          <w:szCs w:val="20"/>
        </w:rPr>
      </w:pPr>
      <w:r w:rsidDel="00000000" w:rsidR="00000000" w:rsidRPr="00000000">
        <w:rPr>
          <w:rtl w:val="0"/>
        </w:rPr>
        <w:t xml:space="preserve"> </w:t>
      </w:r>
      <w:r w:rsidDel="00000000" w:rsidR="00000000" w:rsidRPr="00000000">
        <w:rPr>
          <w:b w:val="1"/>
          <w:sz w:val="20"/>
          <w:szCs w:val="20"/>
          <w:rtl w:val="0"/>
        </w:rPr>
        <w:t xml:space="preserve">Fig. 19: Histogram of fold change for BETA-NAPHTHOFLAVONE</w:t>
      </w:r>
    </w:p>
    <w:p w:rsidR="00000000" w:rsidDel="00000000" w:rsidP="00000000" w:rsidRDefault="00000000" w:rsidRPr="00000000" w14:paraId="000000EE">
      <w:pPr>
        <w:spacing w:after="240" w:before="240" w:lineRule="auto"/>
        <w:jc w:val="left"/>
        <w:rPr/>
      </w:pPr>
      <w:r w:rsidDel="00000000" w:rsidR="00000000" w:rsidRPr="00000000">
        <w:rPr>
          <w:rtl w:val="0"/>
        </w:rPr>
      </w:r>
    </w:p>
    <w:p w:rsidR="00000000" w:rsidDel="00000000" w:rsidP="00000000" w:rsidRDefault="00000000" w:rsidRPr="00000000" w14:paraId="000000EF">
      <w:pPr>
        <w:spacing w:after="240" w:before="240" w:lineRule="auto"/>
        <w:jc w:val="left"/>
        <w:rPr/>
      </w:pPr>
      <w:r w:rsidDel="00000000" w:rsidR="00000000" w:rsidRPr="00000000">
        <w:rPr/>
        <w:drawing>
          <wp:inline distB="114300" distT="114300" distL="114300" distR="114300">
            <wp:extent cx="5943600" cy="5918200"/>
            <wp:effectExtent b="0" l="0" r="0" t="0"/>
            <wp:docPr id="18"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5943600" cy="59182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after="240" w:before="240" w:lineRule="auto"/>
        <w:jc w:val="center"/>
        <w:rPr>
          <w:b w:val="1"/>
          <w:sz w:val="20"/>
          <w:szCs w:val="20"/>
        </w:rPr>
      </w:pPr>
      <w:r w:rsidDel="00000000" w:rsidR="00000000" w:rsidRPr="00000000">
        <w:rPr>
          <w:b w:val="1"/>
          <w:sz w:val="20"/>
          <w:szCs w:val="20"/>
          <w:rtl w:val="0"/>
        </w:rPr>
        <w:t xml:space="preserve">Figure 20:Histogram of fold change for ECONAZOLE:</w:t>
      </w:r>
    </w:p>
    <w:p w:rsidR="00000000" w:rsidDel="00000000" w:rsidP="00000000" w:rsidRDefault="00000000" w:rsidRPr="00000000" w14:paraId="000000F1">
      <w:pPr>
        <w:spacing w:after="240" w:before="240" w:lineRule="auto"/>
        <w:jc w:val="left"/>
        <w:rPr/>
      </w:pPr>
      <w:r w:rsidDel="00000000" w:rsidR="00000000" w:rsidRPr="00000000">
        <w:rPr>
          <w:rtl w:val="0"/>
        </w:rPr>
      </w:r>
    </w:p>
    <w:p w:rsidR="00000000" w:rsidDel="00000000" w:rsidP="00000000" w:rsidRDefault="00000000" w:rsidRPr="00000000" w14:paraId="000000F2">
      <w:pPr>
        <w:spacing w:after="240" w:before="240" w:lineRule="auto"/>
        <w:jc w:val="left"/>
        <w:rPr/>
      </w:pPr>
      <w:r w:rsidDel="00000000" w:rsidR="00000000" w:rsidRPr="00000000">
        <w:rPr/>
        <w:drawing>
          <wp:inline distB="114300" distT="114300" distL="114300" distR="114300">
            <wp:extent cx="5943600" cy="5892800"/>
            <wp:effectExtent b="0" l="0" r="0" t="0"/>
            <wp:docPr id="21"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5943600" cy="58928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after="240" w:before="240" w:lineRule="auto"/>
        <w:jc w:val="center"/>
        <w:rPr>
          <w:b w:val="1"/>
          <w:sz w:val="20"/>
          <w:szCs w:val="20"/>
        </w:rPr>
      </w:pPr>
      <w:r w:rsidDel="00000000" w:rsidR="00000000" w:rsidRPr="00000000">
        <w:rPr>
          <w:b w:val="1"/>
          <w:sz w:val="20"/>
          <w:szCs w:val="20"/>
          <w:rtl w:val="0"/>
        </w:rPr>
        <w:t xml:space="preserve">Figure 21:Histogram of fold change for THIOACETAMIDE:</w:t>
      </w:r>
    </w:p>
    <w:p w:rsidR="00000000" w:rsidDel="00000000" w:rsidP="00000000" w:rsidRDefault="00000000" w:rsidRPr="00000000" w14:paraId="000000F4">
      <w:pPr>
        <w:spacing w:after="240" w:before="240" w:lineRule="auto"/>
        <w:rPr/>
      </w:pPr>
      <w:r w:rsidDel="00000000" w:rsidR="00000000" w:rsidRPr="00000000">
        <w:rPr>
          <w:rtl w:val="0"/>
        </w:rPr>
      </w:r>
    </w:p>
    <w:p w:rsidR="00000000" w:rsidDel="00000000" w:rsidP="00000000" w:rsidRDefault="00000000" w:rsidRPr="00000000" w14:paraId="000000F5">
      <w:pPr>
        <w:spacing w:after="240" w:before="240" w:lineRule="auto"/>
        <w:rPr/>
      </w:pPr>
      <w:r w:rsidDel="00000000" w:rsidR="00000000" w:rsidRPr="00000000">
        <w:rPr>
          <w:rtl w:val="0"/>
        </w:rPr>
        <w:t xml:space="preserve">The scatterplots of fold c vs P-Value also all showed that as fold change got further from 1, p value tended to decrease, and that point with a high p-value tended to be scattered in a very narrow range between a 1 and 2 (or ½ and 1 on the lower end) fold change ratio.</w:t>
      </w:r>
    </w:p>
    <w:p w:rsidR="00000000" w:rsidDel="00000000" w:rsidP="00000000" w:rsidRDefault="00000000" w:rsidRPr="00000000" w14:paraId="000000F6">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943600" cy="5930900"/>
            <wp:effectExtent b="0" l="0" r="0" t="0"/>
            <wp:docPr id="16"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5943600" cy="59309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spacing w:after="240" w:before="240" w:lineRule="auto"/>
        <w:jc w:val="center"/>
        <w:rPr>
          <w:b w:val="1"/>
          <w:sz w:val="20"/>
          <w:szCs w:val="20"/>
        </w:rPr>
      </w:pPr>
      <w:r w:rsidDel="00000000" w:rsidR="00000000" w:rsidRPr="00000000">
        <w:rPr>
          <w:b w:val="1"/>
          <w:sz w:val="20"/>
          <w:szCs w:val="20"/>
          <w:rtl w:val="0"/>
        </w:rPr>
        <w:t xml:space="preserve">Figure 22:Scatterplot of fold change vs p-value for BETA-NAPHTHOFLAVONE</w:t>
      </w:r>
    </w:p>
    <w:p w:rsidR="00000000" w:rsidDel="00000000" w:rsidP="00000000" w:rsidRDefault="00000000" w:rsidRPr="00000000" w14:paraId="000000F8">
      <w:pPr>
        <w:spacing w:after="240" w:before="240" w:lineRule="auto"/>
        <w:rPr/>
      </w:pPr>
      <w:r w:rsidDel="00000000" w:rsidR="00000000" w:rsidRPr="00000000">
        <w:rPr/>
        <w:drawing>
          <wp:inline distB="114300" distT="114300" distL="114300" distR="114300">
            <wp:extent cx="5943600" cy="5918200"/>
            <wp:effectExtent b="0" l="0" r="0" t="0"/>
            <wp:docPr id="2"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5943600" cy="59182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spacing w:after="240" w:before="240" w:lineRule="auto"/>
        <w:jc w:val="center"/>
        <w:rPr>
          <w:b w:val="1"/>
          <w:sz w:val="20"/>
          <w:szCs w:val="20"/>
        </w:rPr>
      </w:pPr>
      <w:r w:rsidDel="00000000" w:rsidR="00000000" w:rsidRPr="00000000">
        <w:rPr>
          <w:b w:val="1"/>
          <w:sz w:val="20"/>
          <w:szCs w:val="20"/>
          <w:rtl w:val="0"/>
        </w:rPr>
        <w:t xml:space="preserve">Figure 23:Scatterplot of fold change vs p-value for ECONAZOLE</w:t>
      </w:r>
    </w:p>
    <w:p w:rsidR="00000000" w:rsidDel="00000000" w:rsidP="00000000" w:rsidRDefault="00000000" w:rsidRPr="00000000" w14:paraId="000000FA">
      <w:pPr>
        <w:spacing w:after="240" w:before="240" w:lineRule="auto"/>
        <w:rPr/>
      </w:pPr>
      <w:r w:rsidDel="00000000" w:rsidR="00000000" w:rsidRPr="00000000">
        <w:rPr/>
        <w:drawing>
          <wp:inline distB="114300" distT="114300" distL="114300" distR="114300">
            <wp:extent cx="5943600" cy="6007100"/>
            <wp:effectExtent b="0" l="0" r="0" t="0"/>
            <wp:docPr id="23" name="image18.png"/>
            <a:graphic>
              <a:graphicData uri="http://schemas.openxmlformats.org/drawingml/2006/picture">
                <pic:pic>
                  <pic:nvPicPr>
                    <pic:cNvPr id="0" name="image18.png"/>
                    <pic:cNvPicPr preferRelativeResize="0"/>
                  </pic:nvPicPr>
                  <pic:blipFill>
                    <a:blip r:embed="rId32"/>
                    <a:srcRect b="0" l="0" r="0" t="0"/>
                    <a:stretch>
                      <a:fillRect/>
                    </a:stretch>
                  </pic:blipFill>
                  <pic:spPr>
                    <a:xfrm>
                      <a:off x="0" y="0"/>
                      <a:ext cx="5943600" cy="60071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pacing w:after="240" w:before="240" w:lineRule="auto"/>
        <w:jc w:val="center"/>
        <w:rPr>
          <w:b w:val="1"/>
          <w:sz w:val="20"/>
          <w:szCs w:val="20"/>
        </w:rPr>
      </w:pPr>
      <w:r w:rsidDel="00000000" w:rsidR="00000000" w:rsidRPr="00000000">
        <w:rPr>
          <w:b w:val="1"/>
          <w:sz w:val="20"/>
          <w:szCs w:val="20"/>
          <w:rtl w:val="0"/>
        </w:rPr>
        <w:t xml:space="preserve">Figure 24:Scatterplot of fold change vs p-value for THIOACETAMIDE</w:t>
      </w:r>
    </w:p>
    <w:p w:rsidR="00000000" w:rsidDel="00000000" w:rsidP="00000000" w:rsidRDefault="00000000" w:rsidRPr="00000000" w14:paraId="000000FC">
      <w:pPr>
        <w:spacing w:after="240" w:before="240" w:lineRule="auto"/>
        <w:jc w:val="both"/>
        <w:rPr/>
      </w:pPr>
      <w:r w:rsidDel="00000000" w:rsidR="00000000" w:rsidRPr="00000000">
        <w:rPr>
          <w:rtl w:val="0"/>
        </w:rPr>
        <w:t xml:space="preserve">Our concordace calculation produced no results</w:t>
      </w:r>
      <w:r w:rsidDel="00000000" w:rsidR="00000000" w:rsidRPr="00000000">
        <w:rPr>
          <w:rtl w:val="0"/>
        </w:rPr>
      </w:r>
    </w:p>
    <w:p w:rsidR="00000000" w:rsidDel="00000000" w:rsidP="00000000" w:rsidRDefault="00000000" w:rsidRPr="00000000" w14:paraId="000000FD">
      <w:pPr>
        <w:spacing w:after="240" w:before="240" w:lineRule="auto"/>
        <w:rPr/>
      </w:pPr>
      <w:r w:rsidDel="00000000" w:rsidR="00000000" w:rsidRPr="00000000">
        <w:rPr>
          <w:rtl w:val="0"/>
        </w:rPr>
      </w:r>
    </w:p>
    <w:p w:rsidR="00000000" w:rsidDel="00000000" w:rsidP="00000000" w:rsidRDefault="00000000" w:rsidRPr="00000000" w14:paraId="000000FE">
      <w:pPr>
        <w:spacing w:after="240" w:before="240" w:lineRule="auto"/>
        <w:jc w:val="both"/>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FF">
      <w:pPr>
        <w:spacing w:after="240" w:before="240" w:lineRule="auto"/>
        <w:jc w:val="both"/>
        <w:rPr/>
      </w:pPr>
      <w:r w:rsidDel="00000000" w:rsidR="00000000" w:rsidRPr="00000000">
        <w:rPr>
          <w:rtl w:val="0"/>
        </w:rPr>
        <w:t xml:space="preserve">The quality of the raw sequencing data was evaluated based on the quality control metrics from fastqc and had shown acceptable results. Some of the failed tests were due to the nature of RNA-seq data and it was not necessary to take any further steps to improve it. Overall, the sequencing data was suitable for the following analysis. These sequencing data was then successfully aligned against the rat genome. </w:t>
      </w:r>
    </w:p>
    <w:p w:rsidR="00000000" w:rsidDel="00000000" w:rsidP="00000000" w:rsidRDefault="00000000" w:rsidRPr="00000000" w14:paraId="00000100">
      <w:pPr>
        <w:spacing w:after="240" w:before="240" w:lineRule="auto"/>
        <w:jc w:val="both"/>
        <w:rPr/>
      </w:pPr>
      <w:r w:rsidDel="00000000" w:rsidR="00000000" w:rsidRPr="00000000">
        <w:rPr>
          <w:rtl w:val="0"/>
        </w:rPr>
        <w:t xml:space="preserve">The variation of gene expression changes after the three different chemical treatments vary significantly. This can be observed from both the histograms and the volcano plots. Most significant genes with gene expression level change after treatment have a log2 fold change around 1 for both AhR group and CAR/PXR group. The difference being CAR/PXR has 3503 genes with a significant p value for gene expression change compared to the AhR samples’ 1392 significant genes. DNA damage group has only 114 significant genes and for those genes, the fold change are not as high compared with the other two samples. </w:t>
      </w:r>
    </w:p>
    <w:p w:rsidR="00000000" w:rsidDel="00000000" w:rsidP="00000000" w:rsidRDefault="00000000" w:rsidRPr="00000000" w14:paraId="00000101">
      <w:pPr>
        <w:spacing w:after="240" w:before="240" w:lineRule="auto"/>
        <w:jc w:val="both"/>
        <w:rPr/>
      </w:pPr>
      <w:r w:rsidDel="00000000" w:rsidR="00000000" w:rsidRPr="00000000">
        <w:rPr>
          <w:rtl w:val="0"/>
        </w:rPr>
        <w:t xml:space="preserve">We attempted to replicate their analysis, but due to making a mistake early on in the process ended up choosing all the wrong genes during the cutoff, which made it impossible to calculate Concordance due to having too much data.</w:t>
      </w:r>
    </w:p>
    <w:p w:rsidR="00000000" w:rsidDel="00000000" w:rsidP="00000000" w:rsidRDefault="00000000" w:rsidRPr="00000000" w14:paraId="00000102">
      <w:pPr>
        <w:spacing w:after="240" w:before="240" w:lineRule="auto"/>
        <w:jc w:val="both"/>
        <w:rPr/>
      </w:pPr>
      <w:r w:rsidDel="00000000" w:rsidR="00000000" w:rsidRPr="00000000">
        <w:rPr>
          <w:rtl w:val="0"/>
        </w:rPr>
        <w:t xml:space="preserve">Even with the proper data, too many points pass the threshold and make it take far too long to calculate concordance for the system to work without a batch job. (Having over a million combinations of gene pairs to look up concordance in 3 different memory locations for ).</w:t>
      </w:r>
    </w:p>
    <w:p w:rsidR="00000000" w:rsidDel="00000000" w:rsidP="00000000" w:rsidRDefault="00000000" w:rsidRPr="00000000" w14:paraId="00000103">
      <w:pPr>
        <w:spacing w:after="240" w:before="240" w:lineRule="auto"/>
        <w:jc w:val="both"/>
        <w:rPr/>
      </w:pPr>
      <w:r w:rsidDel="00000000" w:rsidR="00000000" w:rsidRPr="00000000">
        <w:rPr>
          <w:rtl w:val="0"/>
        </w:rPr>
      </w:r>
    </w:p>
    <w:p w:rsidR="00000000" w:rsidDel="00000000" w:rsidP="00000000" w:rsidRDefault="00000000" w:rsidRPr="00000000" w14:paraId="00000104">
      <w:pPr>
        <w:spacing w:after="240" w:before="240" w:lineRule="auto"/>
        <w:jc w:val="both"/>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105">
      <w:pPr>
        <w:spacing w:after="240" w:before="240" w:lineRule="auto"/>
        <w:jc w:val="both"/>
        <w:rPr/>
      </w:pPr>
      <w:r w:rsidDel="00000000" w:rsidR="00000000" w:rsidRPr="00000000">
        <w:rPr>
          <w:rtl w:val="0"/>
        </w:rPr>
        <w:t xml:space="preserve">For the data</w:t>
      </w:r>
      <w:r w:rsidDel="00000000" w:rsidR="00000000" w:rsidRPr="00000000">
        <w:rPr>
          <w:rtl w:val="0"/>
        </w:rPr>
        <w:t xml:space="preserve"> curator part, the quality control step for raw sequencing data and the sequence alignment step were successfully performed and showed acceptable results. One challenge for this part was to figure out the rationale behind each quality control metrics and explore the reason for the failed tests for RNA-seq samples. The note [5] explained them well.</w:t>
      </w:r>
    </w:p>
    <w:p w:rsidR="00000000" w:rsidDel="00000000" w:rsidP="00000000" w:rsidRDefault="00000000" w:rsidRPr="00000000" w14:paraId="00000106">
      <w:pPr>
        <w:spacing w:after="240" w:before="240" w:lineRule="auto"/>
        <w:jc w:val="both"/>
        <w:rPr/>
      </w:pPr>
      <w:r w:rsidDel="00000000" w:rsidR="00000000" w:rsidRPr="00000000">
        <w:rPr>
          <w:rtl w:val="0"/>
        </w:rPr>
        <w:t xml:space="preserve">The MultiQC showed good alignment results for gene annotation. The range of gene counts is high across all samples which is to be expected in an RNA seq experiment. Good number of genes has shown significant change in expression level across all three treatment groups. </w:t>
      </w:r>
    </w:p>
    <w:p w:rsidR="00000000" w:rsidDel="00000000" w:rsidP="00000000" w:rsidRDefault="00000000" w:rsidRPr="00000000" w14:paraId="00000107">
      <w:pPr>
        <w:spacing w:after="240" w:before="240" w:lineRule="auto"/>
        <w:jc w:val="both"/>
        <w:rPr/>
      </w:pPr>
      <w:r w:rsidDel="00000000" w:rsidR="00000000" w:rsidRPr="00000000">
        <w:rPr>
          <w:rtl w:val="0"/>
        </w:rPr>
        <w:t xml:space="preserve">The analyst section was also difficult, and not made easier by having to recalculate everything less than an hour before submitting.</w:t>
      </w:r>
    </w:p>
    <w:p w:rsidR="00000000" w:rsidDel="00000000" w:rsidP="00000000" w:rsidRDefault="00000000" w:rsidRPr="00000000" w14:paraId="00000108">
      <w:pPr>
        <w:spacing w:after="240" w:before="240" w:lineRule="auto"/>
        <w:jc w:val="both"/>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109">
      <w:pPr>
        <w:spacing w:after="240" w:before="240" w:lineRule="auto"/>
        <w:jc w:val="both"/>
        <w:rPr/>
      </w:pPr>
      <w:r w:rsidDel="00000000" w:rsidR="00000000" w:rsidRPr="00000000">
        <w:rPr>
          <w:rtl w:val="0"/>
        </w:rPr>
        <w:t xml:space="preserve">[1] Wang C, Gong B, Bushel PR, et al. The concordance between RNA-seq and microarray data depends on chemical treatment and transcript abundance. Nat Biotechnol. 2014;32(9):926–932. doi:10.1038/nbt.3001</w:t>
      </w:r>
    </w:p>
    <w:p w:rsidR="00000000" w:rsidDel="00000000" w:rsidP="00000000" w:rsidRDefault="00000000" w:rsidRPr="00000000" w14:paraId="0000010A">
      <w:pPr>
        <w:spacing w:after="240" w:before="240" w:lineRule="auto"/>
        <w:jc w:val="both"/>
        <w:rPr/>
      </w:pPr>
      <w:r w:rsidDel="00000000" w:rsidR="00000000" w:rsidRPr="00000000">
        <w:rPr>
          <w:rtl w:val="0"/>
        </w:rPr>
        <w:t xml:space="preserve">[2] https://www.ncbi.nlm.nih.gov/sra/?term=SRP039021</w:t>
      </w:r>
    </w:p>
    <w:p w:rsidR="00000000" w:rsidDel="00000000" w:rsidP="00000000" w:rsidRDefault="00000000" w:rsidRPr="00000000" w14:paraId="0000010B">
      <w:pPr>
        <w:spacing w:after="240" w:before="240" w:lineRule="auto"/>
        <w:jc w:val="both"/>
        <w:rPr/>
      </w:pPr>
      <w:r w:rsidDel="00000000" w:rsidR="00000000" w:rsidRPr="00000000">
        <w:rPr>
          <w:rtl w:val="0"/>
        </w:rPr>
        <w:t xml:space="preserve">[3] https://www.ncbi.nlm.nih.gov/geo/query/acc.cgi?acc=GSE55347</w:t>
      </w:r>
    </w:p>
    <w:p w:rsidR="00000000" w:rsidDel="00000000" w:rsidP="00000000" w:rsidRDefault="00000000" w:rsidRPr="00000000" w14:paraId="0000010C">
      <w:pPr>
        <w:spacing w:after="240" w:before="240" w:lineRule="auto"/>
        <w:jc w:val="both"/>
        <w:rPr/>
      </w:pPr>
      <w:r w:rsidDel="00000000" w:rsidR="00000000" w:rsidRPr="00000000">
        <w:rPr>
          <w:rtl w:val="0"/>
        </w:rPr>
        <w:t xml:space="preserve">[4] https://www.ncbi.nlm.nih.gov/geo/query/acc.cgi?acc=GSE47875</w:t>
      </w:r>
    </w:p>
    <w:p w:rsidR="00000000" w:rsidDel="00000000" w:rsidP="00000000" w:rsidRDefault="00000000" w:rsidRPr="00000000" w14:paraId="0000010D">
      <w:pPr>
        <w:spacing w:after="240" w:before="240" w:lineRule="auto"/>
        <w:jc w:val="both"/>
        <w:rPr/>
      </w:pPr>
      <w:r w:rsidDel="00000000" w:rsidR="00000000" w:rsidRPr="00000000">
        <w:rPr>
          <w:rtl w:val="0"/>
        </w:rPr>
        <w:t xml:space="preserve">[5] https://www.bioinformatics.babraham.ac.uk/projects/fastqc/</w:t>
      </w:r>
    </w:p>
    <w:p w:rsidR="00000000" w:rsidDel="00000000" w:rsidP="00000000" w:rsidRDefault="00000000" w:rsidRPr="00000000" w14:paraId="0000010E">
      <w:pPr>
        <w:spacing w:after="240" w:before="240" w:lineRule="auto"/>
        <w:jc w:val="both"/>
        <w:rPr/>
      </w:pPr>
      <w:r w:rsidDel="00000000" w:rsidR="00000000" w:rsidRPr="00000000">
        <w:rPr>
          <w:rtl w:val="0"/>
        </w:rPr>
        <w:t xml:space="preserve">[6] Ewels P, Magnusson M, Lundin S, Käller M. MultiQC: summarize analysis results for multiple tools and samples in a single report. Bioinformatics. 2016;32(19):3047–3048. doi:10.1093/bioinformatics/btw354</w:t>
      </w:r>
    </w:p>
    <w:p w:rsidR="00000000" w:rsidDel="00000000" w:rsidP="00000000" w:rsidRDefault="00000000" w:rsidRPr="00000000" w14:paraId="0000010F">
      <w:pPr>
        <w:spacing w:after="240" w:before="240" w:lineRule="auto"/>
        <w:jc w:val="both"/>
        <w:rPr/>
      </w:pPr>
      <w:r w:rsidDel="00000000" w:rsidR="00000000" w:rsidRPr="00000000">
        <w:rPr>
          <w:rtl w:val="0"/>
        </w:rPr>
        <w:t xml:space="preserve">[7] https://github.com/alexdobin/STAR/blob/2.5.3a/doc/STARmanual.pdf</w:t>
      </w:r>
    </w:p>
    <w:p w:rsidR="00000000" w:rsidDel="00000000" w:rsidP="00000000" w:rsidRDefault="00000000" w:rsidRPr="00000000" w14:paraId="00000110">
      <w:pPr>
        <w:spacing w:after="240" w:before="240" w:lineRule="auto"/>
        <w:jc w:val="both"/>
        <w:rPr/>
      </w:pPr>
      <w:r w:rsidDel="00000000" w:rsidR="00000000" w:rsidRPr="00000000">
        <w:rPr>
          <w:rtl w:val="0"/>
        </w:rPr>
        <w:t xml:space="preserve">[8] Dobin A, Davis CA, Schlesinger F, et al. STAR: ultrafast universal RNA-seq aligner. Bioinformatics. 2013;29(1):15–21. doi:10.1093/bioinformatics/bts635</w:t>
      </w:r>
    </w:p>
    <w:p w:rsidR="00000000" w:rsidDel="00000000" w:rsidP="00000000" w:rsidRDefault="00000000" w:rsidRPr="00000000" w14:paraId="00000111">
      <w:pPr>
        <w:spacing w:after="240" w:before="240" w:lineRule="auto"/>
        <w:jc w:val="both"/>
        <w:rPr/>
      </w:pPr>
      <w:r w:rsidDel="00000000" w:rsidR="00000000" w:rsidRPr="00000000">
        <w:rPr>
          <w:rtl w:val="0"/>
        </w:rPr>
      </w:r>
    </w:p>
    <w:p w:rsidR="00000000" w:rsidDel="00000000" w:rsidP="00000000" w:rsidRDefault="00000000" w:rsidRPr="00000000" w14:paraId="00000112">
      <w:pPr>
        <w:spacing w:after="240" w:before="240" w:lineRule="auto"/>
        <w:rPr/>
      </w:pPr>
      <w:r w:rsidDel="00000000" w:rsidR="00000000" w:rsidRPr="00000000">
        <w:rPr>
          <w:rtl w:val="0"/>
        </w:rPr>
      </w:r>
    </w:p>
    <w:p w:rsidR="00000000" w:rsidDel="00000000" w:rsidP="00000000" w:rsidRDefault="00000000" w:rsidRPr="00000000" w14:paraId="00000113">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114">
      <w:pPr>
        <w:spacing w:after="240" w:before="240" w:lineRule="auto"/>
        <w:jc w:val="center"/>
        <w:rPr/>
      </w:pPr>
      <w:r w:rsidDel="00000000" w:rsidR="00000000" w:rsidRPr="00000000">
        <w:rPr>
          <w:rtl w:val="0"/>
        </w:rPr>
      </w:r>
    </w:p>
    <w:p w:rsidR="00000000" w:rsidDel="00000000" w:rsidP="00000000" w:rsidRDefault="00000000" w:rsidRPr="00000000" w14:paraId="00000115">
      <w:pPr>
        <w:spacing w:after="240" w:before="240" w:lineRule="auto"/>
        <w:rPr/>
      </w:pPr>
      <w:r w:rsidDel="00000000" w:rsidR="00000000" w:rsidRPr="00000000">
        <w:rPr>
          <w:rtl w:val="0"/>
        </w:rPr>
      </w:r>
    </w:p>
    <w:p w:rsidR="00000000" w:rsidDel="00000000" w:rsidP="00000000" w:rsidRDefault="00000000" w:rsidRPr="00000000" w14:paraId="00000116">
      <w:pPr>
        <w:rPr>
          <w:b w:val="1"/>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27.png"/><Relationship Id="rId21" Type="http://schemas.openxmlformats.org/officeDocument/2006/relationships/image" Target="media/image25.png"/><Relationship Id="rId24" Type="http://schemas.openxmlformats.org/officeDocument/2006/relationships/image" Target="media/image5.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15.png"/><Relationship Id="rId25" Type="http://schemas.openxmlformats.org/officeDocument/2006/relationships/image" Target="media/image6.png"/><Relationship Id="rId28" Type="http://schemas.openxmlformats.org/officeDocument/2006/relationships/image" Target="media/image3.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image" Target="media/image16.png"/><Relationship Id="rId7" Type="http://schemas.openxmlformats.org/officeDocument/2006/relationships/image" Target="media/image4.png"/><Relationship Id="rId8" Type="http://schemas.openxmlformats.org/officeDocument/2006/relationships/image" Target="media/image13.png"/><Relationship Id="rId31" Type="http://schemas.openxmlformats.org/officeDocument/2006/relationships/image" Target="media/image1.png"/><Relationship Id="rId30" Type="http://schemas.openxmlformats.org/officeDocument/2006/relationships/image" Target="media/image12.png"/><Relationship Id="rId11" Type="http://schemas.openxmlformats.org/officeDocument/2006/relationships/image" Target="media/image8.png"/><Relationship Id="rId10" Type="http://schemas.openxmlformats.org/officeDocument/2006/relationships/image" Target="media/image9.png"/><Relationship Id="rId32" Type="http://schemas.openxmlformats.org/officeDocument/2006/relationships/image" Target="media/image18.png"/><Relationship Id="rId13" Type="http://schemas.openxmlformats.org/officeDocument/2006/relationships/image" Target="media/image14.png"/><Relationship Id="rId12" Type="http://schemas.openxmlformats.org/officeDocument/2006/relationships/image" Target="media/image7.png"/><Relationship Id="rId15" Type="http://schemas.openxmlformats.org/officeDocument/2006/relationships/image" Target="media/image19.png"/><Relationship Id="rId14" Type="http://schemas.openxmlformats.org/officeDocument/2006/relationships/image" Target="media/image17.png"/><Relationship Id="rId17" Type="http://schemas.openxmlformats.org/officeDocument/2006/relationships/image" Target="media/image26.png"/><Relationship Id="rId16" Type="http://schemas.openxmlformats.org/officeDocument/2006/relationships/image" Target="media/image10.png"/><Relationship Id="rId19" Type="http://schemas.openxmlformats.org/officeDocument/2006/relationships/image" Target="media/image21.png"/><Relationship Id="rId1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