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80DA78" w14:textId="77777777" w:rsidR="00182EC1" w:rsidRPr="00420436" w:rsidRDefault="00DC219A" w:rsidP="00182EC1">
      <w:pPr>
        <w:jc w:val="center"/>
        <w:rPr>
          <w:rFonts w:ascii="Times New Roman" w:hAnsi="Times New Roman" w:cs="Times New Roman"/>
          <w:b/>
        </w:rPr>
      </w:pPr>
      <w:r w:rsidRPr="00420436">
        <w:rPr>
          <w:rFonts w:ascii="Times New Roman" w:hAnsi="Times New Roman" w:cs="Times New Roman"/>
          <w:b/>
        </w:rPr>
        <w:t>Nutrition Surveillance Dissemination Platform- Requirement</w:t>
      </w:r>
      <w:r w:rsidR="00970C27" w:rsidRPr="00420436">
        <w:rPr>
          <w:rFonts w:ascii="Times New Roman" w:hAnsi="Times New Roman" w:cs="Times New Roman"/>
          <w:b/>
        </w:rPr>
        <w:t>s</w:t>
      </w:r>
      <w:r w:rsidR="00EE5F8D" w:rsidRPr="00420436">
        <w:rPr>
          <w:rFonts w:ascii="Times New Roman" w:hAnsi="Times New Roman" w:cs="Times New Roman"/>
          <w:b/>
        </w:rPr>
        <w:t xml:space="preserve"> for Usual Intake</w:t>
      </w:r>
      <w:r w:rsidR="002726DF" w:rsidRPr="00420436">
        <w:rPr>
          <w:rFonts w:ascii="Times New Roman" w:hAnsi="Times New Roman" w:cs="Times New Roman"/>
          <w:b/>
        </w:rPr>
        <w:t xml:space="preserve"> Data Tools</w:t>
      </w:r>
    </w:p>
    <w:p w14:paraId="6D4A20E8" w14:textId="77777777" w:rsidR="004E4F8B" w:rsidRPr="00420436" w:rsidRDefault="004E4F8B" w:rsidP="007A03A8">
      <w:pPr>
        <w:pStyle w:val="ListParagraph"/>
        <w:numPr>
          <w:ilvl w:val="0"/>
          <w:numId w:val="16"/>
        </w:numPr>
        <w:spacing w:after="0"/>
        <w:rPr>
          <w:rFonts w:ascii="Times New Roman" w:hAnsi="Times New Roman" w:cs="Times New Roman"/>
          <w:b/>
          <w:szCs w:val="18"/>
        </w:rPr>
      </w:pPr>
      <w:r w:rsidRPr="00420436">
        <w:rPr>
          <w:rFonts w:ascii="Times New Roman" w:hAnsi="Times New Roman" w:cs="Times New Roman"/>
          <w:b/>
          <w:szCs w:val="18"/>
        </w:rPr>
        <w:t>Purpose</w:t>
      </w:r>
    </w:p>
    <w:p w14:paraId="4FDD5306" w14:textId="6CB46940" w:rsidR="007C68C3" w:rsidRPr="00420436" w:rsidRDefault="007C68C3" w:rsidP="000E5083">
      <w:pPr>
        <w:spacing w:after="0"/>
        <w:rPr>
          <w:rFonts w:ascii="Times New Roman" w:hAnsi="Times New Roman" w:cs="Times New Roman"/>
          <w:szCs w:val="18"/>
        </w:rPr>
      </w:pPr>
      <w:r w:rsidRPr="00420436">
        <w:rPr>
          <w:rFonts w:ascii="Times New Roman" w:hAnsi="Times New Roman" w:cs="Times New Roman"/>
          <w:szCs w:val="18"/>
        </w:rPr>
        <w:t>T</w:t>
      </w:r>
      <w:r w:rsidR="004E4F8B" w:rsidRPr="00420436">
        <w:rPr>
          <w:rFonts w:ascii="Times New Roman" w:hAnsi="Times New Roman" w:cs="Times New Roman"/>
          <w:szCs w:val="18"/>
        </w:rPr>
        <w:t xml:space="preserve">his document </w:t>
      </w:r>
      <w:r w:rsidRPr="00420436">
        <w:rPr>
          <w:rFonts w:ascii="Times New Roman" w:hAnsi="Times New Roman" w:cs="Times New Roman"/>
          <w:szCs w:val="18"/>
        </w:rPr>
        <w:t>describes</w:t>
      </w:r>
      <w:r w:rsidR="004E4F8B" w:rsidRPr="00420436">
        <w:rPr>
          <w:rFonts w:ascii="Times New Roman" w:hAnsi="Times New Roman" w:cs="Times New Roman"/>
          <w:szCs w:val="18"/>
        </w:rPr>
        <w:t xml:space="preserve"> the</w:t>
      </w:r>
      <w:r w:rsidRPr="00420436">
        <w:rPr>
          <w:rFonts w:ascii="Times New Roman" w:hAnsi="Times New Roman" w:cs="Times New Roman"/>
          <w:szCs w:val="18"/>
        </w:rPr>
        <w:t xml:space="preserve"> updated</w:t>
      </w:r>
      <w:r w:rsidR="004E4F8B" w:rsidRPr="00420436">
        <w:rPr>
          <w:rFonts w:ascii="Times New Roman" w:hAnsi="Times New Roman" w:cs="Times New Roman"/>
          <w:szCs w:val="18"/>
        </w:rPr>
        <w:t xml:space="preserve"> requirements </w:t>
      </w:r>
      <w:r w:rsidRPr="00420436">
        <w:rPr>
          <w:rFonts w:ascii="Times New Roman" w:hAnsi="Times New Roman" w:cs="Times New Roman"/>
          <w:szCs w:val="18"/>
        </w:rPr>
        <w:t>for</w:t>
      </w:r>
      <w:r w:rsidR="004E4F8B" w:rsidRPr="00420436">
        <w:rPr>
          <w:rFonts w:ascii="Times New Roman" w:hAnsi="Times New Roman" w:cs="Times New Roman"/>
          <w:szCs w:val="18"/>
        </w:rPr>
        <w:t xml:space="preserve"> Nutrition Surveillance </w:t>
      </w:r>
      <w:r w:rsidR="00223315" w:rsidRPr="00420436">
        <w:rPr>
          <w:rFonts w:ascii="Times New Roman" w:hAnsi="Times New Roman" w:cs="Times New Roman"/>
          <w:szCs w:val="18"/>
        </w:rPr>
        <w:t xml:space="preserve">Data </w:t>
      </w:r>
      <w:r w:rsidRPr="00420436">
        <w:rPr>
          <w:rFonts w:ascii="Times New Roman" w:hAnsi="Times New Roman" w:cs="Times New Roman"/>
          <w:szCs w:val="18"/>
        </w:rPr>
        <w:t xml:space="preserve">Tool. </w:t>
      </w:r>
      <w:r w:rsidR="004E4F8B" w:rsidRPr="00420436">
        <w:rPr>
          <w:rFonts w:ascii="Times New Roman" w:hAnsi="Times New Roman" w:cs="Times New Roman"/>
          <w:szCs w:val="18"/>
        </w:rPr>
        <w:t xml:space="preserve">This </w:t>
      </w:r>
      <w:r w:rsidRPr="00420436">
        <w:rPr>
          <w:rFonts w:ascii="Times New Roman" w:hAnsi="Times New Roman" w:cs="Times New Roman"/>
          <w:szCs w:val="18"/>
        </w:rPr>
        <w:t>tool is</w:t>
      </w:r>
      <w:r w:rsidR="004E4F8B" w:rsidRPr="00420436">
        <w:rPr>
          <w:rFonts w:ascii="Times New Roman" w:hAnsi="Times New Roman" w:cs="Times New Roman"/>
          <w:szCs w:val="18"/>
        </w:rPr>
        <w:t xml:space="preserve"> initially </w:t>
      </w:r>
      <w:r w:rsidRPr="00420436">
        <w:rPr>
          <w:rFonts w:ascii="Times New Roman" w:hAnsi="Times New Roman" w:cs="Times New Roman"/>
          <w:szCs w:val="18"/>
        </w:rPr>
        <w:t xml:space="preserve">being </w:t>
      </w:r>
      <w:r w:rsidR="004E4F8B" w:rsidRPr="00420436">
        <w:rPr>
          <w:rFonts w:ascii="Times New Roman" w:hAnsi="Times New Roman" w:cs="Times New Roman"/>
          <w:szCs w:val="18"/>
        </w:rPr>
        <w:t xml:space="preserve">designed for the dissemination </w:t>
      </w:r>
      <w:r w:rsidR="00D51AA4" w:rsidRPr="00420436">
        <w:rPr>
          <w:rFonts w:ascii="Times New Roman" w:hAnsi="Times New Roman" w:cs="Times New Roman"/>
          <w:szCs w:val="18"/>
        </w:rPr>
        <w:t xml:space="preserve">of </w:t>
      </w:r>
      <w:r w:rsidR="007C111E" w:rsidRPr="00420436">
        <w:rPr>
          <w:rFonts w:ascii="Times New Roman" w:hAnsi="Times New Roman" w:cs="Times New Roman"/>
          <w:szCs w:val="18"/>
        </w:rPr>
        <w:t xml:space="preserve">usual </w:t>
      </w:r>
      <w:r w:rsidR="00707DFB" w:rsidRPr="00420436">
        <w:rPr>
          <w:rFonts w:ascii="Times New Roman" w:hAnsi="Times New Roman" w:cs="Times New Roman"/>
          <w:szCs w:val="18"/>
        </w:rPr>
        <w:t>nutrient intake</w:t>
      </w:r>
      <w:r w:rsidR="0056683E" w:rsidRPr="00420436">
        <w:rPr>
          <w:rFonts w:ascii="Times New Roman" w:hAnsi="Times New Roman" w:cs="Times New Roman"/>
          <w:szCs w:val="18"/>
        </w:rPr>
        <w:t xml:space="preserve"> </w:t>
      </w:r>
      <w:r w:rsidR="007C111E" w:rsidRPr="00420436">
        <w:rPr>
          <w:rFonts w:ascii="Times New Roman" w:hAnsi="Times New Roman" w:cs="Times New Roman"/>
          <w:szCs w:val="18"/>
        </w:rPr>
        <w:t>data</w:t>
      </w:r>
      <w:r w:rsidR="00707DFB" w:rsidRPr="00420436">
        <w:rPr>
          <w:rFonts w:ascii="Times New Roman" w:hAnsi="Times New Roman" w:cs="Times New Roman"/>
          <w:szCs w:val="18"/>
        </w:rPr>
        <w:t xml:space="preserve"> </w:t>
      </w:r>
      <w:r w:rsidR="00D51AA4" w:rsidRPr="00420436">
        <w:rPr>
          <w:rFonts w:ascii="Times New Roman" w:hAnsi="Times New Roman" w:cs="Times New Roman"/>
          <w:szCs w:val="18"/>
        </w:rPr>
        <w:t xml:space="preserve">from the </w:t>
      </w:r>
      <w:r w:rsidR="00707DFB" w:rsidRPr="00420436">
        <w:rPr>
          <w:rFonts w:ascii="Times New Roman" w:hAnsi="Times New Roman" w:cs="Times New Roman"/>
          <w:szCs w:val="18"/>
        </w:rPr>
        <w:t xml:space="preserve">2015 </w:t>
      </w:r>
      <w:r w:rsidR="00D51AA4" w:rsidRPr="00420436">
        <w:rPr>
          <w:rFonts w:ascii="Times New Roman" w:hAnsi="Times New Roman" w:cs="Times New Roman"/>
          <w:szCs w:val="18"/>
        </w:rPr>
        <w:t>Canadian Community Health Survey–Nutrition (CCHS-Nutrition)</w:t>
      </w:r>
      <w:r w:rsidR="008C0D09" w:rsidRPr="00420436">
        <w:rPr>
          <w:rFonts w:ascii="Times New Roman" w:hAnsi="Times New Roman" w:cs="Times New Roman"/>
          <w:szCs w:val="18"/>
        </w:rPr>
        <w:t>. T</w:t>
      </w:r>
      <w:r w:rsidR="00D51AA4" w:rsidRPr="00420436">
        <w:rPr>
          <w:rFonts w:ascii="Times New Roman" w:hAnsi="Times New Roman" w:cs="Times New Roman"/>
          <w:szCs w:val="18"/>
        </w:rPr>
        <w:t xml:space="preserve">he long-term goal </w:t>
      </w:r>
      <w:r w:rsidR="008C0D09" w:rsidRPr="00420436">
        <w:rPr>
          <w:rFonts w:ascii="Times New Roman" w:hAnsi="Times New Roman" w:cs="Times New Roman"/>
          <w:szCs w:val="18"/>
        </w:rPr>
        <w:t>is</w:t>
      </w:r>
      <w:r w:rsidR="0006154A" w:rsidRPr="00420436">
        <w:rPr>
          <w:rFonts w:ascii="Times New Roman" w:hAnsi="Times New Roman" w:cs="Times New Roman"/>
          <w:szCs w:val="18"/>
        </w:rPr>
        <w:t xml:space="preserve"> </w:t>
      </w:r>
      <w:r w:rsidR="008C0D09" w:rsidRPr="00420436">
        <w:rPr>
          <w:rFonts w:ascii="Times New Roman" w:hAnsi="Times New Roman" w:cs="Times New Roman"/>
          <w:szCs w:val="18"/>
        </w:rPr>
        <w:t xml:space="preserve">to </w:t>
      </w:r>
      <w:r w:rsidR="0006154A" w:rsidRPr="00420436">
        <w:rPr>
          <w:rFonts w:ascii="Times New Roman" w:hAnsi="Times New Roman" w:cs="Times New Roman"/>
          <w:szCs w:val="18"/>
        </w:rPr>
        <w:t>create</w:t>
      </w:r>
      <w:r w:rsidR="00D51AA4" w:rsidRPr="00420436">
        <w:rPr>
          <w:rFonts w:ascii="Times New Roman" w:hAnsi="Times New Roman" w:cs="Times New Roman"/>
          <w:szCs w:val="18"/>
        </w:rPr>
        <w:t xml:space="preserve"> a central hub for all </w:t>
      </w:r>
      <w:r w:rsidR="00223315" w:rsidRPr="00420436">
        <w:rPr>
          <w:rFonts w:ascii="Times New Roman" w:hAnsi="Times New Roman" w:cs="Times New Roman"/>
          <w:szCs w:val="18"/>
        </w:rPr>
        <w:t xml:space="preserve">FD </w:t>
      </w:r>
      <w:r w:rsidR="00D51AA4" w:rsidRPr="00420436">
        <w:rPr>
          <w:rFonts w:ascii="Times New Roman" w:hAnsi="Times New Roman" w:cs="Times New Roman"/>
          <w:szCs w:val="18"/>
        </w:rPr>
        <w:t xml:space="preserve">nutrition surveillance data. </w:t>
      </w:r>
    </w:p>
    <w:p w14:paraId="78C6F900" w14:textId="77777777" w:rsidR="004E4F8B" w:rsidRPr="00420436" w:rsidRDefault="004E4F8B" w:rsidP="000E5083">
      <w:pPr>
        <w:spacing w:after="0"/>
        <w:rPr>
          <w:rFonts w:ascii="Times New Roman" w:hAnsi="Times New Roman" w:cs="Times New Roman"/>
          <w:szCs w:val="18"/>
          <w:u w:val="single"/>
        </w:rPr>
      </w:pPr>
    </w:p>
    <w:p w14:paraId="044B5D74" w14:textId="77777777" w:rsidR="004B14C7" w:rsidRPr="00420436" w:rsidRDefault="004B14C7" w:rsidP="007A03A8">
      <w:pPr>
        <w:pStyle w:val="ListParagraph"/>
        <w:numPr>
          <w:ilvl w:val="0"/>
          <w:numId w:val="16"/>
        </w:numPr>
        <w:spacing w:after="0"/>
        <w:rPr>
          <w:rFonts w:ascii="Times New Roman" w:hAnsi="Times New Roman" w:cs="Times New Roman"/>
          <w:b/>
          <w:szCs w:val="18"/>
        </w:rPr>
      </w:pPr>
      <w:r w:rsidRPr="00420436">
        <w:rPr>
          <w:rFonts w:ascii="Times New Roman" w:hAnsi="Times New Roman" w:cs="Times New Roman"/>
          <w:b/>
          <w:szCs w:val="18"/>
        </w:rPr>
        <w:t>Background</w:t>
      </w:r>
    </w:p>
    <w:p w14:paraId="5A4CE6B5" w14:textId="77777777" w:rsidR="000A709B" w:rsidRPr="00420436" w:rsidRDefault="004023AD" w:rsidP="000A709B">
      <w:pPr>
        <w:spacing w:after="0"/>
        <w:rPr>
          <w:rFonts w:ascii="Times New Roman" w:hAnsi="Times New Roman" w:cs="Times New Roman"/>
          <w:szCs w:val="18"/>
        </w:rPr>
      </w:pPr>
      <w:r w:rsidRPr="00420436">
        <w:rPr>
          <w:rFonts w:ascii="Times New Roman" w:hAnsi="Times New Roman" w:cs="Times New Roman"/>
          <w:szCs w:val="18"/>
        </w:rPr>
        <w:t>National</w:t>
      </w:r>
      <w:r w:rsidR="00BA44CE" w:rsidRPr="00420436">
        <w:rPr>
          <w:rFonts w:ascii="Times New Roman" w:hAnsi="Times New Roman" w:cs="Times New Roman"/>
          <w:szCs w:val="18"/>
        </w:rPr>
        <w:t xml:space="preserve"> n</w:t>
      </w:r>
      <w:r w:rsidR="00FC7923" w:rsidRPr="00420436">
        <w:rPr>
          <w:rFonts w:ascii="Times New Roman" w:hAnsi="Times New Roman" w:cs="Times New Roman"/>
          <w:szCs w:val="18"/>
        </w:rPr>
        <w:t>utritio</w:t>
      </w:r>
      <w:r w:rsidR="000A709B" w:rsidRPr="00420436">
        <w:rPr>
          <w:rFonts w:ascii="Times New Roman" w:hAnsi="Times New Roman" w:cs="Times New Roman"/>
          <w:szCs w:val="18"/>
        </w:rPr>
        <w:t xml:space="preserve">n surveillance data </w:t>
      </w:r>
      <w:r w:rsidR="00FC7923" w:rsidRPr="00420436">
        <w:rPr>
          <w:rFonts w:ascii="Times New Roman" w:hAnsi="Times New Roman" w:cs="Times New Roman"/>
          <w:szCs w:val="18"/>
        </w:rPr>
        <w:t xml:space="preserve">are used by </w:t>
      </w:r>
      <w:r w:rsidR="00B300ED" w:rsidRPr="00420436">
        <w:rPr>
          <w:rFonts w:ascii="Times New Roman" w:hAnsi="Times New Roman" w:cs="Times New Roman"/>
          <w:szCs w:val="18"/>
        </w:rPr>
        <w:t xml:space="preserve">diverse </w:t>
      </w:r>
      <w:r w:rsidR="007423C6" w:rsidRPr="00420436">
        <w:rPr>
          <w:rFonts w:ascii="Times New Roman" w:hAnsi="Times New Roman" w:cs="Times New Roman"/>
          <w:szCs w:val="18"/>
        </w:rPr>
        <w:t>audiences</w:t>
      </w:r>
      <w:r w:rsidR="00FC7923" w:rsidRPr="00420436">
        <w:rPr>
          <w:rFonts w:ascii="Times New Roman" w:hAnsi="Times New Roman" w:cs="Times New Roman"/>
          <w:szCs w:val="18"/>
        </w:rPr>
        <w:t xml:space="preserve"> including but not limited to various federal departments, provinces, health care professionals, industry, academics, media and the </w:t>
      </w:r>
      <w:r w:rsidR="005B7FAE" w:rsidRPr="00420436">
        <w:rPr>
          <w:rFonts w:ascii="Times New Roman" w:hAnsi="Times New Roman" w:cs="Times New Roman"/>
          <w:szCs w:val="18"/>
        </w:rPr>
        <w:t>public</w:t>
      </w:r>
      <w:r w:rsidR="00FC7923" w:rsidRPr="00420436">
        <w:rPr>
          <w:rFonts w:ascii="Times New Roman" w:hAnsi="Times New Roman" w:cs="Times New Roman"/>
          <w:szCs w:val="18"/>
        </w:rPr>
        <w:t xml:space="preserve">. The </w:t>
      </w:r>
      <w:r w:rsidR="00D662D6" w:rsidRPr="00420436">
        <w:rPr>
          <w:rFonts w:ascii="Times New Roman" w:hAnsi="Times New Roman" w:cs="Times New Roman"/>
          <w:szCs w:val="18"/>
        </w:rPr>
        <w:t>CCHS-Nutrition</w:t>
      </w:r>
      <w:r w:rsidR="00FC7923" w:rsidRPr="00420436">
        <w:rPr>
          <w:rFonts w:ascii="Times New Roman" w:hAnsi="Times New Roman" w:cs="Times New Roman"/>
          <w:szCs w:val="18"/>
        </w:rPr>
        <w:t xml:space="preserve">, a </w:t>
      </w:r>
      <w:r w:rsidR="005B7FAE" w:rsidRPr="00420436">
        <w:rPr>
          <w:rFonts w:ascii="Times New Roman" w:hAnsi="Times New Roman" w:cs="Times New Roman"/>
          <w:szCs w:val="18"/>
        </w:rPr>
        <w:t>nationally representative</w:t>
      </w:r>
      <w:r w:rsidR="00FC7923" w:rsidRPr="00420436">
        <w:rPr>
          <w:rFonts w:ascii="Times New Roman" w:hAnsi="Times New Roman" w:cs="Times New Roman"/>
          <w:szCs w:val="18"/>
        </w:rPr>
        <w:t xml:space="preserve"> survey of the nutrition of </w:t>
      </w:r>
      <w:r w:rsidR="007423C6" w:rsidRPr="00420436">
        <w:rPr>
          <w:rFonts w:ascii="Times New Roman" w:hAnsi="Times New Roman" w:cs="Times New Roman"/>
          <w:szCs w:val="18"/>
        </w:rPr>
        <w:t>Canadians</w:t>
      </w:r>
      <w:r w:rsidR="00FC7923" w:rsidRPr="00420436">
        <w:rPr>
          <w:rFonts w:ascii="Times New Roman" w:hAnsi="Times New Roman" w:cs="Times New Roman"/>
          <w:szCs w:val="18"/>
        </w:rPr>
        <w:t xml:space="preserve">, </w:t>
      </w:r>
      <w:r w:rsidR="000A709B" w:rsidRPr="00420436">
        <w:rPr>
          <w:rFonts w:ascii="Times New Roman" w:hAnsi="Times New Roman" w:cs="Times New Roman"/>
          <w:szCs w:val="18"/>
        </w:rPr>
        <w:t>provi</w:t>
      </w:r>
      <w:r w:rsidR="00EF35E3" w:rsidRPr="00420436">
        <w:rPr>
          <w:rFonts w:ascii="Times New Roman" w:hAnsi="Times New Roman" w:cs="Times New Roman"/>
          <w:szCs w:val="18"/>
        </w:rPr>
        <w:t>des essential data for</w:t>
      </w:r>
      <w:r w:rsidR="000A709B" w:rsidRPr="00420436">
        <w:rPr>
          <w:rFonts w:ascii="Times New Roman" w:hAnsi="Times New Roman" w:cs="Times New Roman"/>
          <w:szCs w:val="18"/>
        </w:rPr>
        <w:t xml:space="preserve"> an evidence-based food and nutrient standard setting and regulatory system and an important line of evidence </w:t>
      </w:r>
      <w:r w:rsidR="007423C6" w:rsidRPr="00420436">
        <w:rPr>
          <w:rFonts w:ascii="Times New Roman" w:hAnsi="Times New Roman" w:cs="Times New Roman"/>
          <w:szCs w:val="18"/>
        </w:rPr>
        <w:t>to support</w:t>
      </w:r>
      <w:r w:rsidR="000A709B" w:rsidRPr="00420436">
        <w:rPr>
          <w:rFonts w:ascii="Times New Roman" w:hAnsi="Times New Roman" w:cs="Times New Roman"/>
          <w:szCs w:val="18"/>
        </w:rPr>
        <w:t xml:space="preserve"> policies related to dietary guidance</w:t>
      </w:r>
      <w:r w:rsidR="00FC7923" w:rsidRPr="00420436">
        <w:rPr>
          <w:rFonts w:ascii="Times New Roman" w:hAnsi="Times New Roman" w:cs="Times New Roman"/>
          <w:szCs w:val="18"/>
        </w:rPr>
        <w:t xml:space="preserve">. </w:t>
      </w:r>
      <w:r w:rsidR="000A709B" w:rsidRPr="00420436">
        <w:rPr>
          <w:rFonts w:ascii="Times New Roman" w:hAnsi="Times New Roman" w:cs="Times New Roman"/>
          <w:szCs w:val="18"/>
        </w:rPr>
        <w:t xml:space="preserve">The latest survey was conducted in 2015. </w:t>
      </w:r>
      <w:r w:rsidRPr="00420436">
        <w:rPr>
          <w:rFonts w:ascii="Times New Roman" w:hAnsi="Times New Roman" w:cs="Times New Roman"/>
          <w:szCs w:val="18"/>
        </w:rPr>
        <w:t>D</w:t>
      </w:r>
      <w:r w:rsidR="000A709B" w:rsidRPr="00420436">
        <w:rPr>
          <w:rFonts w:ascii="Times New Roman" w:hAnsi="Times New Roman" w:cs="Times New Roman"/>
          <w:szCs w:val="18"/>
        </w:rPr>
        <w:t xml:space="preserve">evelopment and implementation of the 2015 CCHS-Nutrition </w:t>
      </w:r>
      <w:r w:rsidR="005B7FAE" w:rsidRPr="00420436">
        <w:rPr>
          <w:rFonts w:ascii="Times New Roman" w:hAnsi="Times New Roman" w:cs="Times New Roman"/>
          <w:szCs w:val="18"/>
        </w:rPr>
        <w:t>was</w:t>
      </w:r>
      <w:r w:rsidR="000A709B" w:rsidRPr="00420436">
        <w:rPr>
          <w:rFonts w:ascii="Times New Roman" w:hAnsi="Times New Roman" w:cs="Times New Roman"/>
          <w:szCs w:val="18"/>
        </w:rPr>
        <w:t xml:space="preserve"> a joint initiative between Health Canada and Statistics Canada</w:t>
      </w:r>
      <w:r w:rsidR="00FE0BB4" w:rsidRPr="00420436">
        <w:rPr>
          <w:rFonts w:ascii="Times New Roman" w:hAnsi="Times New Roman" w:cs="Times New Roman"/>
          <w:szCs w:val="18"/>
        </w:rPr>
        <w:t xml:space="preserve"> (STC)</w:t>
      </w:r>
      <w:r w:rsidRPr="00420436">
        <w:rPr>
          <w:rFonts w:ascii="Times New Roman" w:hAnsi="Times New Roman" w:cs="Times New Roman"/>
          <w:szCs w:val="18"/>
        </w:rPr>
        <w:t>, similar to when this survey was last done in 2004.</w:t>
      </w:r>
    </w:p>
    <w:p w14:paraId="533B971A" w14:textId="77777777" w:rsidR="004023AD" w:rsidRPr="00420436" w:rsidRDefault="004023AD" w:rsidP="004E4F8B">
      <w:pPr>
        <w:tabs>
          <w:tab w:val="left" w:pos="5810"/>
        </w:tabs>
        <w:spacing w:after="0"/>
        <w:rPr>
          <w:rFonts w:ascii="Times New Roman" w:hAnsi="Times New Roman" w:cs="Times New Roman"/>
          <w:szCs w:val="18"/>
        </w:rPr>
      </w:pPr>
    </w:p>
    <w:p w14:paraId="3020A91F" w14:textId="352A807E" w:rsidR="00C060A3" w:rsidRPr="00420436" w:rsidRDefault="005B3F9F" w:rsidP="004023AD">
      <w:pPr>
        <w:tabs>
          <w:tab w:val="left" w:pos="5810"/>
        </w:tabs>
        <w:spacing w:after="0"/>
        <w:rPr>
          <w:rFonts w:ascii="Times New Roman" w:hAnsi="Times New Roman" w:cs="Times New Roman"/>
          <w:szCs w:val="18"/>
        </w:rPr>
      </w:pPr>
      <w:r w:rsidRPr="00420436">
        <w:rPr>
          <w:rFonts w:ascii="Times New Roman" w:hAnsi="Times New Roman" w:cs="Times New Roman"/>
          <w:szCs w:val="18"/>
        </w:rPr>
        <w:t xml:space="preserve">Given the importance of the CCHS-Nutrition data </w:t>
      </w:r>
      <w:r w:rsidR="000625AB" w:rsidRPr="00420436">
        <w:rPr>
          <w:rFonts w:ascii="Times New Roman" w:hAnsi="Times New Roman" w:cs="Times New Roman"/>
          <w:szCs w:val="18"/>
        </w:rPr>
        <w:t xml:space="preserve">for </w:t>
      </w:r>
      <w:r w:rsidR="00B300ED" w:rsidRPr="00420436">
        <w:rPr>
          <w:rFonts w:ascii="Times New Roman" w:hAnsi="Times New Roman" w:cs="Times New Roman"/>
          <w:szCs w:val="18"/>
        </w:rPr>
        <w:t xml:space="preserve">multiple themes in the HPFB’s Strategic Plan 2016-21 and the </w:t>
      </w:r>
      <w:r w:rsidRPr="00420436">
        <w:rPr>
          <w:rFonts w:ascii="Times New Roman" w:hAnsi="Times New Roman" w:cs="Times New Roman"/>
          <w:szCs w:val="18"/>
        </w:rPr>
        <w:t>broad g</w:t>
      </w:r>
      <w:r w:rsidR="000625AB" w:rsidRPr="00420436">
        <w:rPr>
          <w:rFonts w:ascii="Times New Roman" w:hAnsi="Times New Roman" w:cs="Times New Roman"/>
          <w:szCs w:val="18"/>
        </w:rPr>
        <w:t>roup of interested stakeholders</w:t>
      </w:r>
      <w:r w:rsidR="004C5855" w:rsidRPr="00420436">
        <w:rPr>
          <w:rFonts w:ascii="Times New Roman" w:hAnsi="Times New Roman" w:cs="Times New Roman"/>
          <w:szCs w:val="18"/>
        </w:rPr>
        <w:t xml:space="preserve">, </w:t>
      </w:r>
      <w:r w:rsidRPr="00420436">
        <w:rPr>
          <w:rFonts w:ascii="Times New Roman" w:hAnsi="Times New Roman" w:cs="Times New Roman"/>
          <w:szCs w:val="18"/>
        </w:rPr>
        <w:t>d</w:t>
      </w:r>
      <w:r w:rsidR="000C0E14" w:rsidRPr="00420436">
        <w:rPr>
          <w:rFonts w:ascii="Times New Roman" w:hAnsi="Times New Roman" w:cs="Times New Roman"/>
          <w:szCs w:val="18"/>
        </w:rPr>
        <w:t xml:space="preserve">issemination </w:t>
      </w:r>
      <w:r w:rsidR="00D14356" w:rsidRPr="00420436">
        <w:rPr>
          <w:rFonts w:ascii="Times New Roman" w:hAnsi="Times New Roman" w:cs="Times New Roman"/>
          <w:szCs w:val="18"/>
        </w:rPr>
        <w:t>i</w:t>
      </w:r>
      <w:r w:rsidR="000C0E14" w:rsidRPr="00420436">
        <w:rPr>
          <w:rFonts w:ascii="Times New Roman" w:hAnsi="Times New Roman" w:cs="Times New Roman"/>
          <w:szCs w:val="18"/>
        </w:rPr>
        <w:t xml:space="preserve">s a </w:t>
      </w:r>
      <w:r w:rsidRPr="00420436">
        <w:rPr>
          <w:rFonts w:ascii="Times New Roman" w:hAnsi="Times New Roman" w:cs="Times New Roman"/>
          <w:szCs w:val="18"/>
        </w:rPr>
        <w:t>key priority.</w:t>
      </w:r>
      <w:r w:rsidR="002A3132" w:rsidRPr="00420436">
        <w:rPr>
          <w:rFonts w:ascii="Times New Roman" w:hAnsi="Times New Roman" w:cs="Times New Roman"/>
          <w:szCs w:val="18"/>
        </w:rPr>
        <w:t xml:space="preserve"> </w:t>
      </w:r>
      <w:r w:rsidR="00707DFB" w:rsidRPr="00420436">
        <w:rPr>
          <w:rFonts w:ascii="Times New Roman" w:hAnsi="Times New Roman" w:cs="Times New Roman"/>
          <w:szCs w:val="18"/>
        </w:rPr>
        <w:t xml:space="preserve"> </w:t>
      </w:r>
      <w:r w:rsidR="007423C6" w:rsidRPr="00420436">
        <w:rPr>
          <w:rFonts w:ascii="Times New Roman" w:hAnsi="Times New Roman" w:cs="Times New Roman"/>
          <w:szCs w:val="18"/>
        </w:rPr>
        <w:t>The</w:t>
      </w:r>
      <w:r w:rsidR="002A3132" w:rsidRPr="00420436">
        <w:rPr>
          <w:rFonts w:ascii="Times New Roman" w:hAnsi="Times New Roman" w:cs="Times New Roman"/>
          <w:szCs w:val="18"/>
        </w:rPr>
        <w:t xml:space="preserve"> Bureau of Food </w:t>
      </w:r>
      <w:r w:rsidR="00304D77" w:rsidRPr="00420436">
        <w:rPr>
          <w:rFonts w:ascii="Times New Roman" w:hAnsi="Times New Roman" w:cs="Times New Roman"/>
          <w:szCs w:val="18"/>
        </w:rPr>
        <w:t xml:space="preserve">Surveillance </w:t>
      </w:r>
      <w:r w:rsidR="002A3132" w:rsidRPr="00420436">
        <w:rPr>
          <w:rFonts w:ascii="Times New Roman" w:hAnsi="Times New Roman" w:cs="Times New Roman"/>
          <w:szCs w:val="18"/>
        </w:rPr>
        <w:t>and Science Integration (BFSSI)</w:t>
      </w:r>
      <w:r w:rsidR="007423C6" w:rsidRPr="00420436">
        <w:rPr>
          <w:rFonts w:ascii="Times New Roman" w:hAnsi="Times New Roman" w:cs="Times New Roman"/>
          <w:szCs w:val="18"/>
        </w:rPr>
        <w:t xml:space="preserve"> is responsible for this dissemination</w:t>
      </w:r>
      <w:r w:rsidR="002A3132" w:rsidRPr="00420436">
        <w:rPr>
          <w:rFonts w:ascii="Times New Roman" w:hAnsi="Times New Roman" w:cs="Times New Roman"/>
          <w:szCs w:val="18"/>
        </w:rPr>
        <w:t>.</w:t>
      </w:r>
      <w:r w:rsidRPr="00420436">
        <w:rPr>
          <w:rFonts w:ascii="Times New Roman" w:hAnsi="Times New Roman" w:cs="Times New Roman"/>
          <w:szCs w:val="18"/>
        </w:rPr>
        <w:t xml:space="preserve"> </w:t>
      </w:r>
      <w:r w:rsidR="00C060A3" w:rsidRPr="00420436">
        <w:rPr>
          <w:rFonts w:ascii="Times New Roman" w:hAnsi="Times New Roman" w:cs="Times New Roman"/>
          <w:szCs w:val="18"/>
        </w:rPr>
        <w:t>For 2004 CCHS-Nutrit</w:t>
      </w:r>
      <w:r w:rsidR="007423C6" w:rsidRPr="00420436">
        <w:rPr>
          <w:rFonts w:ascii="Times New Roman" w:hAnsi="Times New Roman" w:cs="Times New Roman"/>
          <w:szCs w:val="18"/>
        </w:rPr>
        <w:t>ion, nutrient intake data were released</w:t>
      </w:r>
      <w:r w:rsidR="00C060A3" w:rsidRPr="00420436">
        <w:rPr>
          <w:rFonts w:ascii="Times New Roman" w:hAnsi="Times New Roman" w:cs="Times New Roman"/>
          <w:szCs w:val="18"/>
        </w:rPr>
        <w:t xml:space="preserve"> in the Compendium of Nutrient Intake </w:t>
      </w:r>
      <w:r w:rsidR="005B7FAE" w:rsidRPr="00420436">
        <w:rPr>
          <w:rFonts w:ascii="Times New Roman" w:hAnsi="Times New Roman" w:cs="Times New Roman"/>
          <w:szCs w:val="18"/>
        </w:rPr>
        <w:t>Table that</w:t>
      </w:r>
      <w:r w:rsidR="00C060A3" w:rsidRPr="00420436">
        <w:rPr>
          <w:rFonts w:ascii="Times New Roman" w:hAnsi="Times New Roman" w:cs="Times New Roman"/>
          <w:szCs w:val="18"/>
        </w:rPr>
        <w:t xml:space="preserve"> consisted of thr</w:t>
      </w:r>
      <w:r w:rsidR="007423C6" w:rsidRPr="00420436">
        <w:rPr>
          <w:rFonts w:ascii="Times New Roman" w:hAnsi="Times New Roman" w:cs="Times New Roman"/>
          <w:szCs w:val="18"/>
        </w:rPr>
        <w:t xml:space="preserve">ee volumes available on CD and </w:t>
      </w:r>
      <w:r w:rsidR="00C060A3" w:rsidRPr="00420436">
        <w:rPr>
          <w:rFonts w:ascii="Times New Roman" w:hAnsi="Times New Roman" w:cs="Times New Roman"/>
          <w:szCs w:val="18"/>
        </w:rPr>
        <w:t xml:space="preserve">a limited number of print copies. Food intake data were disseminated </w:t>
      </w:r>
      <w:r w:rsidR="004023AD" w:rsidRPr="00420436">
        <w:rPr>
          <w:rFonts w:ascii="Times New Roman" w:hAnsi="Times New Roman" w:cs="Times New Roman"/>
          <w:szCs w:val="18"/>
        </w:rPr>
        <w:t>on the Government of Canada’s</w:t>
      </w:r>
      <w:r w:rsidR="00C060A3" w:rsidRPr="00420436">
        <w:rPr>
          <w:rFonts w:ascii="Times New Roman" w:hAnsi="Times New Roman" w:cs="Times New Roman"/>
          <w:szCs w:val="18"/>
        </w:rPr>
        <w:t xml:space="preserve"> Open </w:t>
      </w:r>
      <w:r w:rsidR="005E3698">
        <w:rPr>
          <w:rFonts w:ascii="Times New Roman" w:hAnsi="Times New Roman" w:cs="Times New Roman"/>
          <w:szCs w:val="18"/>
        </w:rPr>
        <w:t>Government</w:t>
      </w:r>
      <w:r w:rsidR="004023AD" w:rsidRPr="00420436">
        <w:rPr>
          <w:rStyle w:val="Hyperlink"/>
          <w:rFonts w:ascii="Times New Roman" w:hAnsi="Times New Roman" w:cs="Times New Roman"/>
          <w:color w:val="auto"/>
          <w:szCs w:val="18"/>
          <w:u w:val="none"/>
        </w:rPr>
        <w:t xml:space="preserve"> through the </w:t>
      </w:r>
      <w:hyperlink r:id="rId8" w:history="1">
        <w:r w:rsidR="004023AD" w:rsidRPr="00420436">
          <w:rPr>
            <w:rStyle w:val="Hyperlink"/>
            <w:rFonts w:ascii="Times New Roman" w:hAnsi="Times New Roman" w:cs="Times New Roman"/>
            <w:szCs w:val="18"/>
          </w:rPr>
          <w:t>Food Consumption Table</w:t>
        </w:r>
      </w:hyperlink>
      <w:r w:rsidR="00C060A3" w:rsidRPr="00420436">
        <w:rPr>
          <w:rFonts w:ascii="Times New Roman" w:hAnsi="Times New Roman" w:cs="Times New Roman"/>
          <w:szCs w:val="18"/>
        </w:rPr>
        <w:t xml:space="preserve">. </w:t>
      </w:r>
      <w:r w:rsidR="00270155" w:rsidRPr="00420436">
        <w:rPr>
          <w:rFonts w:ascii="Times New Roman" w:hAnsi="Times New Roman" w:cs="Times New Roman"/>
          <w:szCs w:val="18"/>
        </w:rPr>
        <w:t xml:space="preserve">Health indicators for each province (e.g. fruit and vegetable consumption, household food security, measured body mass index, nutrient intakes from foods) were disseminated through </w:t>
      </w:r>
      <w:hyperlink r:id="rId9" w:history="1">
        <w:r w:rsidR="00270155" w:rsidRPr="00420436">
          <w:rPr>
            <w:rStyle w:val="Hyperlink"/>
            <w:rFonts w:ascii="Times New Roman" w:hAnsi="Times New Roman" w:cs="Times New Roman"/>
            <w:szCs w:val="18"/>
          </w:rPr>
          <w:t>Canada’s Nutrition and Health Atlas</w:t>
        </w:r>
      </w:hyperlink>
      <w:r w:rsidR="005B7FAE" w:rsidRPr="00420436">
        <w:rPr>
          <w:rFonts w:ascii="Times New Roman" w:hAnsi="Times New Roman" w:cs="Times New Roman"/>
          <w:szCs w:val="18"/>
        </w:rPr>
        <w:t xml:space="preserve">, </w:t>
      </w:r>
      <w:r w:rsidR="00270155" w:rsidRPr="00420436">
        <w:rPr>
          <w:rFonts w:ascii="Times New Roman" w:hAnsi="Times New Roman" w:cs="Times New Roman"/>
          <w:szCs w:val="18"/>
        </w:rPr>
        <w:t xml:space="preserve">which presented data visually through maps and tables. </w:t>
      </w:r>
      <w:r w:rsidR="00C060A3" w:rsidRPr="00420436">
        <w:rPr>
          <w:rFonts w:ascii="Times New Roman" w:hAnsi="Times New Roman" w:cs="Times New Roman"/>
          <w:szCs w:val="18"/>
        </w:rPr>
        <w:t xml:space="preserve">In addition, dissemination </w:t>
      </w:r>
      <w:r w:rsidR="00AB59EF" w:rsidRPr="00420436">
        <w:rPr>
          <w:rFonts w:ascii="Times New Roman" w:hAnsi="Times New Roman" w:cs="Times New Roman"/>
          <w:szCs w:val="18"/>
        </w:rPr>
        <w:t xml:space="preserve">of various analyses </w:t>
      </w:r>
      <w:r w:rsidR="00C060A3" w:rsidRPr="00420436">
        <w:rPr>
          <w:rFonts w:ascii="Times New Roman" w:hAnsi="Times New Roman" w:cs="Times New Roman"/>
          <w:szCs w:val="18"/>
        </w:rPr>
        <w:t>occurred through publications in scientific journals and conference presentations.</w:t>
      </w:r>
      <w:r w:rsidRPr="00420436">
        <w:rPr>
          <w:rFonts w:ascii="Times New Roman" w:hAnsi="Times New Roman" w:cs="Times New Roman"/>
          <w:szCs w:val="18"/>
        </w:rPr>
        <w:t xml:space="preserve"> </w:t>
      </w:r>
    </w:p>
    <w:p w14:paraId="7004DA95" w14:textId="77777777" w:rsidR="00F81A38" w:rsidRPr="00420436" w:rsidRDefault="00F81A38" w:rsidP="00C73108">
      <w:pPr>
        <w:spacing w:after="0"/>
        <w:rPr>
          <w:rFonts w:ascii="Times New Roman" w:hAnsi="Times New Roman" w:cs="Times New Roman"/>
          <w:szCs w:val="18"/>
        </w:rPr>
      </w:pPr>
    </w:p>
    <w:p w14:paraId="05427B8C" w14:textId="72A1F046" w:rsidR="00EF35E3" w:rsidRPr="00420436" w:rsidRDefault="004023AD" w:rsidP="00EF35E3">
      <w:pPr>
        <w:spacing w:after="0"/>
        <w:rPr>
          <w:rFonts w:ascii="Times New Roman" w:hAnsi="Times New Roman" w:cs="Times New Roman"/>
          <w:szCs w:val="18"/>
        </w:rPr>
      </w:pPr>
      <w:r w:rsidRPr="00420436">
        <w:rPr>
          <w:rFonts w:ascii="Times New Roman" w:hAnsi="Times New Roman" w:cs="Times New Roman"/>
          <w:szCs w:val="18"/>
        </w:rPr>
        <w:t>The</w:t>
      </w:r>
      <w:r w:rsidR="00DC219A" w:rsidRPr="00420436">
        <w:rPr>
          <w:rFonts w:ascii="Times New Roman" w:hAnsi="Times New Roman" w:cs="Times New Roman"/>
          <w:szCs w:val="18"/>
        </w:rPr>
        <w:t xml:space="preserve"> </w:t>
      </w:r>
      <w:r w:rsidRPr="00420436">
        <w:rPr>
          <w:rFonts w:ascii="Times New Roman" w:hAnsi="Times New Roman" w:cs="Times New Roman"/>
          <w:szCs w:val="18"/>
        </w:rPr>
        <w:t xml:space="preserve">analysis of usual </w:t>
      </w:r>
      <w:r w:rsidR="00BC66F5" w:rsidRPr="00420436">
        <w:rPr>
          <w:rFonts w:ascii="Times New Roman" w:hAnsi="Times New Roman" w:cs="Times New Roman"/>
          <w:szCs w:val="18"/>
        </w:rPr>
        <w:t xml:space="preserve">nutrient </w:t>
      </w:r>
      <w:r w:rsidRPr="00420436">
        <w:rPr>
          <w:rFonts w:ascii="Times New Roman" w:hAnsi="Times New Roman" w:cs="Times New Roman"/>
          <w:szCs w:val="18"/>
        </w:rPr>
        <w:t xml:space="preserve">intakes for </w:t>
      </w:r>
      <w:r w:rsidR="00DC219A" w:rsidRPr="00420436">
        <w:rPr>
          <w:rFonts w:ascii="Times New Roman" w:hAnsi="Times New Roman" w:cs="Times New Roman"/>
          <w:szCs w:val="18"/>
        </w:rPr>
        <w:t xml:space="preserve">2015 CCHS-Nutrition </w:t>
      </w:r>
      <w:r w:rsidRPr="00420436">
        <w:rPr>
          <w:rFonts w:ascii="Times New Roman" w:hAnsi="Times New Roman" w:cs="Times New Roman"/>
          <w:szCs w:val="18"/>
        </w:rPr>
        <w:t>is complete and</w:t>
      </w:r>
      <w:r w:rsidR="00DC219A" w:rsidRPr="00420436">
        <w:rPr>
          <w:rFonts w:ascii="Times New Roman" w:hAnsi="Times New Roman" w:cs="Times New Roman"/>
          <w:szCs w:val="18"/>
        </w:rPr>
        <w:t xml:space="preserve"> w</w:t>
      </w:r>
      <w:r w:rsidRPr="00420436">
        <w:rPr>
          <w:rFonts w:ascii="Times New Roman" w:hAnsi="Times New Roman" w:cs="Times New Roman"/>
          <w:szCs w:val="18"/>
        </w:rPr>
        <w:t xml:space="preserve">e are working to </w:t>
      </w:r>
      <w:r w:rsidR="00DC219A" w:rsidRPr="00420436">
        <w:rPr>
          <w:rFonts w:ascii="Times New Roman" w:hAnsi="Times New Roman" w:cs="Times New Roman"/>
          <w:szCs w:val="18"/>
        </w:rPr>
        <w:t>modern</w:t>
      </w:r>
      <w:r w:rsidR="007423C6" w:rsidRPr="00420436">
        <w:rPr>
          <w:rFonts w:ascii="Times New Roman" w:hAnsi="Times New Roman" w:cs="Times New Roman"/>
          <w:szCs w:val="18"/>
        </w:rPr>
        <w:t>ize how we disseminate the data</w:t>
      </w:r>
      <w:r w:rsidR="00DC219A" w:rsidRPr="00420436">
        <w:rPr>
          <w:rFonts w:ascii="Times New Roman" w:hAnsi="Times New Roman" w:cs="Times New Roman"/>
          <w:szCs w:val="18"/>
        </w:rPr>
        <w:t xml:space="preserve">. </w:t>
      </w:r>
      <w:r w:rsidR="00B335B5" w:rsidRPr="00420436">
        <w:rPr>
          <w:rFonts w:ascii="Times New Roman" w:hAnsi="Times New Roman" w:cs="Times New Roman"/>
          <w:szCs w:val="18"/>
        </w:rPr>
        <w:t>BFSSI</w:t>
      </w:r>
      <w:r w:rsidR="00890A27" w:rsidRPr="00420436">
        <w:rPr>
          <w:rFonts w:ascii="Times New Roman" w:hAnsi="Times New Roman" w:cs="Times New Roman"/>
          <w:szCs w:val="18"/>
        </w:rPr>
        <w:t xml:space="preserve"> will post the </w:t>
      </w:r>
      <w:r w:rsidR="002726DF" w:rsidRPr="00420436">
        <w:rPr>
          <w:rFonts w:ascii="Times New Roman" w:hAnsi="Times New Roman" w:cs="Times New Roman"/>
          <w:szCs w:val="18"/>
        </w:rPr>
        <w:t xml:space="preserve">full </w:t>
      </w:r>
      <w:r w:rsidR="00890A27" w:rsidRPr="00420436">
        <w:rPr>
          <w:rFonts w:ascii="Times New Roman" w:hAnsi="Times New Roman" w:cs="Times New Roman"/>
          <w:szCs w:val="18"/>
        </w:rPr>
        <w:t xml:space="preserve">dataset </w:t>
      </w:r>
      <w:r w:rsidR="002726DF" w:rsidRPr="00420436">
        <w:rPr>
          <w:rFonts w:ascii="Times New Roman" w:hAnsi="Times New Roman" w:cs="Times New Roman"/>
          <w:szCs w:val="18"/>
        </w:rPr>
        <w:t xml:space="preserve">in one csv file on </w:t>
      </w:r>
      <w:r w:rsidR="005E3698">
        <w:rPr>
          <w:rFonts w:ascii="Times New Roman" w:hAnsi="Times New Roman" w:cs="Times New Roman"/>
          <w:szCs w:val="18"/>
        </w:rPr>
        <w:t>Open Government</w:t>
      </w:r>
      <w:r w:rsidR="00890A27" w:rsidRPr="00420436">
        <w:rPr>
          <w:rFonts w:ascii="Times New Roman" w:hAnsi="Times New Roman" w:cs="Times New Roman"/>
          <w:szCs w:val="18"/>
        </w:rPr>
        <w:t xml:space="preserve">, thereby fulfilling the commitment to make the 2015 CCHS-Nutrition </w:t>
      </w:r>
      <w:r w:rsidR="00304D77" w:rsidRPr="00420436">
        <w:rPr>
          <w:rFonts w:ascii="Times New Roman" w:hAnsi="Times New Roman" w:cs="Times New Roman"/>
          <w:szCs w:val="18"/>
        </w:rPr>
        <w:t xml:space="preserve">nutrient intake </w:t>
      </w:r>
      <w:r w:rsidR="00BC66F5" w:rsidRPr="00420436">
        <w:rPr>
          <w:rFonts w:ascii="Times New Roman" w:hAnsi="Times New Roman" w:cs="Times New Roman"/>
          <w:szCs w:val="18"/>
        </w:rPr>
        <w:t>data</w:t>
      </w:r>
      <w:r w:rsidR="00890A27" w:rsidRPr="00420436">
        <w:rPr>
          <w:rFonts w:ascii="Times New Roman" w:hAnsi="Times New Roman" w:cs="Times New Roman"/>
          <w:szCs w:val="18"/>
        </w:rPr>
        <w:t xml:space="preserve"> available to the public; however, there is great value in sharing the data in a more interactive, easily digested and user-friendly way. </w:t>
      </w:r>
      <w:r w:rsidR="007C111E" w:rsidRPr="00420436">
        <w:rPr>
          <w:rFonts w:ascii="Times New Roman" w:hAnsi="Times New Roman" w:cs="Times New Roman"/>
          <w:szCs w:val="18"/>
        </w:rPr>
        <w:t>Based on a</w:t>
      </w:r>
      <w:r w:rsidR="00DC219A" w:rsidRPr="00420436">
        <w:rPr>
          <w:rFonts w:ascii="Times New Roman" w:hAnsi="Times New Roman" w:cs="Times New Roman"/>
          <w:szCs w:val="18"/>
        </w:rPr>
        <w:t xml:space="preserve"> scan of dissemination and data visualization methods </w:t>
      </w:r>
      <w:r w:rsidR="007423C6" w:rsidRPr="00420436">
        <w:rPr>
          <w:rFonts w:ascii="Times New Roman" w:hAnsi="Times New Roman" w:cs="Times New Roman"/>
          <w:szCs w:val="18"/>
        </w:rPr>
        <w:t>being used in other departments</w:t>
      </w:r>
      <w:r w:rsidR="007C111E" w:rsidRPr="00420436">
        <w:rPr>
          <w:rFonts w:ascii="Times New Roman" w:hAnsi="Times New Roman" w:cs="Times New Roman"/>
          <w:szCs w:val="18"/>
        </w:rPr>
        <w:t>, we</w:t>
      </w:r>
      <w:r w:rsidR="007423C6" w:rsidRPr="00420436">
        <w:rPr>
          <w:rFonts w:ascii="Times New Roman" w:hAnsi="Times New Roman" w:cs="Times New Roman"/>
          <w:szCs w:val="18"/>
        </w:rPr>
        <w:t xml:space="preserve"> identified the</w:t>
      </w:r>
      <w:r w:rsidR="00C44165" w:rsidRPr="00420436">
        <w:rPr>
          <w:rFonts w:ascii="Times New Roman" w:hAnsi="Times New Roman" w:cs="Times New Roman"/>
          <w:szCs w:val="18"/>
        </w:rPr>
        <w:t xml:space="preserve"> Public Health Agency of Canada’s (PHAC) </w:t>
      </w:r>
      <w:hyperlink r:id="rId10" w:history="1">
        <w:r w:rsidR="007423C6" w:rsidRPr="00420436">
          <w:rPr>
            <w:rStyle w:val="Hyperlink"/>
            <w:rFonts w:ascii="Times New Roman" w:hAnsi="Times New Roman" w:cs="Times New Roman"/>
            <w:szCs w:val="18"/>
          </w:rPr>
          <w:t xml:space="preserve">Health </w:t>
        </w:r>
        <w:proofErr w:type="spellStart"/>
        <w:r w:rsidR="007423C6" w:rsidRPr="00420436">
          <w:rPr>
            <w:rStyle w:val="Hyperlink"/>
            <w:rFonts w:ascii="Times New Roman" w:hAnsi="Times New Roman" w:cs="Times New Roman"/>
            <w:szCs w:val="18"/>
          </w:rPr>
          <w:t>I</w:t>
        </w:r>
        <w:r w:rsidR="00C44165" w:rsidRPr="00420436">
          <w:rPr>
            <w:rStyle w:val="Hyperlink"/>
            <w:rFonts w:ascii="Times New Roman" w:hAnsi="Times New Roman" w:cs="Times New Roman"/>
            <w:szCs w:val="18"/>
          </w:rPr>
          <w:t>nfobase</w:t>
        </w:r>
        <w:proofErr w:type="spellEnd"/>
        <w:r w:rsidR="00C44165" w:rsidRPr="00420436">
          <w:rPr>
            <w:rStyle w:val="Hyperlink"/>
            <w:rFonts w:ascii="Times New Roman" w:hAnsi="Times New Roman" w:cs="Times New Roman"/>
            <w:szCs w:val="18"/>
          </w:rPr>
          <w:t xml:space="preserve"> website</w:t>
        </w:r>
      </w:hyperlink>
      <w:r w:rsidR="00C44165" w:rsidRPr="00420436">
        <w:rPr>
          <w:rFonts w:ascii="Times New Roman" w:hAnsi="Times New Roman" w:cs="Times New Roman"/>
          <w:szCs w:val="18"/>
        </w:rPr>
        <w:t xml:space="preserve"> </w:t>
      </w:r>
      <w:r w:rsidR="007423C6" w:rsidRPr="00420436">
        <w:rPr>
          <w:rFonts w:ascii="Times New Roman" w:hAnsi="Times New Roman" w:cs="Times New Roman"/>
          <w:szCs w:val="18"/>
        </w:rPr>
        <w:t xml:space="preserve">as </w:t>
      </w:r>
      <w:r w:rsidR="00BC66F5" w:rsidRPr="00420436">
        <w:rPr>
          <w:rFonts w:ascii="Times New Roman" w:hAnsi="Times New Roman" w:cs="Times New Roman"/>
          <w:szCs w:val="18"/>
        </w:rPr>
        <w:t>the</w:t>
      </w:r>
      <w:r w:rsidR="007423C6" w:rsidRPr="00420436">
        <w:rPr>
          <w:rFonts w:ascii="Times New Roman" w:hAnsi="Times New Roman" w:cs="Times New Roman"/>
          <w:szCs w:val="18"/>
        </w:rPr>
        <w:t xml:space="preserve"> id</w:t>
      </w:r>
      <w:r w:rsidR="00BC66F5" w:rsidRPr="00420436">
        <w:rPr>
          <w:rFonts w:ascii="Times New Roman" w:hAnsi="Times New Roman" w:cs="Times New Roman"/>
          <w:szCs w:val="18"/>
        </w:rPr>
        <w:t xml:space="preserve">eal venue to share </w:t>
      </w:r>
      <w:r w:rsidR="007C111E" w:rsidRPr="00420436">
        <w:rPr>
          <w:rFonts w:ascii="Times New Roman" w:hAnsi="Times New Roman" w:cs="Times New Roman"/>
          <w:szCs w:val="18"/>
        </w:rPr>
        <w:t xml:space="preserve">the </w:t>
      </w:r>
      <w:r w:rsidR="00BC66F5" w:rsidRPr="00420436">
        <w:rPr>
          <w:rFonts w:ascii="Times New Roman" w:hAnsi="Times New Roman" w:cs="Times New Roman"/>
          <w:szCs w:val="18"/>
        </w:rPr>
        <w:t>data. Through the</w:t>
      </w:r>
      <w:r w:rsidR="007423C6" w:rsidRPr="00420436">
        <w:rPr>
          <w:rFonts w:ascii="Times New Roman" w:hAnsi="Times New Roman" w:cs="Times New Roman"/>
          <w:szCs w:val="18"/>
        </w:rPr>
        <w:t xml:space="preserve"> Health </w:t>
      </w:r>
      <w:proofErr w:type="spellStart"/>
      <w:r w:rsidR="007423C6" w:rsidRPr="00420436">
        <w:rPr>
          <w:rFonts w:ascii="Times New Roman" w:hAnsi="Times New Roman" w:cs="Times New Roman"/>
          <w:szCs w:val="18"/>
        </w:rPr>
        <w:t>Infobase</w:t>
      </w:r>
      <w:proofErr w:type="spellEnd"/>
      <w:r w:rsidR="00BC66F5" w:rsidRPr="00420436">
        <w:rPr>
          <w:rFonts w:ascii="Times New Roman" w:hAnsi="Times New Roman" w:cs="Times New Roman"/>
          <w:szCs w:val="18"/>
        </w:rPr>
        <w:t>,</w:t>
      </w:r>
      <w:r w:rsidR="007423C6" w:rsidRPr="00420436">
        <w:rPr>
          <w:rFonts w:ascii="Times New Roman" w:hAnsi="Times New Roman" w:cs="Times New Roman"/>
          <w:szCs w:val="18"/>
        </w:rPr>
        <w:t xml:space="preserve"> </w:t>
      </w:r>
      <w:r w:rsidR="00C44165" w:rsidRPr="00420436">
        <w:rPr>
          <w:rFonts w:ascii="Times New Roman" w:hAnsi="Times New Roman" w:cs="Times New Roman"/>
          <w:szCs w:val="18"/>
        </w:rPr>
        <w:t xml:space="preserve">PHAC helps users to discover and visualize public health data and </w:t>
      </w:r>
      <w:r w:rsidR="000A26D9" w:rsidRPr="00420436">
        <w:rPr>
          <w:rFonts w:ascii="Times New Roman" w:hAnsi="Times New Roman" w:cs="Times New Roman"/>
          <w:szCs w:val="18"/>
        </w:rPr>
        <w:t>health indicators</w:t>
      </w:r>
      <w:r w:rsidR="00C44165" w:rsidRPr="00420436">
        <w:rPr>
          <w:rFonts w:ascii="Times New Roman" w:hAnsi="Times New Roman" w:cs="Times New Roman"/>
          <w:szCs w:val="18"/>
        </w:rPr>
        <w:t xml:space="preserve">. </w:t>
      </w:r>
      <w:r w:rsidR="00CF237C" w:rsidRPr="00420436">
        <w:rPr>
          <w:rFonts w:ascii="Times New Roman" w:hAnsi="Times New Roman" w:cs="Times New Roman"/>
          <w:szCs w:val="18"/>
        </w:rPr>
        <w:t xml:space="preserve">PHAC has expressed willingness to </w:t>
      </w:r>
      <w:r w:rsidR="00DD4B3A" w:rsidRPr="00420436">
        <w:rPr>
          <w:rFonts w:ascii="Times New Roman" w:hAnsi="Times New Roman" w:cs="Times New Roman"/>
          <w:szCs w:val="18"/>
        </w:rPr>
        <w:t>collaborate and to create</w:t>
      </w:r>
      <w:r w:rsidR="00CF237C" w:rsidRPr="00420436">
        <w:rPr>
          <w:rFonts w:ascii="Times New Roman" w:hAnsi="Times New Roman" w:cs="Times New Roman"/>
          <w:szCs w:val="18"/>
        </w:rPr>
        <w:t xml:space="preserve"> a Nutrition Surveillance data tool on the Infobase. </w:t>
      </w:r>
      <w:r w:rsidR="007423C6" w:rsidRPr="00420436">
        <w:rPr>
          <w:rFonts w:ascii="Times New Roman" w:hAnsi="Times New Roman" w:cs="Times New Roman"/>
          <w:szCs w:val="18"/>
        </w:rPr>
        <w:t xml:space="preserve">This collaboration is optimal as </w:t>
      </w:r>
      <w:r w:rsidR="002A3132" w:rsidRPr="00420436">
        <w:rPr>
          <w:rFonts w:ascii="Times New Roman" w:hAnsi="Times New Roman" w:cs="Times New Roman"/>
          <w:szCs w:val="18"/>
        </w:rPr>
        <w:t xml:space="preserve">BFSSI </w:t>
      </w:r>
      <w:r w:rsidR="00DD4B3A" w:rsidRPr="00420436">
        <w:rPr>
          <w:rFonts w:ascii="Times New Roman" w:hAnsi="Times New Roman" w:cs="Times New Roman"/>
          <w:szCs w:val="18"/>
        </w:rPr>
        <w:t>has the</w:t>
      </w:r>
      <w:r w:rsidR="002A3132" w:rsidRPr="00420436">
        <w:rPr>
          <w:rFonts w:ascii="Times New Roman" w:hAnsi="Times New Roman" w:cs="Times New Roman"/>
          <w:szCs w:val="18"/>
        </w:rPr>
        <w:t xml:space="preserve"> expertise and capacity to develop the interactive data tools</w:t>
      </w:r>
      <w:r w:rsidR="005B7FAE" w:rsidRPr="00420436">
        <w:rPr>
          <w:rFonts w:ascii="Times New Roman" w:hAnsi="Times New Roman" w:cs="Times New Roman"/>
          <w:szCs w:val="18"/>
        </w:rPr>
        <w:t xml:space="preserve"> and PHAC has established an efficient process for posting</w:t>
      </w:r>
      <w:r w:rsidR="00D5610C" w:rsidRPr="00420436">
        <w:rPr>
          <w:rFonts w:ascii="Times New Roman" w:hAnsi="Times New Roman" w:cs="Times New Roman"/>
          <w:szCs w:val="18"/>
        </w:rPr>
        <w:t xml:space="preserve">. </w:t>
      </w:r>
      <w:r w:rsidR="00DD3486" w:rsidRPr="00420436">
        <w:rPr>
          <w:rFonts w:ascii="Times New Roman" w:hAnsi="Times New Roman" w:cs="Times New Roman"/>
          <w:szCs w:val="18"/>
        </w:rPr>
        <w:t>The Director General of the Food Directorate has expressed support for integrating nutrition surveillance data into the PHAC Infobase.</w:t>
      </w:r>
    </w:p>
    <w:p w14:paraId="628A4F3F" w14:textId="77777777" w:rsidR="00890A27" w:rsidRPr="00420436" w:rsidRDefault="00890A27" w:rsidP="00C73108">
      <w:pPr>
        <w:spacing w:after="0"/>
        <w:rPr>
          <w:rFonts w:ascii="Times New Roman" w:hAnsi="Times New Roman" w:cs="Times New Roman"/>
          <w:szCs w:val="18"/>
        </w:rPr>
      </w:pPr>
    </w:p>
    <w:p w14:paraId="6F0F163A" w14:textId="77777777" w:rsidR="00BC66F5" w:rsidRPr="00420436" w:rsidRDefault="00BC66F5" w:rsidP="00C73108">
      <w:pPr>
        <w:spacing w:after="0"/>
        <w:rPr>
          <w:rFonts w:ascii="Times New Roman" w:hAnsi="Times New Roman" w:cs="Times New Roman"/>
          <w:szCs w:val="18"/>
        </w:rPr>
      </w:pPr>
      <w:r w:rsidRPr="00420436">
        <w:rPr>
          <w:rFonts w:ascii="Times New Roman" w:hAnsi="Times New Roman" w:cs="Times New Roman"/>
          <w:szCs w:val="18"/>
        </w:rPr>
        <w:t xml:space="preserve">The initial visualizations being developed included data from both 2004 and 2015 as one of the objectives of 2015 CCHS-Nutrition was to evaluate changes from the 2004 CCHS-Nutrition. Differences in intakes between the two survey years may reflect changes in consumption patterns, changes in the nutrient </w:t>
      </w:r>
      <w:r w:rsidRPr="00420436">
        <w:rPr>
          <w:rFonts w:ascii="Times New Roman" w:hAnsi="Times New Roman" w:cs="Times New Roman"/>
          <w:szCs w:val="18"/>
        </w:rPr>
        <w:lastRenderedPageBreak/>
        <w:t xml:space="preserve">composition of foods and/or changes in survey methodology among other potential explanations. It is challenging to quantify the contribution that methodological differences between survey years has on nutrient intake estimates. Thus, it </w:t>
      </w:r>
      <w:r w:rsidR="007C111E" w:rsidRPr="00420436">
        <w:rPr>
          <w:rFonts w:ascii="Times New Roman" w:hAnsi="Times New Roman" w:cs="Times New Roman"/>
          <w:szCs w:val="18"/>
        </w:rPr>
        <w:t>was</w:t>
      </w:r>
      <w:r w:rsidRPr="00420436">
        <w:rPr>
          <w:rFonts w:ascii="Times New Roman" w:hAnsi="Times New Roman" w:cs="Times New Roman"/>
          <w:szCs w:val="18"/>
        </w:rPr>
        <w:t xml:space="preserve"> decided that we avoid direct between-year comparisons of estimates</w:t>
      </w:r>
      <w:r w:rsidR="007C111E" w:rsidRPr="00420436">
        <w:rPr>
          <w:rFonts w:ascii="Times New Roman" w:hAnsi="Times New Roman" w:cs="Times New Roman"/>
          <w:szCs w:val="18"/>
        </w:rPr>
        <w:t xml:space="preserve"> in the visualizations</w:t>
      </w:r>
      <w:r w:rsidRPr="00420436">
        <w:rPr>
          <w:rFonts w:ascii="Times New Roman" w:hAnsi="Times New Roman" w:cs="Times New Roman"/>
          <w:szCs w:val="18"/>
        </w:rPr>
        <w:t xml:space="preserve"> in an effort to minimize the risk of inappropriate conclusions being drawn from the data.</w:t>
      </w:r>
      <w:r w:rsidR="007C111E" w:rsidRPr="00420436">
        <w:rPr>
          <w:rFonts w:ascii="Times New Roman" w:hAnsi="Times New Roman" w:cs="Times New Roman"/>
          <w:szCs w:val="18"/>
        </w:rPr>
        <w:t xml:space="preserve"> In light of this decision, revised requirements for three tools to present the usual intake data are provided below. </w:t>
      </w:r>
    </w:p>
    <w:p w14:paraId="30D48FF4" w14:textId="77777777" w:rsidR="00BC66F5" w:rsidRPr="00420436" w:rsidRDefault="00BC66F5" w:rsidP="00C73108">
      <w:pPr>
        <w:spacing w:after="0"/>
        <w:rPr>
          <w:rFonts w:ascii="Times New Roman" w:hAnsi="Times New Roman" w:cs="Times New Roman"/>
          <w:szCs w:val="18"/>
        </w:rPr>
      </w:pPr>
    </w:p>
    <w:p w14:paraId="65A3583C" w14:textId="77777777" w:rsidR="00644C51" w:rsidRPr="00420436" w:rsidRDefault="00644C51" w:rsidP="007A03A8">
      <w:pPr>
        <w:pStyle w:val="ListParagraph"/>
        <w:numPr>
          <w:ilvl w:val="0"/>
          <w:numId w:val="16"/>
        </w:numPr>
        <w:spacing w:after="0"/>
        <w:rPr>
          <w:rFonts w:ascii="Times New Roman" w:hAnsi="Times New Roman" w:cs="Times New Roman"/>
          <w:b/>
          <w:szCs w:val="18"/>
        </w:rPr>
      </w:pPr>
      <w:r w:rsidRPr="00420436">
        <w:rPr>
          <w:rFonts w:ascii="Times New Roman" w:hAnsi="Times New Roman" w:cs="Times New Roman"/>
          <w:b/>
          <w:szCs w:val="18"/>
        </w:rPr>
        <w:t>Overview</w:t>
      </w:r>
      <w:r w:rsidR="000E5083" w:rsidRPr="00420436">
        <w:rPr>
          <w:rFonts w:ascii="Times New Roman" w:hAnsi="Times New Roman" w:cs="Times New Roman"/>
          <w:b/>
          <w:szCs w:val="18"/>
        </w:rPr>
        <w:t xml:space="preserve"> of requirements</w:t>
      </w:r>
      <w:r w:rsidRPr="00420436">
        <w:rPr>
          <w:rFonts w:ascii="Times New Roman" w:hAnsi="Times New Roman" w:cs="Times New Roman"/>
          <w:b/>
          <w:szCs w:val="18"/>
        </w:rPr>
        <w:t>:</w:t>
      </w:r>
    </w:p>
    <w:p w14:paraId="467CD268" w14:textId="77777777" w:rsidR="002726DF" w:rsidRPr="00420436" w:rsidRDefault="002726DF" w:rsidP="0077378E">
      <w:pPr>
        <w:spacing w:after="0"/>
        <w:rPr>
          <w:rFonts w:ascii="Times New Roman" w:hAnsi="Times New Roman" w:cs="Times New Roman"/>
          <w:szCs w:val="18"/>
          <w:u w:val="single"/>
        </w:rPr>
      </w:pPr>
    </w:p>
    <w:p w14:paraId="3DA0CD1A" w14:textId="77777777" w:rsidR="009C2727" w:rsidRPr="00420436" w:rsidRDefault="009C2727" w:rsidP="0077378E">
      <w:pPr>
        <w:spacing w:after="0"/>
        <w:rPr>
          <w:rFonts w:ascii="Times New Roman" w:hAnsi="Times New Roman" w:cs="Times New Roman"/>
          <w:szCs w:val="18"/>
          <w:u w:val="single"/>
        </w:rPr>
      </w:pPr>
      <w:r w:rsidRPr="00420436">
        <w:rPr>
          <w:rFonts w:ascii="Times New Roman" w:hAnsi="Times New Roman" w:cs="Times New Roman"/>
          <w:szCs w:val="18"/>
          <w:u w:val="single"/>
        </w:rPr>
        <w:t>Main page</w:t>
      </w:r>
    </w:p>
    <w:p w14:paraId="5CE938CF" w14:textId="77777777" w:rsidR="009C2727" w:rsidRPr="00420436" w:rsidRDefault="009C2727" w:rsidP="0077378E">
      <w:pPr>
        <w:spacing w:after="0"/>
        <w:rPr>
          <w:rFonts w:ascii="Times New Roman" w:hAnsi="Times New Roman" w:cs="Times New Roman"/>
          <w:szCs w:val="18"/>
        </w:rPr>
      </w:pPr>
    </w:p>
    <w:tbl>
      <w:tblPr>
        <w:tblStyle w:val="TableGrid"/>
        <w:tblW w:w="0" w:type="auto"/>
        <w:tblLook w:val="04A0" w:firstRow="1" w:lastRow="0" w:firstColumn="1" w:lastColumn="0" w:noHBand="0" w:noVBand="1"/>
      </w:tblPr>
      <w:tblGrid>
        <w:gridCol w:w="1418"/>
        <w:gridCol w:w="3822"/>
        <w:gridCol w:w="4110"/>
      </w:tblGrid>
      <w:tr w:rsidR="007F5532" w:rsidRPr="00420436" w14:paraId="195D7D1A" w14:textId="77777777" w:rsidTr="00B845C1">
        <w:tc>
          <w:tcPr>
            <w:tcW w:w="1418" w:type="dxa"/>
            <w:tcBorders>
              <w:top w:val="nil"/>
              <w:left w:val="nil"/>
            </w:tcBorders>
            <w:shd w:val="clear" w:color="auto" w:fill="auto"/>
          </w:tcPr>
          <w:p w14:paraId="520B9F3F" w14:textId="77777777" w:rsidR="007F5532" w:rsidRPr="00420436" w:rsidRDefault="007F5532" w:rsidP="00CA2B3F">
            <w:pPr>
              <w:rPr>
                <w:rFonts w:ascii="Times New Roman" w:hAnsi="Times New Roman" w:cs="Times New Roman"/>
                <w:szCs w:val="18"/>
              </w:rPr>
            </w:pPr>
          </w:p>
        </w:tc>
        <w:tc>
          <w:tcPr>
            <w:tcW w:w="3822" w:type="dxa"/>
            <w:shd w:val="clear" w:color="auto" w:fill="auto"/>
          </w:tcPr>
          <w:p w14:paraId="22E92854" w14:textId="7724F63D" w:rsidR="007F5532" w:rsidRPr="00420436" w:rsidRDefault="007F5532" w:rsidP="007F5532">
            <w:pPr>
              <w:jc w:val="center"/>
              <w:rPr>
                <w:rFonts w:ascii="Times New Roman" w:hAnsi="Times New Roman" w:cs="Times New Roman"/>
                <w:b/>
                <w:szCs w:val="18"/>
                <w:lang w:val="fr-CA"/>
              </w:rPr>
            </w:pPr>
            <w:r w:rsidRPr="00420436">
              <w:rPr>
                <w:rFonts w:ascii="Times New Roman" w:hAnsi="Times New Roman" w:cs="Times New Roman"/>
                <w:b/>
                <w:szCs w:val="18"/>
                <w:lang w:val="fr-CA"/>
              </w:rPr>
              <w:t>English</w:t>
            </w:r>
          </w:p>
        </w:tc>
        <w:tc>
          <w:tcPr>
            <w:tcW w:w="4110" w:type="dxa"/>
            <w:shd w:val="clear" w:color="auto" w:fill="auto"/>
          </w:tcPr>
          <w:p w14:paraId="65BCDC54" w14:textId="60077F5D" w:rsidR="007F5532" w:rsidRPr="00420436" w:rsidRDefault="007F5532" w:rsidP="007F5532">
            <w:pPr>
              <w:jc w:val="center"/>
              <w:rPr>
                <w:rFonts w:ascii="Times New Roman" w:hAnsi="Times New Roman" w:cs="Times New Roman"/>
                <w:b/>
                <w:szCs w:val="18"/>
                <w:lang w:val="fr-CA"/>
              </w:rPr>
            </w:pPr>
            <w:r w:rsidRPr="00420436">
              <w:rPr>
                <w:rFonts w:ascii="Times New Roman" w:hAnsi="Times New Roman" w:cs="Times New Roman"/>
                <w:b/>
                <w:szCs w:val="18"/>
                <w:lang w:val="fr-CA"/>
              </w:rPr>
              <w:t>French</w:t>
            </w:r>
          </w:p>
        </w:tc>
      </w:tr>
      <w:tr w:rsidR="007F5532" w:rsidRPr="006137C0" w14:paraId="41F58E72" w14:textId="4BA7A3B0" w:rsidTr="00B845C1">
        <w:tc>
          <w:tcPr>
            <w:tcW w:w="1418" w:type="dxa"/>
            <w:shd w:val="clear" w:color="auto" w:fill="auto"/>
          </w:tcPr>
          <w:p w14:paraId="7A353948" w14:textId="77777777" w:rsidR="007F5532" w:rsidRPr="00420436" w:rsidRDefault="007F5532" w:rsidP="00CA2B3F">
            <w:pPr>
              <w:rPr>
                <w:rFonts w:ascii="Times New Roman" w:hAnsi="Times New Roman" w:cs="Times New Roman"/>
                <w:b/>
                <w:szCs w:val="18"/>
              </w:rPr>
            </w:pPr>
            <w:r w:rsidRPr="00420436">
              <w:rPr>
                <w:rFonts w:ascii="Times New Roman" w:hAnsi="Times New Roman" w:cs="Times New Roman"/>
                <w:b/>
                <w:szCs w:val="18"/>
              </w:rPr>
              <w:t xml:space="preserve">Page title </w:t>
            </w:r>
          </w:p>
        </w:tc>
        <w:tc>
          <w:tcPr>
            <w:tcW w:w="3822" w:type="dxa"/>
            <w:shd w:val="clear" w:color="auto" w:fill="auto"/>
          </w:tcPr>
          <w:p w14:paraId="66E3886C" w14:textId="58BDF5C9" w:rsidR="007F5532" w:rsidRPr="00420436" w:rsidRDefault="005C44EC" w:rsidP="007F5532">
            <w:pPr>
              <w:rPr>
                <w:rFonts w:ascii="Times New Roman" w:hAnsi="Times New Roman" w:cs="Times New Roman"/>
                <w:szCs w:val="18"/>
                <w:lang w:val="fr-CA"/>
              </w:rPr>
            </w:pPr>
            <w:proofErr w:type="spellStart"/>
            <w:r>
              <w:rPr>
                <w:rFonts w:ascii="Times New Roman" w:hAnsi="Times New Roman" w:cs="Times New Roman"/>
                <w:szCs w:val="18"/>
                <w:lang w:val="fr-CA"/>
              </w:rPr>
              <w:t>Usual</w:t>
            </w:r>
            <w:proofErr w:type="spellEnd"/>
            <w:r w:rsidR="007F5532" w:rsidRPr="00420436">
              <w:rPr>
                <w:rFonts w:ascii="Times New Roman" w:hAnsi="Times New Roman" w:cs="Times New Roman"/>
                <w:szCs w:val="18"/>
                <w:lang w:val="fr-CA"/>
              </w:rPr>
              <w:t xml:space="preserve"> </w:t>
            </w:r>
            <w:proofErr w:type="spellStart"/>
            <w:r w:rsidR="007F5532" w:rsidRPr="00420436">
              <w:rPr>
                <w:rFonts w:ascii="Times New Roman" w:hAnsi="Times New Roman" w:cs="Times New Roman"/>
                <w:szCs w:val="18"/>
                <w:lang w:val="fr-CA"/>
              </w:rPr>
              <w:t>intakes</w:t>
            </w:r>
            <w:proofErr w:type="spellEnd"/>
            <w:r w:rsidR="007F5532" w:rsidRPr="00420436">
              <w:rPr>
                <w:rFonts w:ascii="Times New Roman" w:hAnsi="Times New Roman" w:cs="Times New Roman"/>
                <w:szCs w:val="18"/>
                <w:lang w:val="fr-CA"/>
              </w:rPr>
              <w:t xml:space="preserve"> </w:t>
            </w:r>
            <w:proofErr w:type="spellStart"/>
            <w:r w:rsidR="007F5532" w:rsidRPr="00420436">
              <w:rPr>
                <w:rFonts w:ascii="Times New Roman" w:hAnsi="Times New Roman" w:cs="Times New Roman"/>
                <w:szCs w:val="18"/>
                <w:lang w:val="fr-CA"/>
              </w:rPr>
              <w:t>from</w:t>
            </w:r>
            <w:proofErr w:type="spellEnd"/>
            <w:r w:rsidR="007F5532" w:rsidRPr="00420436">
              <w:rPr>
                <w:rFonts w:ascii="Times New Roman" w:hAnsi="Times New Roman" w:cs="Times New Roman"/>
                <w:szCs w:val="18"/>
                <w:lang w:val="fr-CA"/>
              </w:rPr>
              <w:t xml:space="preserve"> </w:t>
            </w:r>
            <w:proofErr w:type="spellStart"/>
            <w:r w:rsidR="007F5532" w:rsidRPr="00420436">
              <w:rPr>
                <w:rFonts w:ascii="Times New Roman" w:hAnsi="Times New Roman" w:cs="Times New Roman"/>
                <w:szCs w:val="18"/>
                <w:lang w:val="fr-CA"/>
              </w:rPr>
              <w:t>food</w:t>
            </w:r>
            <w:proofErr w:type="spellEnd"/>
            <w:r w:rsidR="007F5532" w:rsidRPr="00420436">
              <w:rPr>
                <w:rFonts w:ascii="Times New Roman" w:hAnsi="Times New Roman" w:cs="Times New Roman"/>
                <w:szCs w:val="18"/>
                <w:lang w:val="fr-CA"/>
              </w:rPr>
              <w:t xml:space="preserve">, 2015 </w:t>
            </w:r>
          </w:p>
        </w:tc>
        <w:tc>
          <w:tcPr>
            <w:tcW w:w="4110" w:type="dxa"/>
            <w:shd w:val="clear" w:color="auto" w:fill="auto"/>
          </w:tcPr>
          <w:p w14:paraId="793F6E3A" w14:textId="2CFF230B" w:rsidR="007F5532" w:rsidRPr="00420436" w:rsidRDefault="005C44EC" w:rsidP="005C44EC">
            <w:pPr>
              <w:rPr>
                <w:rFonts w:ascii="Times New Roman" w:hAnsi="Times New Roman" w:cs="Times New Roman"/>
                <w:szCs w:val="18"/>
                <w:lang w:val="fr-CA"/>
              </w:rPr>
            </w:pPr>
            <w:r>
              <w:rPr>
                <w:rFonts w:ascii="Times New Roman" w:hAnsi="Times New Roman" w:cs="Times New Roman"/>
                <w:szCs w:val="18"/>
                <w:lang w:val="fr-CA"/>
              </w:rPr>
              <w:t>Apports usuels</w:t>
            </w:r>
            <w:r w:rsidR="007F5532" w:rsidRPr="00420436">
              <w:rPr>
                <w:rFonts w:ascii="Times New Roman" w:hAnsi="Times New Roman" w:cs="Times New Roman"/>
                <w:szCs w:val="18"/>
                <w:lang w:val="fr-CA"/>
              </w:rPr>
              <w:t xml:space="preserve"> provenant des aliments, 2015</w:t>
            </w:r>
          </w:p>
        </w:tc>
      </w:tr>
      <w:tr w:rsidR="007F5532" w:rsidRPr="00420436" w14:paraId="634FBFA5" w14:textId="1174985D" w:rsidTr="00B845C1">
        <w:tc>
          <w:tcPr>
            <w:tcW w:w="1418" w:type="dxa"/>
            <w:shd w:val="clear" w:color="auto" w:fill="auto"/>
          </w:tcPr>
          <w:p w14:paraId="046684E2" w14:textId="77777777" w:rsidR="007F5532" w:rsidRPr="00420436" w:rsidRDefault="007F5532" w:rsidP="00CA2B3F">
            <w:pPr>
              <w:rPr>
                <w:rFonts w:ascii="Times New Roman" w:hAnsi="Times New Roman" w:cs="Times New Roman"/>
                <w:b/>
                <w:szCs w:val="18"/>
              </w:rPr>
            </w:pPr>
            <w:r w:rsidRPr="00420436">
              <w:rPr>
                <w:rFonts w:ascii="Times New Roman" w:hAnsi="Times New Roman" w:cs="Times New Roman"/>
                <w:b/>
                <w:szCs w:val="18"/>
              </w:rPr>
              <w:t xml:space="preserve">Tabs </w:t>
            </w:r>
          </w:p>
        </w:tc>
        <w:tc>
          <w:tcPr>
            <w:tcW w:w="3822" w:type="dxa"/>
            <w:shd w:val="clear" w:color="auto" w:fill="auto"/>
          </w:tcPr>
          <w:p w14:paraId="569AB3E0" w14:textId="07F38699" w:rsidR="00D3397A" w:rsidRDefault="00D3397A" w:rsidP="009C2727">
            <w:pPr>
              <w:pStyle w:val="ListParagraph"/>
              <w:numPr>
                <w:ilvl w:val="0"/>
                <w:numId w:val="26"/>
              </w:numPr>
              <w:rPr>
                <w:rFonts w:ascii="Times New Roman" w:hAnsi="Times New Roman" w:cs="Times New Roman"/>
                <w:szCs w:val="18"/>
                <w:lang w:val="fr-CA"/>
              </w:rPr>
            </w:pPr>
            <w:r w:rsidRPr="00420436">
              <w:rPr>
                <w:rFonts w:ascii="Times New Roman" w:hAnsi="Times New Roman" w:cs="Times New Roman"/>
                <w:szCs w:val="18"/>
                <w:lang w:val="fr-CA"/>
              </w:rPr>
              <w:t>About the data</w:t>
            </w:r>
          </w:p>
          <w:p w14:paraId="6C0480EE" w14:textId="130D67D7" w:rsidR="007F5532" w:rsidRPr="00420436" w:rsidRDefault="007F5532" w:rsidP="009C2727">
            <w:pPr>
              <w:pStyle w:val="ListParagraph"/>
              <w:numPr>
                <w:ilvl w:val="0"/>
                <w:numId w:val="26"/>
              </w:numPr>
              <w:rPr>
                <w:rFonts w:ascii="Times New Roman" w:hAnsi="Times New Roman" w:cs="Times New Roman"/>
                <w:szCs w:val="18"/>
                <w:lang w:val="fr-CA"/>
              </w:rPr>
            </w:pPr>
            <w:proofErr w:type="spellStart"/>
            <w:r w:rsidRPr="00420436">
              <w:rPr>
                <w:rFonts w:ascii="Times New Roman" w:hAnsi="Times New Roman" w:cs="Times New Roman"/>
                <w:szCs w:val="18"/>
                <w:lang w:val="fr-CA"/>
              </w:rPr>
              <w:t>Usual</w:t>
            </w:r>
            <w:proofErr w:type="spellEnd"/>
            <w:r w:rsidRPr="00420436">
              <w:rPr>
                <w:rFonts w:ascii="Times New Roman" w:hAnsi="Times New Roman" w:cs="Times New Roman"/>
                <w:szCs w:val="18"/>
                <w:lang w:val="fr-CA"/>
              </w:rPr>
              <w:t xml:space="preserve"> </w:t>
            </w:r>
            <w:proofErr w:type="spellStart"/>
            <w:r w:rsidRPr="00420436">
              <w:rPr>
                <w:rFonts w:ascii="Times New Roman" w:hAnsi="Times New Roman" w:cs="Times New Roman"/>
                <w:szCs w:val="18"/>
                <w:lang w:val="fr-CA"/>
              </w:rPr>
              <w:t>intake</w:t>
            </w:r>
            <w:proofErr w:type="spellEnd"/>
            <w:r w:rsidRPr="00420436">
              <w:rPr>
                <w:rFonts w:ascii="Times New Roman" w:hAnsi="Times New Roman" w:cs="Times New Roman"/>
                <w:szCs w:val="18"/>
                <w:lang w:val="fr-CA"/>
              </w:rPr>
              <w:t xml:space="preserve"> data table </w:t>
            </w:r>
          </w:p>
          <w:p w14:paraId="03D31876" w14:textId="13353D06" w:rsidR="007F5532" w:rsidRPr="00420436" w:rsidRDefault="007F5532" w:rsidP="009C2727">
            <w:pPr>
              <w:pStyle w:val="ListParagraph"/>
              <w:numPr>
                <w:ilvl w:val="0"/>
                <w:numId w:val="26"/>
              </w:numPr>
              <w:rPr>
                <w:rFonts w:ascii="Times New Roman" w:hAnsi="Times New Roman" w:cs="Times New Roman"/>
                <w:szCs w:val="18"/>
                <w:lang w:val="fr-CA"/>
              </w:rPr>
            </w:pPr>
            <w:proofErr w:type="spellStart"/>
            <w:r w:rsidRPr="00420436">
              <w:rPr>
                <w:rFonts w:ascii="Times New Roman" w:hAnsi="Times New Roman" w:cs="Times New Roman"/>
                <w:szCs w:val="18"/>
                <w:lang w:val="fr-CA"/>
              </w:rPr>
              <w:t>Usual</w:t>
            </w:r>
            <w:proofErr w:type="spellEnd"/>
            <w:r w:rsidRPr="00420436">
              <w:rPr>
                <w:rFonts w:ascii="Times New Roman" w:hAnsi="Times New Roman" w:cs="Times New Roman"/>
                <w:szCs w:val="18"/>
                <w:lang w:val="fr-CA"/>
              </w:rPr>
              <w:t xml:space="preserve"> </w:t>
            </w:r>
            <w:proofErr w:type="spellStart"/>
            <w:r w:rsidRPr="00420436">
              <w:rPr>
                <w:rFonts w:ascii="Times New Roman" w:hAnsi="Times New Roman" w:cs="Times New Roman"/>
                <w:szCs w:val="18"/>
                <w:lang w:val="fr-CA"/>
              </w:rPr>
              <w:t>intake</w:t>
            </w:r>
            <w:proofErr w:type="spellEnd"/>
            <w:r w:rsidRPr="00420436">
              <w:rPr>
                <w:rFonts w:ascii="Times New Roman" w:hAnsi="Times New Roman" w:cs="Times New Roman"/>
                <w:szCs w:val="18"/>
                <w:lang w:val="fr-CA"/>
              </w:rPr>
              <w:t xml:space="preserve"> distribution </w:t>
            </w:r>
            <w:proofErr w:type="spellStart"/>
            <w:r w:rsidRPr="00420436">
              <w:rPr>
                <w:rFonts w:ascii="Times New Roman" w:hAnsi="Times New Roman" w:cs="Times New Roman"/>
                <w:szCs w:val="18"/>
                <w:lang w:val="fr-CA"/>
              </w:rPr>
              <w:t>curves</w:t>
            </w:r>
            <w:proofErr w:type="spellEnd"/>
            <w:r w:rsidRPr="00420436">
              <w:rPr>
                <w:rFonts w:ascii="Times New Roman" w:hAnsi="Times New Roman" w:cs="Times New Roman"/>
                <w:szCs w:val="18"/>
                <w:lang w:val="fr-CA"/>
              </w:rPr>
              <w:t xml:space="preserve"> </w:t>
            </w:r>
          </w:p>
          <w:p w14:paraId="545E0CDB" w14:textId="0CEC3A02" w:rsidR="007F5532" w:rsidRPr="00420436" w:rsidRDefault="007F5532" w:rsidP="009C2727">
            <w:pPr>
              <w:pStyle w:val="ListParagraph"/>
              <w:numPr>
                <w:ilvl w:val="0"/>
                <w:numId w:val="26"/>
              </w:numPr>
              <w:rPr>
                <w:rFonts w:ascii="Times New Roman" w:hAnsi="Times New Roman" w:cs="Times New Roman"/>
                <w:szCs w:val="18"/>
                <w:lang w:val="fr-CA"/>
              </w:rPr>
            </w:pPr>
            <w:r w:rsidRPr="00420436">
              <w:rPr>
                <w:rFonts w:ascii="Times New Roman" w:hAnsi="Times New Roman" w:cs="Times New Roman"/>
                <w:szCs w:val="18"/>
                <w:lang w:val="fr-CA"/>
              </w:rPr>
              <w:t xml:space="preserve">Geographic </w:t>
            </w:r>
            <w:proofErr w:type="spellStart"/>
            <w:r w:rsidRPr="00420436">
              <w:rPr>
                <w:rFonts w:ascii="Times New Roman" w:hAnsi="Times New Roman" w:cs="Times New Roman"/>
                <w:szCs w:val="18"/>
                <w:lang w:val="fr-CA"/>
              </w:rPr>
              <w:t>comparison</w:t>
            </w:r>
            <w:proofErr w:type="spellEnd"/>
            <w:r w:rsidRPr="00420436">
              <w:rPr>
                <w:rFonts w:ascii="Times New Roman" w:hAnsi="Times New Roman" w:cs="Times New Roman"/>
                <w:szCs w:val="18"/>
                <w:lang w:val="fr-CA"/>
              </w:rPr>
              <w:t xml:space="preserve"> </w:t>
            </w:r>
          </w:p>
          <w:p w14:paraId="37200AEC" w14:textId="56500348" w:rsidR="007F5532" w:rsidRPr="00D3397A" w:rsidRDefault="007F5532" w:rsidP="00D3397A">
            <w:pPr>
              <w:ind w:left="360"/>
              <w:rPr>
                <w:rFonts w:ascii="Times New Roman" w:hAnsi="Times New Roman" w:cs="Times New Roman"/>
                <w:szCs w:val="18"/>
                <w:lang w:val="fr-CA"/>
              </w:rPr>
            </w:pPr>
          </w:p>
        </w:tc>
        <w:tc>
          <w:tcPr>
            <w:tcW w:w="4110" w:type="dxa"/>
            <w:shd w:val="clear" w:color="auto" w:fill="auto"/>
          </w:tcPr>
          <w:p w14:paraId="05F402D9" w14:textId="7D1DEA10" w:rsidR="00D3397A" w:rsidRDefault="00D3397A" w:rsidP="007F5532">
            <w:pPr>
              <w:pStyle w:val="ListParagraph"/>
              <w:numPr>
                <w:ilvl w:val="0"/>
                <w:numId w:val="27"/>
              </w:numPr>
              <w:rPr>
                <w:rFonts w:ascii="Times New Roman" w:hAnsi="Times New Roman" w:cs="Times New Roman"/>
                <w:szCs w:val="18"/>
                <w:lang w:val="fr-CA"/>
              </w:rPr>
            </w:pPr>
            <w:r w:rsidRPr="00420436">
              <w:rPr>
                <w:rFonts w:ascii="Times New Roman" w:hAnsi="Times New Roman" w:cs="Times New Roman"/>
                <w:szCs w:val="18"/>
                <w:lang w:val="fr-CA"/>
              </w:rPr>
              <w:t>Au sujet des données</w:t>
            </w:r>
          </w:p>
          <w:p w14:paraId="0455686B" w14:textId="77777777" w:rsidR="007F5532" w:rsidRPr="00420436" w:rsidRDefault="007F5532" w:rsidP="007F5532">
            <w:pPr>
              <w:pStyle w:val="ListParagraph"/>
              <w:numPr>
                <w:ilvl w:val="0"/>
                <w:numId w:val="27"/>
              </w:numPr>
              <w:rPr>
                <w:rFonts w:ascii="Times New Roman" w:hAnsi="Times New Roman" w:cs="Times New Roman"/>
                <w:szCs w:val="18"/>
                <w:lang w:val="fr-CA"/>
              </w:rPr>
            </w:pPr>
            <w:r w:rsidRPr="00420436">
              <w:rPr>
                <w:rFonts w:ascii="Times New Roman" w:hAnsi="Times New Roman" w:cs="Times New Roman"/>
                <w:szCs w:val="18"/>
                <w:lang w:val="fr-CA"/>
              </w:rPr>
              <w:t xml:space="preserve">Tableau des données sur </w:t>
            </w:r>
            <w:proofErr w:type="gramStart"/>
            <w:r w:rsidRPr="00420436">
              <w:rPr>
                <w:rFonts w:ascii="Times New Roman" w:hAnsi="Times New Roman" w:cs="Times New Roman"/>
                <w:szCs w:val="18"/>
                <w:lang w:val="fr-CA"/>
              </w:rPr>
              <w:t>les apport usuels</w:t>
            </w:r>
            <w:proofErr w:type="gramEnd"/>
          </w:p>
          <w:p w14:paraId="7C72D289" w14:textId="77777777" w:rsidR="007F5532" w:rsidRPr="00420436" w:rsidRDefault="007F5532" w:rsidP="007F5532">
            <w:pPr>
              <w:pStyle w:val="ListParagraph"/>
              <w:numPr>
                <w:ilvl w:val="0"/>
                <w:numId w:val="27"/>
              </w:numPr>
              <w:rPr>
                <w:rFonts w:ascii="Times New Roman" w:hAnsi="Times New Roman" w:cs="Times New Roman"/>
                <w:szCs w:val="18"/>
                <w:lang w:val="fr-CA"/>
              </w:rPr>
            </w:pPr>
            <w:r w:rsidRPr="00420436">
              <w:rPr>
                <w:rFonts w:ascii="Times New Roman" w:hAnsi="Times New Roman" w:cs="Times New Roman"/>
                <w:szCs w:val="18"/>
                <w:lang w:val="fr-CA"/>
              </w:rPr>
              <w:t>Courbes de distribution de l’apport usuel</w:t>
            </w:r>
          </w:p>
          <w:p w14:paraId="4105F3D6" w14:textId="714919E9" w:rsidR="007F5532" w:rsidRPr="00D3397A" w:rsidRDefault="007F5532" w:rsidP="00D3397A">
            <w:pPr>
              <w:pStyle w:val="ListParagraph"/>
              <w:numPr>
                <w:ilvl w:val="0"/>
                <w:numId w:val="27"/>
              </w:numPr>
              <w:rPr>
                <w:rFonts w:ascii="Times New Roman" w:hAnsi="Times New Roman" w:cs="Times New Roman"/>
                <w:szCs w:val="18"/>
                <w:lang w:val="fr-CA"/>
              </w:rPr>
            </w:pPr>
            <w:proofErr w:type="spellStart"/>
            <w:r w:rsidRPr="00420436">
              <w:rPr>
                <w:rFonts w:ascii="Times New Roman" w:hAnsi="Times New Roman" w:cs="Times New Roman"/>
                <w:szCs w:val="18"/>
              </w:rPr>
              <w:t>Comparaison</w:t>
            </w:r>
            <w:proofErr w:type="spellEnd"/>
            <w:r w:rsidRPr="00420436">
              <w:rPr>
                <w:rFonts w:ascii="Times New Roman" w:hAnsi="Times New Roman" w:cs="Times New Roman"/>
                <w:szCs w:val="18"/>
              </w:rPr>
              <w:t xml:space="preserve"> </w:t>
            </w:r>
            <w:proofErr w:type="spellStart"/>
            <w:r w:rsidRPr="00420436">
              <w:rPr>
                <w:rFonts w:ascii="Times New Roman" w:hAnsi="Times New Roman" w:cs="Times New Roman"/>
                <w:szCs w:val="18"/>
              </w:rPr>
              <w:t>géographique</w:t>
            </w:r>
            <w:proofErr w:type="spellEnd"/>
          </w:p>
        </w:tc>
      </w:tr>
      <w:tr w:rsidR="007F5532" w:rsidRPr="006137C0" w14:paraId="79D0B65D" w14:textId="1C684098" w:rsidTr="00B845C1">
        <w:tc>
          <w:tcPr>
            <w:tcW w:w="1418" w:type="dxa"/>
            <w:shd w:val="clear" w:color="auto" w:fill="auto"/>
          </w:tcPr>
          <w:p w14:paraId="018F95B0" w14:textId="77777777" w:rsidR="007F5532" w:rsidRDefault="007F5532" w:rsidP="00CA2B3F">
            <w:pPr>
              <w:rPr>
                <w:rFonts w:ascii="Times New Roman" w:hAnsi="Times New Roman" w:cs="Times New Roman"/>
                <w:b/>
                <w:szCs w:val="18"/>
              </w:rPr>
            </w:pPr>
            <w:r w:rsidRPr="00420436">
              <w:rPr>
                <w:rFonts w:ascii="Times New Roman" w:hAnsi="Times New Roman" w:cs="Times New Roman"/>
                <w:b/>
                <w:szCs w:val="18"/>
              </w:rPr>
              <w:t>Information to display at top of page</w:t>
            </w:r>
          </w:p>
          <w:p w14:paraId="05781AD3" w14:textId="7C6E44E5" w:rsidR="005F4905" w:rsidRPr="00420436" w:rsidRDefault="005F4905" w:rsidP="00CA2B3F">
            <w:pPr>
              <w:rPr>
                <w:rFonts w:ascii="Times New Roman" w:hAnsi="Times New Roman" w:cs="Times New Roman"/>
                <w:b/>
                <w:szCs w:val="18"/>
              </w:rPr>
            </w:pPr>
            <w:r>
              <w:rPr>
                <w:rFonts w:ascii="Times New Roman" w:hAnsi="Times New Roman" w:cs="Times New Roman"/>
                <w:b/>
                <w:szCs w:val="18"/>
              </w:rPr>
              <w:t>(When tabs 2 to 4 selected)</w:t>
            </w:r>
          </w:p>
        </w:tc>
        <w:tc>
          <w:tcPr>
            <w:tcW w:w="3822" w:type="dxa"/>
            <w:shd w:val="clear" w:color="auto" w:fill="auto"/>
          </w:tcPr>
          <w:p w14:paraId="6F49B5CF" w14:textId="10D0AC18" w:rsidR="007F5532" w:rsidRPr="00420436" w:rsidRDefault="007F5532" w:rsidP="007F5532">
            <w:pPr>
              <w:rPr>
                <w:rFonts w:ascii="Times New Roman" w:hAnsi="Times New Roman" w:cs="Times New Roman"/>
                <w:szCs w:val="18"/>
              </w:rPr>
            </w:pPr>
            <w:r w:rsidRPr="00420436">
              <w:rPr>
                <w:rFonts w:ascii="Times New Roman" w:hAnsi="Times New Roman" w:cs="Times New Roman"/>
                <w:szCs w:val="18"/>
              </w:rPr>
              <w:t xml:space="preserve">For more information on the 2015 Canadian Community Health Survey - Nutrition, please consult the </w:t>
            </w:r>
            <w:hyperlink r:id="rId11" w:history="1">
              <w:r w:rsidRPr="00420436">
                <w:rPr>
                  <w:rStyle w:val="Hyperlink"/>
                  <w:rFonts w:ascii="Times New Roman" w:hAnsi="Times New Roman" w:cs="Times New Roman"/>
                  <w:szCs w:val="18"/>
                </w:rPr>
                <w:t>Reference Guide to Understanding and Using the Data</w:t>
              </w:r>
            </w:hyperlink>
            <w:r w:rsidRPr="00420436">
              <w:rPr>
                <w:rFonts w:ascii="Times New Roman" w:hAnsi="Times New Roman" w:cs="Times New Roman"/>
                <w:szCs w:val="18"/>
              </w:rPr>
              <w:t xml:space="preserve"> and the </w:t>
            </w:r>
            <w:hyperlink r:id="rId12" w:history="1">
              <w:r w:rsidRPr="00A833D4">
                <w:rPr>
                  <w:rStyle w:val="Hyperlink"/>
                  <w:rFonts w:ascii="Times New Roman" w:hAnsi="Times New Roman" w:cs="Times New Roman"/>
                  <w:szCs w:val="18"/>
                </w:rPr>
                <w:t>Methodology Guide</w:t>
              </w:r>
            </w:hyperlink>
            <w:r w:rsidRPr="00420436">
              <w:rPr>
                <w:rFonts w:ascii="Times New Roman" w:hAnsi="Times New Roman" w:cs="Times New Roman"/>
                <w:szCs w:val="18"/>
              </w:rPr>
              <w:t>.</w:t>
            </w:r>
          </w:p>
        </w:tc>
        <w:tc>
          <w:tcPr>
            <w:tcW w:w="4110" w:type="dxa"/>
            <w:shd w:val="clear" w:color="auto" w:fill="auto"/>
          </w:tcPr>
          <w:p w14:paraId="6682D79D" w14:textId="7225DA25" w:rsidR="007F5532" w:rsidRPr="00420436" w:rsidRDefault="007F5532" w:rsidP="007F5532">
            <w:pPr>
              <w:rPr>
                <w:rFonts w:ascii="Times New Roman" w:hAnsi="Times New Roman" w:cs="Times New Roman"/>
                <w:szCs w:val="18"/>
                <w:lang w:val="fr-CA"/>
              </w:rPr>
            </w:pPr>
            <w:r w:rsidRPr="00420436">
              <w:rPr>
                <w:rFonts w:ascii="Times New Roman" w:hAnsi="Times New Roman" w:cs="Times New Roman"/>
                <w:szCs w:val="18"/>
                <w:lang w:val="fr-CA"/>
              </w:rPr>
              <w:t xml:space="preserve">Pour plus d’information sur l’Enquête sur la santé dans les collectivités canadiennes (ESCC) – Nutrition, 2015, veuillez consulter </w:t>
            </w:r>
            <w:hyperlink r:id="rId13" w:history="1">
              <w:r w:rsidRPr="00420436">
                <w:rPr>
                  <w:rStyle w:val="Hyperlink"/>
                  <w:rFonts w:ascii="Times New Roman" w:hAnsi="Times New Roman" w:cs="Times New Roman"/>
                  <w:szCs w:val="18"/>
                  <w:lang w:val="fr-CA"/>
                </w:rPr>
                <w:t>le guide de référence pour comprendre et utiliser les données</w:t>
              </w:r>
            </w:hyperlink>
            <w:r w:rsidRPr="00420436">
              <w:rPr>
                <w:rFonts w:ascii="Times New Roman" w:hAnsi="Times New Roman" w:cs="Times New Roman"/>
                <w:szCs w:val="18"/>
                <w:lang w:val="fr-CA"/>
              </w:rPr>
              <w:t xml:space="preserve"> et le </w:t>
            </w:r>
            <w:hyperlink r:id="rId14" w:history="1">
              <w:r w:rsidRPr="00B53FCD">
                <w:rPr>
                  <w:rStyle w:val="Hyperlink"/>
                  <w:rFonts w:ascii="Times New Roman" w:hAnsi="Times New Roman" w:cs="Times New Roman"/>
                  <w:szCs w:val="18"/>
                  <w:lang w:val="fr-CA"/>
                </w:rPr>
                <w:t>document méthodologique</w:t>
              </w:r>
            </w:hyperlink>
            <w:r w:rsidRPr="00420436">
              <w:rPr>
                <w:rFonts w:ascii="Times New Roman" w:hAnsi="Times New Roman" w:cs="Times New Roman"/>
                <w:szCs w:val="18"/>
                <w:lang w:val="fr-CA"/>
              </w:rPr>
              <w:t>.</w:t>
            </w:r>
          </w:p>
        </w:tc>
      </w:tr>
    </w:tbl>
    <w:p w14:paraId="5022D70B" w14:textId="77777777" w:rsidR="00D3397A" w:rsidRDefault="00D3397A" w:rsidP="0077378E">
      <w:pPr>
        <w:spacing w:after="0"/>
        <w:rPr>
          <w:rFonts w:ascii="Times New Roman" w:hAnsi="Times New Roman" w:cs="Times New Roman"/>
          <w:szCs w:val="18"/>
          <w:lang w:val="fr-CA"/>
        </w:rPr>
        <w:sectPr w:rsidR="00D3397A">
          <w:footerReference w:type="default" r:id="rId15"/>
          <w:pgSz w:w="12240" w:h="15840"/>
          <w:pgMar w:top="1440" w:right="1440" w:bottom="1440" w:left="1440" w:header="708" w:footer="708" w:gutter="0"/>
          <w:cols w:space="708"/>
          <w:docGrid w:linePitch="360"/>
        </w:sectPr>
      </w:pPr>
    </w:p>
    <w:p w14:paraId="094D9E32" w14:textId="2764C958" w:rsidR="00D3397A" w:rsidRDefault="00D3397A" w:rsidP="00D3397A">
      <w:pPr>
        <w:rPr>
          <w:rFonts w:ascii="Times New Roman" w:hAnsi="Times New Roman" w:cs="Times New Roman"/>
          <w:szCs w:val="18"/>
        </w:rPr>
      </w:pPr>
      <w:r w:rsidRPr="00420436">
        <w:rPr>
          <w:rFonts w:ascii="Times New Roman" w:hAnsi="Times New Roman" w:cs="Times New Roman"/>
          <w:szCs w:val="18"/>
          <w:u w:val="single"/>
        </w:rPr>
        <w:lastRenderedPageBreak/>
        <w:t>Tab #</w:t>
      </w:r>
      <w:r>
        <w:rPr>
          <w:rFonts w:ascii="Times New Roman" w:hAnsi="Times New Roman" w:cs="Times New Roman"/>
          <w:szCs w:val="18"/>
          <w:u w:val="single"/>
        </w:rPr>
        <w:t>1</w:t>
      </w:r>
      <w:r w:rsidRPr="00420436">
        <w:rPr>
          <w:rFonts w:ascii="Times New Roman" w:hAnsi="Times New Roman" w:cs="Times New Roman"/>
          <w:szCs w:val="18"/>
          <w:u w:val="single"/>
        </w:rPr>
        <w:t>: About the data:</w:t>
      </w:r>
      <w:r w:rsidRPr="00420436">
        <w:rPr>
          <w:rFonts w:ascii="Times New Roman" w:hAnsi="Times New Roman" w:cs="Times New Roman"/>
          <w:szCs w:val="18"/>
        </w:rPr>
        <w:t xml:space="preserve"> The objective of this tab is to </w:t>
      </w:r>
      <w:r w:rsidR="00570739">
        <w:rPr>
          <w:rFonts w:ascii="Times New Roman" w:hAnsi="Times New Roman" w:cs="Times New Roman"/>
          <w:szCs w:val="18"/>
        </w:rPr>
        <w:t>provide contextual information about CCHS – Nutrition, the objective of the Data Tool and supportive information that apply to all of the graphs and tables presented in the Data Tool.</w:t>
      </w:r>
    </w:p>
    <w:p w14:paraId="2A83F8BE" w14:textId="23EA549C" w:rsidR="00570739" w:rsidRDefault="00570739" w:rsidP="00D3397A">
      <w:pPr>
        <w:rPr>
          <w:rFonts w:ascii="Times New Roman" w:hAnsi="Times New Roman" w:cs="Times New Roman"/>
          <w:szCs w:val="18"/>
        </w:rPr>
      </w:pPr>
      <w:r>
        <w:rPr>
          <w:rFonts w:ascii="Times New Roman" w:hAnsi="Times New Roman" w:cs="Times New Roman"/>
          <w:szCs w:val="18"/>
        </w:rPr>
        <w:t>This should be the landing page when users navigate to the Nutrition Surveillance Data Tool.</w:t>
      </w:r>
    </w:p>
    <w:tbl>
      <w:tblPr>
        <w:tblStyle w:val="TableGrid"/>
        <w:tblW w:w="0" w:type="auto"/>
        <w:tblLook w:val="04A0" w:firstRow="1" w:lastRow="0" w:firstColumn="1" w:lastColumn="0" w:noHBand="0" w:noVBand="1"/>
      </w:tblPr>
      <w:tblGrid>
        <w:gridCol w:w="6475"/>
        <w:gridCol w:w="6475"/>
      </w:tblGrid>
      <w:tr w:rsidR="00983150" w:rsidRPr="001602BC" w14:paraId="7D32292F" w14:textId="77777777" w:rsidTr="006137C0">
        <w:tc>
          <w:tcPr>
            <w:tcW w:w="6475" w:type="dxa"/>
          </w:tcPr>
          <w:p w14:paraId="7CB1D901" w14:textId="0862DC6D" w:rsidR="00983150" w:rsidRDefault="00983150" w:rsidP="006137C0">
            <w:pPr>
              <w:rPr>
                <w:rFonts w:ascii="Times New Roman" w:hAnsi="Times New Roman" w:cs="Times New Roman"/>
                <w:b/>
                <w:szCs w:val="18"/>
              </w:rPr>
            </w:pPr>
            <w:r>
              <w:rPr>
                <w:rFonts w:ascii="Times New Roman" w:hAnsi="Times New Roman" w:cs="Times New Roman"/>
                <w:b/>
                <w:szCs w:val="18"/>
              </w:rPr>
              <w:t>ENGLISH</w:t>
            </w:r>
          </w:p>
        </w:tc>
        <w:tc>
          <w:tcPr>
            <w:tcW w:w="6475" w:type="dxa"/>
          </w:tcPr>
          <w:p w14:paraId="4DDEF38C" w14:textId="603135F3" w:rsidR="00983150" w:rsidRPr="00983150" w:rsidRDefault="00983150" w:rsidP="00983150">
            <w:pPr>
              <w:rPr>
                <w:rFonts w:ascii="Times New Roman" w:hAnsi="Times New Roman" w:cs="Times New Roman"/>
                <w:b/>
                <w:szCs w:val="18"/>
                <w:lang w:val="fr-CA"/>
              </w:rPr>
            </w:pPr>
            <w:r>
              <w:rPr>
                <w:rFonts w:ascii="Times New Roman" w:hAnsi="Times New Roman" w:cs="Times New Roman"/>
                <w:b/>
                <w:szCs w:val="18"/>
                <w:lang w:val="fr-CA"/>
              </w:rPr>
              <w:t>FRENCH</w:t>
            </w:r>
          </w:p>
        </w:tc>
      </w:tr>
      <w:tr w:rsidR="00D3397A" w:rsidRPr="001602BC" w14:paraId="27FDB346" w14:textId="77777777" w:rsidTr="006137C0">
        <w:tc>
          <w:tcPr>
            <w:tcW w:w="6475" w:type="dxa"/>
          </w:tcPr>
          <w:p w14:paraId="2D55FBBB" w14:textId="40E10C65" w:rsidR="005F4905" w:rsidRPr="005F4905" w:rsidRDefault="005F4905" w:rsidP="006137C0">
            <w:pPr>
              <w:rPr>
                <w:rFonts w:ascii="Times New Roman" w:hAnsi="Times New Roman" w:cs="Times New Roman"/>
                <w:b/>
                <w:szCs w:val="18"/>
              </w:rPr>
            </w:pPr>
            <w:r>
              <w:rPr>
                <w:rFonts w:ascii="Times New Roman" w:hAnsi="Times New Roman" w:cs="Times New Roman"/>
                <w:b/>
                <w:szCs w:val="18"/>
              </w:rPr>
              <w:t>About the Usual Intakes Data Tool</w:t>
            </w:r>
          </w:p>
          <w:p w14:paraId="56A70196" w14:textId="77777777" w:rsidR="005F4905" w:rsidRDefault="005F4905" w:rsidP="006137C0">
            <w:pPr>
              <w:rPr>
                <w:rFonts w:ascii="Times New Roman" w:hAnsi="Times New Roman" w:cs="Times New Roman"/>
                <w:szCs w:val="18"/>
              </w:rPr>
            </w:pPr>
          </w:p>
          <w:p w14:paraId="01BA8CEE" w14:textId="4DB2CEED" w:rsidR="00D3397A" w:rsidRDefault="00D3397A" w:rsidP="00EF1512">
            <w:pPr>
              <w:rPr>
                <w:rFonts w:ascii="Times New Roman" w:hAnsi="Times New Roman" w:cs="Times New Roman"/>
                <w:szCs w:val="18"/>
              </w:rPr>
            </w:pPr>
            <w:r w:rsidRPr="005C44EC">
              <w:rPr>
                <w:rFonts w:ascii="Times New Roman" w:hAnsi="Times New Roman" w:cs="Times New Roman"/>
                <w:szCs w:val="18"/>
              </w:rPr>
              <w:t>The Nutrition Surveillance Data Tool presents usual intakes of energy</w:t>
            </w:r>
            <w:r>
              <w:rPr>
                <w:rFonts w:ascii="Times New Roman" w:hAnsi="Times New Roman" w:cs="Times New Roman"/>
                <w:szCs w:val="18"/>
              </w:rPr>
              <w:t xml:space="preserve">, nutrients and other dietary components using data collected in the </w:t>
            </w:r>
            <w:hyperlink r:id="rId16" w:history="1">
              <w:r w:rsidRPr="00570739">
                <w:rPr>
                  <w:rStyle w:val="Hyperlink"/>
                  <w:rFonts w:ascii="Times New Roman" w:hAnsi="Times New Roman" w:cs="Times New Roman"/>
                  <w:szCs w:val="18"/>
                </w:rPr>
                <w:t>2015 Canadian Community Health Survey – Nutrition</w:t>
              </w:r>
            </w:hyperlink>
            <w:r>
              <w:rPr>
                <w:rFonts w:ascii="Times New Roman" w:hAnsi="Times New Roman" w:cs="Times New Roman"/>
                <w:szCs w:val="18"/>
              </w:rPr>
              <w:t xml:space="preserve"> (CCHS – Nutrition). The goal is to complement the</w:t>
            </w:r>
            <w:r w:rsidR="002477DC">
              <w:rPr>
                <w:rFonts w:ascii="Times New Roman" w:hAnsi="Times New Roman" w:cs="Times New Roman"/>
                <w:szCs w:val="18"/>
              </w:rPr>
              <w:t xml:space="preserve"> full usual intake</w:t>
            </w:r>
            <w:r>
              <w:rPr>
                <w:rFonts w:ascii="Times New Roman" w:hAnsi="Times New Roman" w:cs="Times New Roman"/>
                <w:szCs w:val="18"/>
              </w:rPr>
              <w:t xml:space="preserve"> dataset published on </w:t>
            </w:r>
            <w:r w:rsidRPr="000E0197">
              <w:rPr>
                <w:rFonts w:ascii="Times New Roman" w:hAnsi="Times New Roman" w:cs="Times New Roman"/>
                <w:color w:val="FF0000"/>
                <w:szCs w:val="18"/>
              </w:rPr>
              <w:t>the Government of Canada’s Open Data</w:t>
            </w:r>
            <w:r>
              <w:rPr>
                <w:rFonts w:ascii="Times New Roman" w:hAnsi="Times New Roman" w:cs="Times New Roman"/>
                <w:szCs w:val="18"/>
              </w:rPr>
              <w:t xml:space="preserve"> portal by presenting the data in an interactive and user-friendly way. </w:t>
            </w:r>
            <w:r w:rsidR="00AD07FC">
              <w:rPr>
                <w:rFonts w:ascii="Times New Roman" w:hAnsi="Times New Roman" w:cs="Times New Roman"/>
                <w:szCs w:val="18"/>
              </w:rPr>
              <w:t>This large</w:t>
            </w:r>
            <w:r w:rsidR="002477DC">
              <w:rPr>
                <w:rFonts w:ascii="Times New Roman" w:hAnsi="Times New Roman" w:cs="Times New Roman"/>
                <w:szCs w:val="18"/>
              </w:rPr>
              <w:t xml:space="preserve"> dataset contains </w:t>
            </w:r>
            <w:r w:rsidR="00EF1512">
              <w:rPr>
                <w:rFonts w:ascii="Times New Roman" w:hAnsi="Times New Roman" w:cs="Times New Roman"/>
                <w:szCs w:val="18"/>
              </w:rPr>
              <w:t xml:space="preserve">distribution of </w:t>
            </w:r>
            <w:r w:rsidR="002477DC">
              <w:rPr>
                <w:rFonts w:ascii="Times New Roman" w:hAnsi="Times New Roman" w:cs="Times New Roman"/>
                <w:szCs w:val="18"/>
              </w:rPr>
              <w:t xml:space="preserve">usual intakes </w:t>
            </w:r>
            <w:r w:rsidR="00AD07FC">
              <w:rPr>
                <w:rFonts w:ascii="Times New Roman" w:hAnsi="Times New Roman" w:cs="Times New Roman"/>
                <w:szCs w:val="18"/>
              </w:rPr>
              <w:t>of</w:t>
            </w:r>
            <w:r w:rsidR="002477DC">
              <w:rPr>
                <w:rFonts w:ascii="Times New Roman" w:hAnsi="Times New Roman" w:cs="Times New Roman"/>
                <w:szCs w:val="18"/>
              </w:rPr>
              <w:t xml:space="preserve"> 41 nutrients/dietary component</w:t>
            </w:r>
            <w:r w:rsidR="00AD07FC">
              <w:rPr>
                <w:rFonts w:ascii="Times New Roman" w:hAnsi="Times New Roman" w:cs="Times New Roman"/>
                <w:szCs w:val="18"/>
              </w:rPr>
              <w:t xml:space="preserve"> for </w:t>
            </w:r>
            <w:r w:rsidR="002477DC">
              <w:rPr>
                <w:rFonts w:ascii="Times New Roman" w:hAnsi="Times New Roman" w:cs="Times New Roman"/>
                <w:szCs w:val="18"/>
              </w:rPr>
              <w:t>16 age-sex groupings and 13 geographical regions (Canada excluding the territories, provinces and regions).</w:t>
            </w:r>
            <w:r w:rsidR="00EF1512">
              <w:rPr>
                <w:rFonts w:ascii="Times New Roman" w:hAnsi="Times New Roman" w:cs="Times New Roman"/>
                <w:szCs w:val="18"/>
              </w:rPr>
              <w:t xml:space="preserve"> For nutrients </w:t>
            </w:r>
            <w:r w:rsidR="004862FA">
              <w:rPr>
                <w:rFonts w:ascii="Times New Roman" w:hAnsi="Times New Roman" w:cs="Times New Roman"/>
                <w:szCs w:val="18"/>
              </w:rPr>
              <w:t>for which</w:t>
            </w:r>
            <w:r w:rsidR="00EF1512" w:rsidRPr="00EF1512">
              <w:rPr>
                <w:rFonts w:ascii="Times New Roman" w:hAnsi="Times New Roman" w:cs="Times New Roman"/>
                <w:szCs w:val="18"/>
              </w:rPr>
              <w:t xml:space="preserve"> </w:t>
            </w:r>
            <w:hyperlink r:id="rId17" w:history="1">
              <w:r w:rsidR="004862FA" w:rsidRPr="00570739">
                <w:rPr>
                  <w:rStyle w:val="Hyperlink"/>
                  <w:rFonts w:ascii="Times New Roman" w:hAnsi="Times New Roman" w:cs="Times New Roman"/>
                  <w:szCs w:val="18"/>
                </w:rPr>
                <w:t>Dietary Reference Intakes</w:t>
              </w:r>
            </w:hyperlink>
            <w:r w:rsidR="004862FA">
              <w:rPr>
                <w:rFonts w:ascii="Times New Roman" w:hAnsi="Times New Roman" w:cs="Times New Roman"/>
                <w:szCs w:val="18"/>
              </w:rPr>
              <w:t xml:space="preserve"> (DRIs) have been established</w:t>
            </w:r>
            <w:r w:rsidR="00EF1512" w:rsidRPr="00EF1512">
              <w:rPr>
                <w:rFonts w:ascii="Times New Roman" w:hAnsi="Times New Roman" w:cs="Times New Roman"/>
                <w:szCs w:val="18"/>
              </w:rPr>
              <w:t xml:space="preserve">, the </w:t>
            </w:r>
            <w:r w:rsidR="00EF1512">
              <w:rPr>
                <w:rFonts w:ascii="Times New Roman" w:hAnsi="Times New Roman" w:cs="Times New Roman"/>
                <w:szCs w:val="18"/>
              </w:rPr>
              <w:t>dataset</w:t>
            </w:r>
            <w:r w:rsidR="00EF1512" w:rsidRPr="00EF1512">
              <w:rPr>
                <w:rFonts w:ascii="Times New Roman" w:hAnsi="Times New Roman" w:cs="Times New Roman"/>
                <w:szCs w:val="18"/>
              </w:rPr>
              <w:t xml:space="preserve"> also </w:t>
            </w:r>
            <w:r w:rsidR="00EF1512">
              <w:rPr>
                <w:rFonts w:ascii="Times New Roman" w:hAnsi="Times New Roman" w:cs="Times New Roman"/>
                <w:szCs w:val="18"/>
              </w:rPr>
              <w:t>contains comparisons of</w:t>
            </w:r>
            <w:r w:rsidR="00EF1512" w:rsidRPr="00EF1512">
              <w:rPr>
                <w:rFonts w:ascii="Times New Roman" w:hAnsi="Times New Roman" w:cs="Times New Roman"/>
                <w:szCs w:val="18"/>
              </w:rPr>
              <w:t xml:space="preserve"> usual intakes of selected nutrients to</w:t>
            </w:r>
            <w:r w:rsidR="00EF1512">
              <w:rPr>
                <w:rFonts w:ascii="Times New Roman" w:hAnsi="Times New Roman" w:cs="Times New Roman"/>
                <w:szCs w:val="18"/>
              </w:rPr>
              <w:t xml:space="preserve"> </w:t>
            </w:r>
            <w:r w:rsidR="00EF1512" w:rsidRPr="00EF1512">
              <w:rPr>
                <w:rFonts w:ascii="Times New Roman" w:hAnsi="Times New Roman" w:cs="Times New Roman"/>
                <w:szCs w:val="18"/>
              </w:rPr>
              <w:t>the DRIs.</w:t>
            </w:r>
          </w:p>
          <w:p w14:paraId="21164640" w14:textId="77777777" w:rsidR="002477DC" w:rsidRDefault="002477DC" w:rsidP="006137C0">
            <w:pPr>
              <w:rPr>
                <w:rFonts w:ascii="Times New Roman" w:hAnsi="Times New Roman" w:cs="Times New Roman"/>
                <w:szCs w:val="18"/>
              </w:rPr>
            </w:pPr>
          </w:p>
          <w:p w14:paraId="36CBA1DB" w14:textId="07F8A082" w:rsidR="002477DC" w:rsidRDefault="004862FA" w:rsidP="006137C0">
            <w:pPr>
              <w:rPr>
                <w:rFonts w:ascii="Times New Roman" w:hAnsi="Times New Roman" w:cs="Times New Roman"/>
                <w:szCs w:val="18"/>
              </w:rPr>
            </w:pPr>
            <w:r>
              <w:rPr>
                <w:rFonts w:ascii="Times New Roman" w:hAnsi="Times New Roman" w:cs="Times New Roman"/>
                <w:szCs w:val="18"/>
              </w:rPr>
              <w:t>This data tool</w:t>
            </w:r>
            <w:r w:rsidR="002477DC">
              <w:rPr>
                <w:rFonts w:ascii="Times New Roman" w:hAnsi="Times New Roman" w:cs="Times New Roman"/>
                <w:szCs w:val="18"/>
              </w:rPr>
              <w:t xml:space="preserve"> enables users to look at the 2015 CCHS – Nutrition </w:t>
            </w:r>
            <w:r>
              <w:rPr>
                <w:rFonts w:ascii="Times New Roman" w:hAnsi="Times New Roman" w:cs="Times New Roman"/>
                <w:szCs w:val="18"/>
              </w:rPr>
              <w:t xml:space="preserve">usual intake </w:t>
            </w:r>
            <w:r w:rsidR="002477DC">
              <w:rPr>
                <w:rFonts w:ascii="Times New Roman" w:hAnsi="Times New Roman" w:cs="Times New Roman"/>
                <w:szCs w:val="18"/>
              </w:rPr>
              <w:t>data in three ways:</w:t>
            </w:r>
          </w:p>
          <w:p w14:paraId="2B62B897" w14:textId="77777777" w:rsidR="002477DC" w:rsidRDefault="002477DC" w:rsidP="006137C0">
            <w:pPr>
              <w:rPr>
                <w:rFonts w:ascii="Times New Roman" w:hAnsi="Times New Roman" w:cs="Times New Roman"/>
                <w:szCs w:val="18"/>
              </w:rPr>
            </w:pPr>
          </w:p>
          <w:p w14:paraId="055043F0" w14:textId="1B93688E" w:rsidR="002477DC" w:rsidRDefault="000B7A95" w:rsidP="004862FA">
            <w:pPr>
              <w:pStyle w:val="ListParagraph"/>
              <w:numPr>
                <w:ilvl w:val="0"/>
                <w:numId w:val="38"/>
              </w:numPr>
              <w:rPr>
                <w:rFonts w:ascii="Times New Roman" w:hAnsi="Times New Roman" w:cs="Times New Roman"/>
                <w:szCs w:val="18"/>
              </w:rPr>
            </w:pPr>
            <w:r>
              <w:rPr>
                <w:rFonts w:ascii="Times New Roman" w:hAnsi="Times New Roman" w:cs="Times New Roman"/>
                <w:szCs w:val="18"/>
              </w:rPr>
              <w:t>In a customizable</w:t>
            </w:r>
            <w:r w:rsidR="002477DC">
              <w:rPr>
                <w:rFonts w:ascii="Times New Roman" w:hAnsi="Times New Roman" w:cs="Times New Roman"/>
                <w:szCs w:val="18"/>
              </w:rPr>
              <w:t xml:space="preserve"> </w:t>
            </w:r>
            <w:r>
              <w:rPr>
                <w:rFonts w:ascii="Times New Roman" w:hAnsi="Times New Roman" w:cs="Times New Roman"/>
                <w:szCs w:val="18"/>
              </w:rPr>
              <w:t>table,</w:t>
            </w:r>
            <w:r w:rsidR="00FA33B2">
              <w:rPr>
                <w:rFonts w:ascii="Times New Roman" w:hAnsi="Times New Roman" w:cs="Times New Roman"/>
                <w:szCs w:val="18"/>
              </w:rPr>
              <w:t xml:space="preserve"> that</w:t>
            </w:r>
            <w:r w:rsidR="002F1537">
              <w:rPr>
                <w:rFonts w:ascii="Times New Roman" w:hAnsi="Times New Roman" w:cs="Times New Roman"/>
                <w:szCs w:val="18"/>
              </w:rPr>
              <w:t xml:space="preserve"> presents</w:t>
            </w:r>
            <w:r w:rsidR="00FA33B2">
              <w:rPr>
                <w:rFonts w:ascii="Times New Roman" w:hAnsi="Times New Roman" w:cs="Times New Roman"/>
                <w:szCs w:val="18"/>
              </w:rPr>
              <w:t xml:space="preserve"> usual intake distributions for nutrient, age-sex group(s) and region(s) of interest</w:t>
            </w:r>
            <w:r w:rsidR="004862FA" w:rsidRPr="004862FA">
              <w:rPr>
                <w:rFonts w:ascii="Times New Roman" w:hAnsi="Times New Roman" w:cs="Times New Roman"/>
                <w:szCs w:val="18"/>
              </w:rPr>
              <w:t>.</w:t>
            </w:r>
          </w:p>
          <w:p w14:paraId="0ADDCE27" w14:textId="0F377CA7" w:rsidR="00FA33B2" w:rsidRDefault="000B7A95" w:rsidP="004862FA">
            <w:pPr>
              <w:pStyle w:val="ListParagraph"/>
              <w:numPr>
                <w:ilvl w:val="0"/>
                <w:numId w:val="38"/>
              </w:numPr>
              <w:rPr>
                <w:rFonts w:ascii="Times New Roman" w:hAnsi="Times New Roman" w:cs="Times New Roman"/>
                <w:szCs w:val="18"/>
              </w:rPr>
            </w:pPr>
            <w:r>
              <w:rPr>
                <w:rFonts w:ascii="Times New Roman" w:hAnsi="Times New Roman" w:cs="Times New Roman"/>
                <w:szCs w:val="18"/>
              </w:rPr>
              <w:t>In a</w:t>
            </w:r>
            <w:r w:rsidR="00FA33B2">
              <w:rPr>
                <w:rFonts w:ascii="Times New Roman" w:hAnsi="Times New Roman" w:cs="Times New Roman"/>
                <w:szCs w:val="18"/>
              </w:rPr>
              <w:t xml:space="preserve"> </w:t>
            </w:r>
            <w:r>
              <w:rPr>
                <w:rFonts w:ascii="Times New Roman" w:hAnsi="Times New Roman" w:cs="Times New Roman"/>
                <w:szCs w:val="18"/>
              </w:rPr>
              <w:t>graph,</w:t>
            </w:r>
            <w:r w:rsidR="00FA33B2">
              <w:rPr>
                <w:rFonts w:ascii="Times New Roman" w:hAnsi="Times New Roman" w:cs="Times New Roman"/>
                <w:szCs w:val="18"/>
              </w:rPr>
              <w:t xml:space="preserve"> </w:t>
            </w:r>
            <w:r w:rsidR="002F1537">
              <w:rPr>
                <w:rFonts w:ascii="Times New Roman" w:hAnsi="Times New Roman" w:cs="Times New Roman"/>
                <w:szCs w:val="18"/>
              </w:rPr>
              <w:t>that</w:t>
            </w:r>
            <w:r w:rsidR="00FA33B2">
              <w:rPr>
                <w:rFonts w:ascii="Times New Roman" w:hAnsi="Times New Roman" w:cs="Times New Roman"/>
                <w:szCs w:val="18"/>
              </w:rPr>
              <w:t xml:space="preserve"> </w:t>
            </w:r>
            <w:r w:rsidR="002F1537">
              <w:rPr>
                <w:rFonts w:ascii="Times New Roman" w:hAnsi="Times New Roman" w:cs="Times New Roman"/>
                <w:szCs w:val="18"/>
              </w:rPr>
              <w:t xml:space="preserve">displays </w:t>
            </w:r>
            <w:proofErr w:type="gramStart"/>
            <w:r w:rsidR="002F1537">
              <w:rPr>
                <w:rFonts w:ascii="Times New Roman" w:hAnsi="Times New Roman" w:cs="Times New Roman"/>
                <w:szCs w:val="18"/>
              </w:rPr>
              <w:t xml:space="preserve">the </w:t>
            </w:r>
            <w:r>
              <w:rPr>
                <w:rFonts w:ascii="Times New Roman" w:hAnsi="Times New Roman" w:cs="Times New Roman"/>
                <w:szCs w:val="18"/>
              </w:rPr>
              <w:t>usual intake distribution</w:t>
            </w:r>
            <w:r w:rsidR="002F1537">
              <w:rPr>
                <w:rFonts w:ascii="Times New Roman" w:hAnsi="Times New Roman" w:cs="Times New Roman"/>
                <w:szCs w:val="18"/>
              </w:rPr>
              <w:t xml:space="preserve"> </w:t>
            </w:r>
            <w:r>
              <w:rPr>
                <w:rFonts w:ascii="Times New Roman" w:hAnsi="Times New Roman" w:cs="Times New Roman"/>
                <w:szCs w:val="18"/>
              </w:rPr>
              <w:t>among</w:t>
            </w:r>
            <w:r w:rsidR="009A11A1">
              <w:rPr>
                <w:rFonts w:ascii="Times New Roman" w:hAnsi="Times New Roman" w:cs="Times New Roman"/>
                <w:szCs w:val="18"/>
              </w:rPr>
              <w:t xml:space="preserve"> Canadians </w:t>
            </w:r>
            <w:r w:rsidR="002F1537">
              <w:rPr>
                <w:rFonts w:ascii="Times New Roman" w:hAnsi="Times New Roman" w:cs="Times New Roman"/>
                <w:szCs w:val="18"/>
              </w:rPr>
              <w:t>for a nutrien</w:t>
            </w:r>
            <w:r w:rsidR="009A11A1">
              <w:rPr>
                <w:rFonts w:ascii="Times New Roman" w:hAnsi="Times New Roman" w:cs="Times New Roman"/>
                <w:szCs w:val="18"/>
              </w:rPr>
              <w:t xml:space="preserve">t and age-sex group of interest and where </w:t>
            </w:r>
            <w:r>
              <w:rPr>
                <w:rFonts w:ascii="Times New Roman" w:hAnsi="Times New Roman" w:cs="Times New Roman"/>
                <w:szCs w:val="18"/>
              </w:rPr>
              <w:t xml:space="preserve">these </w:t>
            </w:r>
            <w:r w:rsidR="009A11A1">
              <w:rPr>
                <w:rFonts w:ascii="Times New Roman" w:hAnsi="Times New Roman" w:cs="Times New Roman"/>
                <w:szCs w:val="18"/>
              </w:rPr>
              <w:t>intakes fall relative to DRIs</w:t>
            </w:r>
            <w:proofErr w:type="gramEnd"/>
            <w:r w:rsidR="009A11A1">
              <w:rPr>
                <w:rFonts w:ascii="Times New Roman" w:hAnsi="Times New Roman" w:cs="Times New Roman"/>
                <w:szCs w:val="18"/>
              </w:rPr>
              <w:t>.</w:t>
            </w:r>
          </w:p>
          <w:p w14:paraId="62C4F6FF" w14:textId="321115C0" w:rsidR="009A11A1" w:rsidRPr="002477DC" w:rsidRDefault="000B7A95" w:rsidP="004862FA">
            <w:pPr>
              <w:pStyle w:val="ListParagraph"/>
              <w:numPr>
                <w:ilvl w:val="0"/>
                <w:numId w:val="38"/>
              </w:numPr>
              <w:rPr>
                <w:rFonts w:ascii="Times New Roman" w:hAnsi="Times New Roman" w:cs="Times New Roman"/>
                <w:szCs w:val="18"/>
              </w:rPr>
            </w:pPr>
            <w:r>
              <w:rPr>
                <w:rFonts w:ascii="Times New Roman" w:hAnsi="Times New Roman" w:cs="Times New Roman"/>
                <w:szCs w:val="18"/>
              </w:rPr>
              <w:t>On a</w:t>
            </w:r>
            <w:r w:rsidR="009A11A1">
              <w:rPr>
                <w:rFonts w:ascii="Times New Roman" w:hAnsi="Times New Roman" w:cs="Times New Roman"/>
                <w:szCs w:val="18"/>
              </w:rPr>
              <w:t xml:space="preserve"> </w:t>
            </w:r>
            <w:r>
              <w:rPr>
                <w:rFonts w:ascii="Times New Roman" w:hAnsi="Times New Roman" w:cs="Times New Roman"/>
                <w:szCs w:val="18"/>
              </w:rPr>
              <w:t>m</w:t>
            </w:r>
            <w:r w:rsidR="009A11A1">
              <w:rPr>
                <w:rFonts w:ascii="Times New Roman" w:hAnsi="Times New Roman" w:cs="Times New Roman"/>
                <w:szCs w:val="18"/>
              </w:rPr>
              <w:t>ap of Canada</w:t>
            </w:r>
            <w:r>
              <w:rPr>
                <w:rFonts w:ascii="Times New Roman" w:hAnsi="Times New Roman" w:cs="Times New Roman"/>
                <w:szCs w:val="18"/>
              </w:rPr>
              <w:t>,</w:t>
            </w:r>
            <w:r w:rsidR="009A11A1">
              <w:rPr>
                <w:rFonts w:ascii="Times New Roman" w:hAnsi="Times New Roman" w:cs="Times New Roman"/>
                <w:szCs w:val="18"/>
              </w:rPr>
              <w:t xml:space="preserve"> that shows the percentage of the population in each province consuming inadequate or excessive intakes of nutrients of interest.</w:t>
            </w:r>
          </w:p>
          <w:p w14:paraId="3BB611C8" w14:textId="77777777" w:rsidR="005F4905" w:rsidRDefault="005F4905" w:rsidP="006137C0">
            <w:pPr>
              <w:rPr>
                <w:rFonts w:ascii="Times New Roman" w:hAnsi="Times New Roman" w:cs="Times New Roman"/>
                <w:szCs w:val="18"/>
              </w:rPr>
            </w:pPr>
          </w:p>
          <w:p w14:paraId="52D4F767" w14:textId="5671266E" w:rsidR="005F4905" w:rsidRPr="005F4905" w:rsidRDefault="005F4905" w:rsidP="006137C0">
            <w:pPr>
              <w:rPr>
                <w:rFonts w:ascii="Times New Roman" w:hAnsi="Times New Roman" w:cs="Times New Roman"/>
                <w:b/>
                <w:szCs w:val="18"/>
              </w:rPr>
            </w:pPr>
            <w:r>
              <w:rPr>
                <w:rFonts w:ascii="Times New Roman" w:hAnsi="Times New Roman" w:cs="Times New Roman"/>
                <w:b/>
                <w:szCs w:val="18"/>
              </w:rPr>
              <w:t>About the 2015 Canadian Community Health Survey – Nutrition (CCHS – Nutrition)</w:t>
            </w:r>
          </w:p>
          <w:p w14:paraId="6CBD49BC" w14:textId="77777777" w:rsidR="00D3397A" w:rsidRDefault="00D3397A" w:rsidP="006137C0">
            <w:pPr>
              <w:rPr>
                <w:rFonts w:ascii="Times New Roman" w:hAnsi="Times New Roman" w:cs="Times New Roman"/>
                <w:szCs w:val="18"/>
              </w:rPr>
            </w:pPr>
          </w:p>
          <w:p w14:paraId="34C2A697" w14:textId="77777777" w:rsidR="00D3397A" w:rsidRDefault="00D3397A" w:rsidP="006137C0">
            <w:pPr>
              <w:rPr>
                <w:rFonts w:ascii="Times New Roman" w:hAnsi="Times New Roman" w:cs="Times New Roman"/>
                <w:szCs w:val="18"/>
              </w:rPr>
            </w:pPr>
            <w:r w:rsidRPr="000E0197">
              <w:rPr>
                <w:rFonts w:ascii="Times New Roman" w:hAnsi="Times New Roman" w:cs="Times New Roman"/>
                <w:szCs w:val="18"/>
              </w:rPr>
              <w:lastRenderedPageBreak/>
              <w:t xml:space="preserve">The </w:t>
            </w:r>
            <w:r>
              <w:rPr>
                <w:rFonts w:ascii="Times New Roman" w:hAnsi="Times New Roman" w:cs="Times New Roman"/>
                <w:szCs w:val="18"/>
              </w:rPr>
              <w:t>2015 CCHS-Nutrition</w:t>
            </w:r>
            <w:r w:rsidRPr="000E0197">
              <w:rPr>
                <w:rFonts w:ascii="Times New Roman" w:hAnsi="Times New Roman" w:cs="Times New Roman"/>
                <w:szCs w:val="18"/>
              </w:rPr>
              <w:t xml:space="preserve"> is a nationally representative survey of the nutrition of people in Canada.  The survey provides detailed information on food consumption using a 24-</w:t>
            </w:r>
            <w:r>
              <w:rPr>
                <w:rFonts w:ascii="Times New Roman" w:hAnsi="Times New Roman" w:cs="Times New Roman"/>
                <w:szCs w:val="18"/>
              </w:rPr>
              <w:t>hour</w:t>
            </w:r>
            <w:r w:rsidRPr="000E0197">
              <w:rPr>
                <w:rFonts w:ascii="Times New Roman" w:hAnsi="Times New Roman" w:cs="Times New Roman"/>
                <w:szCs w:val="18"/>
              </w:rPr>
              <w:t xml:space="preserve"> dietary recall for the total sample and a repeat sub-sample, nutrient supplement intake, physical measurements, household food insecurity, and other topics that support the interpretation of the 24-h</w:t>
            </w:r>
            <w:r>
              <w:rPr>
                <w:rFonts w:ascii="Times New Roman" w:hAnsi="Times New Roman" w:cs="Times New Roman"/>
                <w:szCs w:val="18"/>
              </w:rPr>
              <w:t xml:space="preserve">our recall. </w:t>
            </w:r>
          </w:p>
          <w:p w14:paraId="2A7DCB18" w14:textId="77777777" w:rsidR="00D3397A" w:rsidRDefault="00D3397A" w:rsidP="006137C0">
            <w:pPr>
              <w:rPr>
                <w:rFonts w:ascii="Times New Roman" w:hAnsi="Times New Roman" w:cs="Times New Roman"/>
                <w:szCs w:val="18"/>
              </w:rPr>
            </w:pPr>
          </w:p>
          <w:p w14:paraId="129DF268" w14:textId="16ECF60B" w:rsidR="005F4905" w:rsidRPr="005F4905" w:rsidRDefault="005F4905" w:rsidP="006137C0">
            <w:pPr>
              <w:rPr>
                <w:rFonts w:ascii="Times New Roman" w:hAnsi="Times New Roman" w:cs="Times New Roman"/>
                <w:b/>
                <w:szCs w:val="18"/>
              </w:rPr>
            </w:pPr>
            <w:r>
              <w:rPr>
                <w:rFonts w:ascii="Times New Roman" w:hAnsi="Times New Roman" w:cs="Times New Roman"/>
                <w:b/>
                <w:szCs w:val="18"/>
              </w:rPr>
              <w:t xml:space="preserve">Information to support the interpretation of the </w:t>
            </w:r>
            <w:r w:rsidR="002477DC">
              <w:rPr>
                <w:rFonts w:ascii="Times New Roman" w:hAnsi="Times New Roman" w:cs="Times New Roman"/>
                <w:b/>
                <w:szCs w:val="18"/>
              </w:rPr>
              <w:t>data</w:t>
            </w:r>
          </w:p>
          <w:p w14:paraId="5069295E" w14:textId="77777777" w:rsidR="005F4905" w:rsidRDefault="005F4905" w:rsidP="006137C0">
            <w:pPr>
              <w:rPr>
                <w:rFonts w:ascii="Times New Roman" w:hAnsi="Times New Roman" w:cs="Times New Roman"/>
                <w:szCs w:val="18"/>
              </w:rPr>
            </w:pPr>
          </w:p>
          <w:p w14:paraId="653E6C46" w14:textId="77777777" w:rsidR="002477DC" w:rsidRDefault="002477DC" w:rsidP="006137C0">
            <w:pPr>
              <w:rPr>
                <w:rFonts w:ascii="Times New Roman" w:hAnsi="Times New Roman" w:cs="Times New Roman"/>
                <w:szCs w:val="18"/>
              </w:rPr>
            </w:pPr>
            <w:r>
              <w:rPr>
                <w:rFonts w:ascii="Times New Roman" w:hAnsi="Times New Roman" w:cs="Times New Roman"/>
                <w:szCs w:val="18"/>
              </w:rPr>
              <w:t>W</w:t>
            </w:r>
            <w:r w:rsidR="00D3397A">
              <w:rPr>
                <w:rFonts w:ascii="Times New Roman" w:hAnsi="Times New Roman" w:cs="Times New Roman"/>
                <w:szCs w:val="18"/>
              </w:rPr>
              <w:t>e encourage users to read the</w:t>
            </w:r>
            <w:r w:rsidR="00D3397A" w:rsidRPr="00D3397A">
              <w:rPr>
                <w:rFonts w:ascii="Times New Roman" w:hAnsi="Times New Roman" w:cs="Times New Roman"/>
                <w:szCs w:val="18"/>
              </w:rPr>
              <w:t xml:space="preserve"> </w:t>
            </w:r>
            <w:r>
              <w:rPr>
                <w:rFonts w:ascii="Times New Roman" w:hAnsi="Times New Roman" w:cs="Times New Roman"/>
                <w:szCs w:val="18"/>
              </w:rPr>
              <w:t xml:space="preserve">following </w:t>
            </w:r>
            <w:r w:rsidR="00D3397A">
              <w:rPr>
                <w:rFonts w:ascii="Times New Roman" w:hAnsi="Times New Roman" w:cs="Times New Roman"/>
                <w:szCs w:val="18"/>
              </w:rPr>
              <w:t xml:space="preserve">Health Canada </w:t>
            </w:r>
            <w:r w:rsidR="00D3397A" w:rsidRPr="00CA2B3F">
              <w:rPr>
                <w:rFonts w:ascii="Times New Roman" w:hAnsi="Times New Roman" w:cs="Times New Roman"/>
                <w:szCs w:val="18"/>
              </w:rPr>
              <w:t>publication</w:t>
            </w:r>
            <w:r w:rsidR="00D3397A">
              <w:rPr>
                <w:rFonts w:ascii="Times New Roman" w:hAnsi="Times New Roman" w:cs="Times New Roman"/>
                <w:szCs w:val="18"/>
              </w:rPr>
              <w:t>s</w:t>
            </w:r>
            <w:r>
              <w:rPr>
                <w:rFonts w:ascii="Times New Roman" w:hAnsi="Times New Roman" w:cs="Times New Roman"/>
                <w:szCs w:val="18"/>
              </w:rPr>
              <w:t>:</w:t>
            </w:r>
            <w:r w:rsidR="00D3397A" w:rsidRPr="00CA2B3F">
              <w:rPr>
                <w:rFonts w:ascii="Times New Roman" w:hAnsi="Times New Roman" w:cs="Times New Roman"/>
                <w:szCs w:val="18"/>
              </w:rPr>
              <w:t> </w:t>
            </w:r>
          </w:p>
          <w:p w14:paraId="114A4922" w14:textId="77777777" w:rsidR="002477DC" w:rsidRDefault="006137C0" w:rsidP="002477DC">
            <w:pPr>
              <w:pStyle w:val="ListParagraph"/>
              <w:numPr>
                <w:ilvl w:val="0"/>
                <w:numId w:val="37"/>
              </w:numPr>
              <w:rPr>
                <w:rFonts w:ascii="Times New Roman" w:hAnsi="Times New Roman" w:cs="Times New Roman"/>
                <w:szCs w:val="18"/>
              </w:rPr>
            </w:pPr>
            <w:hyperlink r:id="rId18" w:history="1">
              <w:r w:rsidR="00D3397A" w:rsidRPr="002477DC">
                <w:rPr>
                  <w:rStyle w:val="Hyperlink"/>
                  <w:rFonts w:ascii="Times New Roman" w:hAnsi="Times New Roman" w:cs="Times New Roman"/>
                  <w:szCs w:val="18"/>
                </w:rPr>
                <w:t>Reference Guide to Understanding and Using the Data - 2015 Canadian Community Health Survey – Nutrition</w:t>
              </w:r>
            </w:hyperlink>
          </w:p>
          <w:p w14:paraId="79CC465A" w14:textId="77777777" w:rsidR="002477DC" w:rsidRDefault="002477DC" w:rsidP="002477DC">
            <w:pPr>
              <w:pStyle w:val="ListParagraph"/>
              <w:rPr>
                <w:rFonts w:ascii="Times New Roman" w:hAnsi="Times New Roman" w:cs="Times New Roman"/>
                <w:szCs w:val="18"/>
              </w:rPr>
            </w:pPr>
          </w:p>
          <w:p w14:paraId="36E52233" w14:textId="69E4638F" w:rsidR="00D3397A" w:rsidRPr="002477DC" w:rsidRDefault="006137C0" w:rsidP="002477DC">
            <w:pPr>
              <w:pStyle w:val="ListParagraph"/>
              <w:numPr>
                <w:ilvl w:val="0"/>
                <w:numId w:val="37"/>
              </w:numPr>
              <w:rPr>
                <w:rFonts w:ascii="Times New Roman" w:hAnsi="Times New Roman" w:cs="Times New Roman"/>
                <w:szCs w:val="18"/>
              </w:rPr>
            </w:pPr>
            <w:hyperlink r:id="rId19" w:history="1">
              <w:r w:rsidR="00D3397A" w:rsidRPr="002477DC">
                <w:rPr>
                  <w:rStyle w:val="Hyperlink"/>
                  <w:rFonts w:ascii="Times New Roman" w:hAnsi="Times New Roman" w:cs="Times New Roman"/>
                  <w:szCs w:val="18"/>
                </w:rPr>
                <w:t>Methodology document: Usual intakes from food for energy, nutrients and other dietary components (2004 and 2015 Canadian Community Health Survey - Nutrition)</w:t>
              </w:r>
            </w:hyperlink>
            <w:r w:rsidR="00D3397A" w:rsidRPr="002477DC">
              <w:rPr>
                <w:rFonts w:ascii="Times New Roman" w:hAnsi="Times New Roman" w:cs="Times New Roman"/>
                <w:szCs w:val="18"/>
              </w:rPr>
              <w:t>.</w:t>
            </w:r>
          </w:p>
          <w:p w14:paraId="0F5DC723" w14:textId="77777777" w:rsidR="00D3397A" w:rsidRDefault="00D3397A" w:rsidP="006137C0">
            <w:pPr>
              <w:rPr>
                <w:rFonts w:ascii="Times New Roman" w:hAnsi="Times New Roman" w:cs="Times New Roman"/>
                <w:szCs w:val="18"/>
              </w:rPr>
            </w:pPr>
          </w:p>
          <w:p w14:paraId="1BAD3D91" w14:textId="77777777" w:rsidR="00D3397A" w:rsidRPr="000E0197" w:rsidRDefault="00D3397A" w:rsidP="006137C0">
            <w:pPr>
              <w:rPr>
                <w:rFonts w:ascii="Times New Roman" w:hAnsi="Times New Roman" w:cs="Times New Roman"/>
                <w:szCs w:val="18"/>
              </w:rPr>
            </w:pPr>
            <w:r>
              <w:rPr>
                <w:rFonts w:ascii="Times New Roman" w:hAnsi="Times New Roman" w:cs="Times New Roman"/>
                <w:szCs w:val="18"/>
              </w:rPr>
              <w:t>The following notes apply to the graphs and tables presented in this Data Tool.</w:t>
            </w:r>
          </w:p>
          <w:p w14:paraId="601FB1D3" w14:textId="77777777" w:rsidR="00D3397A" w:rsidRDefault="00D3397A" w:rsidP="006137C0">
            <w:pPr>
              <w:pStyle w:val="ListParagraph"/>
              <w:ind w:left="314"/>
              <w:rPr>
                <w:rFonts w:ascii="Times New Roman" w:hAnsi="Times New Roman" w:cs="Times New Roman"/>
                <w:szCs w:val="18"/>
              </w:rPr>
            </w:pPr>
          </w:p>
          <w:p w14:paraId="3AF5D6CD" w14:textId="77777777" w:rsidR="00D3397A" w:rsidRPr="00CA2B3F" w:rsidRDefault="00D3397A" w:rsidP="006137C0">
            <w:pPr>
              <w:pStyle w:val="ListParagraph"/>
              <w:numPr>
                <w:ilvl w:val="1"/>
                <w:numId w:val="26"/>
              </w:numPr>
              <w:ind w:left="314" w:hanging="425"/>
              <w:rPr>
                <w:rFonts w:ascii="Times New Roman" w:hAnsi="Times New Roman" w:cs="Times New Roman"/>
                <w:szCs w:val="18"/>
              </w:rPr>
            </w:pPr>
            <w:r w:rsidRPr="00CA2B3F">
              <w:rPr>
                <w:rFonts w:ascii="Times New Roman" w:hAnsi="Times New Roman" w:cs="Times New Roman"/>
                <w:szCs w:val="18"/>
              </w:rPr>
              <w:t>The survey excludes those living in the three territories, individuals living on reserves, residents of institutions, full‐time members of the Canadian Armed Forces and residents of certain remote regions.</w:t>
            </w:r>
          </w:p>
          <w:p w14:paraId="043E4693" w14:textId="77777777" w:rsidR="00D3397A" w:rsidRPr="00CA2B3F" w:rsidRDefault="00D3397A" w:rsidP="006137C0">
            <w:pPr>
              <w:pStyle w:val="ListParagraph"/>
              <w:numPr>
                <w:ilvl w:val="1"/>
                <w:numId w:val="26"/>
              </w:numPr>
              <w:ind w:left="314" w:hanging="425"/>
              <w:rPr>
                <w:rFonts w:ascii="Times New Roman" w:hAnsi="Times New Roman" w:cs="Times New Roman"/>
                <w:szCs w:val="18"/>
              </w:rPr>
            </w:pPr>
            <w:r w:rsidRPr="00CA2B3F">
              <w:rPr>
                <w:rFonts w:ascii="Times New Roman" w:hAnsi="Times New Roman" w:cs="Times New Roman"/>
                <w:szCs w:val="18"/>
              </w:rPr>
              <w:t>The table excludes pregnant and breastfeeding females, subject to another set of nutritional recommendations. The sample of pregnant and breastfeeding females is not large enough to allow for reliable estimates at the provincial level.</w:t>
            </w:r>
          </w:p>
          <w:p w14:paraId="64262F8B" w14:textId="77777777" w:rsidR="00D3397A" w:rsidRPr="00CA2B3F" w:rsidRDefault="00D3397A" w:rsidP="006137C0">
            <w:pPr>
              <w:pStyle w:val="ListParagraph"/>
              <w:numPr>
                <w:ilvl w:val="1"/>
                <w:numId w:val="26"/>
              </w:numPr>
              <w:ind w:left="314" w:hanging="425"/>
              <w:rPr>
                <w:rFonts w:ascii="Times New Roman" w:hAnsi="Times New Roman" w:cs="Times New Roman"/>
                <w:szCs w:val="18"/>
              </w:rPr>
            </w:pPr>
            <w:r w:rsidRPr="00CA2B3F">
              <w:rPr>
                <w:rFonts w:ascii="Times New Roman" w:hAnsi="Times New Roman" w:cs="Times New Roman"/>
                <w:szCs w:val="18"/>
              </w:rPr>
              <w:t>Sample size is based on the first 24‐hour dietary recall (first day of interview) only. </w:t>
            </w:r>
          </w:p>
          <w:p w14:paraId="27FAE5E7" w14:textId="77777777" w:rsidR="00D3397A" w:rsidRPr="00CA2B3F" w:rsidRDefault="00D3397A" w:rsidP="006137C0">
            <w:pPr>
              <w:pStyle w:val="ListParagraph"/>
              <w:numPr>
                <w:ilvl w:val="1"/>
                <w:numId w:val="26"/>
              </w:numPr>
              <w:ind w:left="314" w:hanging="425"/>
              <w:rPr>
                <w:rFonts w:ascii="Times New Roman" w:hAnsi="Times New Roman" w:cs="Times New Roman"/>
                <w:szCs w:val="18"/>
              </w:rPr>
            </w:pPr>
            <w:r w:rsidRPr="00CA2B3F">
              <w:rPr>
                <w:rFonts w:ascii="Times New Roman" w:hAnsi="Times New Roman" w:cs="Times New Roman"/>
                <w:szCs w:val="18"/>
              </w:rPr>
              <w:t xml:space="preserve">Intakes are based on food consumption only. Intakes from vitamin and mineral supplements are not included. Inferences about the prevalence of nutrient excess or inadequacy based on intakes from food alone may respectively underestimate or overestimate the </w:t>
            </w:r>
            <w:r w:rsidRPr="00CA2B3F">
              <w:rPr>
                <w:rFonts w:ascii="Times New Roman" w:hAnsi="Times New Roman" w:cs="Times New Roman"/>
                <w:szCs w:val="18"/>
              </w:rPr>
              <w:lastRenderedPageBreak/>
              <w:t>prevalence based on total nutrient intakes from both food and supplements.</w:t>
            </w:r>
          </w:p>
          <w:p w14:paraId="5F5292CD" w14:textId="77777777" w:rsidR="00D3397A" w:rsidRPr="00CA2B3F" w:rsidRDefault="00D3397A" w:rsidP="006137C0">
            <w:pPr>
              <w:pStyle w:val="ListParagraph"/>
              <w:numPr>
                <w:ilvl w:val="1"/>
                <w:numId w:val="26"/>
              </w:numPr>
              <w:ind w:left="314" w:hanging="425"/>
              <w:rPr>
                <w:rFonts w:ascii="Times New Roman" w:hAnsi="Times New Roman" w:cs="Times New Roman"/>
                <w:szCs w:val="18"/>
              </w:rPr>
            </w:pPr>
            <w:r w:rsidRPr="00CA2B3F">
              <w:rPr>
                <w:rFonts w:ascii="Times New Roman" w:hAnsi="Times New Roman" w:cs="Times New Roman"/>
                <w:szCs w:val="18"/>
              </w:rPr>
              <w:t xml:space="preserve">The intake distribution (percentiles and percentage above or below a cut‐off when applicable) was adjusted using the National Cancer Institute (NCI) Method as described in </w:t>
            </w:r>
            <w:r w:rsidRPr="00420436">
              <w:rPr>
                <w:rFonts w:ascii="Times New Roman" w:hAnsi="Times New Roman" w:cs="Times New Roman"/>
                <w:szCs w:val="18"/>
              </w:rPr>
              <w:t xml:space="preserve">the </w:t>
            </w:r>
            <w:hyperlink r:id="rId20" w:history="1">
              <w:r w:rsidRPr="00A833D4">
                <w:rPr>
                  <w:rStyle w:val="Hyperlink"/>
                  <w:rFonts w:ascii="Times New Roman" w:hAnsi="Times New Roman" w:cs="Times New Roman"/>
                  <w:szCs w:val="18"/>
                </w:rPr>
                <w:t>Methodology Guide</w:t>
              </w:r>
            </w:hyperlink>
            <w:r>
              <w:rPr>
                <w:rFonts w:ascii="Times New Roman" w:hAnsi="Times New Roman" w:cs="Times New Roman"/>
                <w:szCs w:val="18"/>
              </w:rPr>
              <w:t>.</w:t>
            </w:r>
          </w:p>
          <w:p w14:paraId="7DD6B20A" w14:textId="77777777" w:rsidR="00D3397A" w:rsidRPr="00CA2B3F" w:rsidRDefault="00D3397A" w:rsidP="006137C0">
            <w:pPr>
              <w:pStyle w:val="ListParagraph"/>
              <w:numPr>
                <w:ilvl w:val="1"/>
                <w:numId w:val="26"/>
              </w:numPr>
              <w:ind w:left="314" w:hanging="425"/>
              <w:rPr>
                <w:rFonts w:ascii="Times New Roman" w:hAnsi="Times New Roman" w:cs="Times New Roman"/>
                <w:szCs w:val="18"/>
              </w:rPr>
            </w:pPr>
            <w:r w:rsidRPr="00CA2B3F">
              <w:rPr>
                <w:rFonts w:ascii="Times New Roman" w:hAnsi="Times New Roman" w:cs="Times New Roman"/>
                <w:szCs w:val="18"/>
              </w:rPr>
              <w:t>Bootstrapping techniques were used to produce the coefficient of variati</w:t>
            </w:r>
            <w:r>
              <w:rPr>
                <w:rFonts w:ascii="Times New Roman" w:hAnsi="Times New Roman" w:cs="Times New Roman"/>
                <w:szCs w:val="18"/>
              </w:rPr>
              <w:t xml:space="preserve">on </w:t>
            </w:r>
            <w:r w:rsidRPr="00CA2B3F">
              <w:rPr>
                <w:rFonts w:ascii="Times New Roman" w:hAnsi="Times New Roman" w:cs="Times New Roman"/>
                <w:szCs w:val="18"/>
              </w:rPr>
              <w:t>and the standard error (SE).</w:t>
            </w:r>
          </w:p>
          <w:p w14:paraId="3079153B" w14:textId="77777777" w:rsidR="00D3397A" w:rsidRPr="00CA2B3F" w:rsidRDefault="00D3397A" w:rsidP="006137C0">
            <w:pPr>
              <w:pStyle w:val="ListParagraph"/>
              <w:numPr>
                <w:ilvl w:val="1"/>
                <w:numId w:val="26"/>
              </w:numPr>
              <w:ind w:left="314" w:hanging="425"/>
              <w:rPr>
                <w:rFonts w:ascii="Times New Roman" w:hAnsi="Times New Roman" w:cs="Times New Roman"/>
                <w:szCs w:val="18"/>
              </w:rPr>
            </w:pPr>
            <w:r w:rsidRPr="00CA2B3F">
              <w:rPr>
                <w:rFonts w:ascii="Times New Roman" w:hAnsi="Times New Roman" w:cs="Times New Roman"/>
                <w:szCs w:val="18"/>
              </w:rPr>
              <w:t>AMDR is the Acceptable Macronutrient Distribution Range, expressed as a percentage of total energy intake. Intakes inside the range (shown in the AMDR columns) are associated with a reduced risk of chronic disease while providing adequate intakes of essential nutrients. For further information on AMDR in assessing population groups, see the Health Canada publication </w:t>
            </w:r>
            <w:hyperlink r:id="rId21" w:history="1">
              <w:r w:rsidRPr="00CA2B3F">
                <w:rPr>
                  <w:rStyle w:val="Hyperlink"/>
                  <w:rFonts w:ascii="Times New Roman" w:hAnsi="Times New Roman" w:cs="Times New Roman"/>
                  <w:szCs w:val="18"/>
                </w:rPr>
                <w:t>Reference Guide to Understanding and Using the Data - 2015 Canadian Community Health Survey- Nutrition</w:t>
              </w:r>
            </w:hyperlink>
            <w:r w:rsidRPr="00CA2B3F">
              <w:rPr>
                <w:rFonts w:ascii="Times New Roman" w:hAnsi="Times New Roman" w:cs="Times New Roman"/>
                <w:szCs w:val="18"/>
              </w:rPr>
              <w:t>, Section 2.2.6 page 28.</w:t>
            </w:r>
          </w:p>
          <w:p w14:paraId="30304BFB" w14:textId="77777777" w:rsidR="00D3397A" w:rsidRPr="00CA2B3F" w:rsidRDefault="00D3397A" w:rsidP="006137C0">
            <w:pPr>
              <w:pStyle w:val="ListParagraph"/>
              <w:numPr>
                <w:ilvl w:val="1"/>
                <w:numId w:val="26"/>
              </w:numPr>
              <w:ind w:left="314" w:hanging="425"/>
              <w:rPr>
                <w:rFonts w:ascii="Times New Roman" w:hAnsi="Times New Roman" w:cs="Times New Roman"/>
                <w:szCs w:val="18"/>
              </w:rPr>
            </w:pPr>
            <w:r w:rsidRPr="00CA2B3F">
              <w:rPr>
                <w:rFonts w:ascii="Times New Roman" w:hAnsi="Times New Roman" w:cs="Times New Roman"/>
                <w:szCs w:val="18"/>
              </w:rPr>
              <w:t>EAR is the Estimated Average Requirement. In the context of reporting results in a population-based survey such as the 2004 and 2015 CCHS-Nutrition, the primary use of the EAR is to estimate the prevalence of inadequacy of some nutrients in a group. For further information on EAR and how to interpret the prevalence of inadequacy in a population see the Health Canada publication </w:t>
            </w:r>
            <w:hyperlink r:id="rId22" w:history="1">
              <w:r w:rsidRPr="00CA2B3F">
                <w:rPr>
                  <w:rStyle w:val="Hyperlink"/>
                  <w:rFonts w:ascii="Times New Roman" w:hAnsi="Times New Roman" w:cs="Times New Roman"/>
                  <w:szCs w:val="18"/>
                </w:rPr>
                <w:t>Reference Guide to Understanding and Using the Data - 2015 Canadian Community Health Survey – Nutrition</w:t>
              </w:r>
            </w:hyperlink>
            <w:r>
              <w:rPr>
                <w:rFonts w:ascii="Times New Roman" w:hAnsi="Times New Roman" w:cs="Times New Roman"/>
                <w:szCs w:val="18"/>
              </w:rPr>
              <w:t>, Section 2.2.</w:t>
            </w:r>
            <w:r w:rsidRPr="00CA2B3F">
              <w:rPr>
                <w:rFonts w:ascii="Times New Roman" w:hAnsi="Times New Roman" w:cs="Times New Roman"/>
                <w:szCs w:val="18"/>
              </w:rPr>
              <w:t>2, page 24.</w:t>
            </w:r>
          </w:p>
          <w:p w14:paraId="47DFA3F7" w14:textId="77777777" w:rsidR="00D3397A" w:rsidRPr="00CA2B3F" w:rsidRDefault="00D3397A" w:rsidP="006137C0">
            <w:pPr>
              <w:pStyle w:val="ListParagraph"/>
              <w:numPr>
                <w:ilvl w:val="1"/>
                <w:numId w:val="26"/>
              </w:numPr>
              <w:ind w:left="314" w:hanging="425"/>
              <w:rPr>
                <w:rFonts w:ascii="Times New Roman" w:hAnsi="Times New Roman" w:cs="Times New Roman"/>
                <w:szCs w:val="18"/>
              </w:rPr>
            </w:pPr>
            <w:r w:rsidRPr="00CA2B3F">
              <w:rPr>
                <w:rFonts w:ascii="Times New Roman" w:hAnsi="Times New Roman" w:cs="Times New Roman"/>
                <w:szCs w:val="18"/>
              </w:rPr>
              <w:t>AI is the Adequate Intake. The level of intake at the AI (shown in the AI columns) is the recommended average daily intake level based on observed or experimentally determined approximations or estimates of nutrient intake by a group or groups of apparently healthy people that are assumed to be adequate. It is developed when an EAR cannot be determined. The percentage of the population having a usual intake above the AI (shown in the %</w:t>
            </w:r>
            <w:proofErr w:type="gramStart"/>
            <w:r w:rsidRPr="00CA2B3F">
              <w:rPr>
                <w:rFonts w:ascii="Times New Roman" w:hAnsi="Times New Roman" w:cs="Times New Roman"/>
                <w:szCs w:val="18"/>
              </w:rPr>
              <w:t>&gt;AI</w:t>
            </w:r>
            <w:proofErr w:type="gramEnd"/>
            <w:r w:rsidRPr="00CA2B3F">
              <w:rPr>
                <w:rFonts w:ascii="Times New Roman" w:hAnsi="Times New Roman" w:cs="Times New Roman"/>
                <w:szCs w:val="18"/>
              </w:rPr>
              <w:t xml:space="preserve"> columns) almost certainly meets their needs. The adequacy of intakes below the AI cannot be assessed, and should not be interpreted as being inadequate. For further information on </w:t>
            </w:r>
            <w:proofErr w:type="gramStart"/>
            <w:r w:rsidRPr="00CA2B3F">
              <w:rPr>
                <w:rFonts w:ascii="Times New Roman" w:hAnsi="Times New Roman" w:cs="Times New Roman"/>
                <w:szCs w:val="18"/>
              </w:rPr>
              <w:t>AI and how to interpret the prevalence of inadequacy in a population,</w:t>
            </w:r>
            <w:proofErr w:type="gramEnd"/>
            <w:r w:rsidRPr="00CA2B3F">
              <w:rPr>
                <w:rFonts w:ascii="Times New Roman" w:hAnsi="Times New Roman" w:cs="Times New Roman"/>
                <w:szCs w:val="18"/>
              </w:rPr>
              <w:t xml:space="preserve"> see the Health Canada publication </w:t>
            </w:r>
            <w:hyperlink r:id="rId23" w:history="1">
              <w:r w:rsidRPr="00CA2B3F">
                <w:rPr>
                  <w:rStyle w:val="Hyperlink"/>
                  <w:rFonts w:ascii="Times New Roman" w:hAnsi="Times New Roman" w:cs="Times New Roman"/>
                  <w:szCs w:val="18"/>
                </w:rPr>
                <w:t xml:space="preserve">Reference Guide to Understanding </w:t>
              </w:r>
              <w:r w:rsidRPr="00CA2B3F">
                <w:rPr>
                  <w:rStyle w:val="Hyperlink"/>
                  <w:rFonts w:ascii="Times New Roman" w:hAnsi="Times New Roman" w:cs="Times New Roman"/>
                  <w:szCs w:val="18"/>
                </w:rPr>
                <w:lastRenderedPageBreak/>
                <w:t>and Using the Data - 2015 Canadian Community Health Survey – Nutrition</w:t>
              </w:r>
            </w:hyperlink>
            <w:r w:rsidRPr="00CA2B3F">
              <w:rPr>
                <w:rFonts w:ascii="Times New Roman" w:hAnsi="Times New Roman" w:cs="Times New Roman"/>
                <w:szCs w:val="18"/>
              </w:rPr>
              <w:t>, Section 2.2.4, pages 25-26.</w:t>
            </w:r>
          </w:p>
          <w:p w14:paraId="69A21504" w14:textId="77777777" w:rsidR="00D3397A" w:rsidRPr="00CA2B3F" w:rsidRDefault="00D3397A" w:rsidP="006137C0">
            <w:pPr>
              <w:pStyle w:val="ListParagraph"/>
              <w:numPr>
                <w:ilvl w:val="1"/>
                <w:numId w:val="26"/>
              </w:numPr>
              <w:ind w:left="314" w:hanging="425"/>
              <w:rPr>
                <w:rFonts w:ascii="Times New Roman" w:hAnsi="Times New Roman" w:cs="Times New Roman"/>
                <w:szCs w:val="18"/>
              </w:rPr>
            </w:pPr>
            <w:r w:rsidRPr="00CA2B3F">
              <w:rPr>
                <w:rFonts w:ascii="Times New Roman" w:hAnsi="Times New Roman" w:cs="Times New Roman"/>
                <w:szCs w:val="18"/>
              </w:rPr>
              <w:t xml:space="preserve">UL is the Tolerable Upper Intake Level. The level of intake at the UL (shown in the UL columns) is the highest average daily intake level that is likely to pose no risk of adverse health effects to almost all individuals in the general population. For further information on UL and how to interpret the prevalence of intakes above the UL in a population, see the Health Canada publication </w:t>
            </w:r>
            <w:hyperlink r:id="rId24" w:history="1">
              <w:r w:rsidRPr="00CA2B3F">
                <w:rPr>
                  <w:rStyle w:val="Hyperlink"/>
                  <w:rFonts w:ascii="Times New Roman" w:hAnsi="Times New Roman" w:cs="Times New Roman"/>
                  <w:szCs w:val="18"/>
                </w:rPr>
                <w:t>Reference Guide to Understanding and Using the Data - 2015 Canadian Community Health Survey – Nutrition</w:t>
              </w:r>
            </w:hyperlink>
            <w:r w:rsidRPr="00CA2B3F">
              <w:rPr>
                <w:rFonts w:ascii="Times New Roman" w:hAnsi="Times New Roman" w:cs="Times New Roman"/>
                <w:szCs w:val="18"/>
              </w:rPr>
              <w:t xml:space="preserve">, Section 2.2.5, page 28. In 2017, the Guiding Principles for Developing Dietary Reference Intakes Based on Chronic Disease recommended that the UL be retained in the expanded </w:t>
            </w:r>
            <w:r>
              <w:rPr>
                <w:rFonts w:ascii="Times New Roman" w:hAnsi="Times New Roman" w:cs="Times New Roman"/>
                <w:szCs w:val="18"/>
              </w:rPr>
              <w:t>Dietary Reference Intake (</w:t>
            </w:r>
            <w:r w:rsidRPr="00CA2B3F">
              <w:rPr>
                <w:rFonts w:ascii="Times New Roman" w:hAnsi="Times New Roman" w:cs="Times New Roman"/>
                <w:szCs w:val="18"/>
              </w:rPr>
              <w:t>DRI</w:t>
            </w:r>
            <w:r>
              <w:rPr>
                <w:rFonts w:ascii="Times New Roman" w:hAnsi="Times New Roman" w:cs="Times New Roman"/>
                <w:szCs w:val="18"/>
              </w:rPr>
              <w:t>)</w:t>
            </w:r>
            <w:r w:rsidRPr="00CA2B3F">
              <w:rPr>
                <w:rFonts w:ascii="Times New Roman" w:hAnsi="Times New Roman" w:cs="Times New Roman"/>
                <w:szCs w:val="18"/>
              </w:rPr>
              <w:t xml:space="preserve"> model, but that it should characterize toxicological risk.</w:t>
            </w:r>
          </w:p>
          <w:p w14:paraId="0A0D35F0" w14:textId="77777777" w:rsidR="00D3397A" w:rsidRPr="00CA2B3F" w:rsidRDefault="00D3397A" w:rsidP="006137C0">
            <w:pPr>
              <w:pStyle w:val="ListParagraph"/>
              <w:numPr>
                <w:ilvl w:val="1"/>
                <w:numId w:val="26"/>
              </w:numPr>
              <w:ind w:left="314" w:hanging="425"/>
              <w:rPr>
                <w:rFonts w:ascii="Times New Roman" w:hAnsi="Times New Roman" w:cs="Times New Roman"/>
                <w:szCs w:val="18"/>
              </w:rPr>
            </w:pPr>
            <w:r w:rsidRPr="00CA2B3F">
              <w:rPr>
                <w:rFonts w:ascii="Times New Roman" w:hAnsi="Times New Roman" w:cs="Times New Roman"/>
                <w:szCs w:val="18"/>
              </w:rPr>
              <w:t xml:space="preserve">The Chronic Disease Risk Reduction Intake (CDRR) is the lowest level of intake for which there is sufficient strength of evidence to characterize a chronic disease risk reduction. </w:t>
            </w:r>
            <w:proofErr w:type="gramStart"/>
            <w:r w:rsidRPr="00CA2B3F">
              <w:rPr>
                <w:rFonts w:ascii="Times New Roman" w:hAnsi="Times New Roman" w:cs="Times New Roman"/>
                <w:szCs w:val="18"/>
              </w:rPr>
              <w:t>For more detailed understanding of the CCDR and its interpretation when assessing intakes of particular nutrients,</w:t>
            </w:r>
            <w:proofErr w:type="gramEnd"/>
            <w:r w:rsidRPr="00CA2B3F">
              <w:rPr>
                <w:rFonts w:ascii="Times New Roman" w:hAnsi="Times New Roman" w:cs="Times New Roman"/>
                <w:szCs w:val="18"/>
              </w:rPr>
              <w:t> consult the 2017 National Academies report, </w:t>
            </w:r>
            <w:hyperlink r:id="rId25" w:history="1">
              <w:r w:rsidRPr="00CA2B3F">
                <w:rPr>
                  <w:rStyle w:val="Hyperlink"/>
                  <w:rFonts w:ascii="Times New Roman" w:hAnsi="Times New Roman" w:cs="Times New Roman"/>
                  <w:szCs w:val="18"/>
                </w:rPr>
                <w:t>Guiding Principles for Developing Dietary Reference Intakes Based on Chronic Disease</w:t>
              </w:r>
            </w:hyperlink>
            <w:r w:rsidRPr="00CA2B3F">
              <w:rPr>
                <w:rFonts w:ascii="Times New Roman" w:hAnsi="Times New Roman" w:cs="Times New Roman"/>
                <w:szCs w:val="18"/>
              </w:rPr>
              <w:t>.</w:t>
            </w:r>
          </w:p>
          <w:p w14:paraId="37DAF8DA" w14:textId="77777777" w:rsidR="00D3397A" w:rsidRPr="00CA2B3F" w:rsidRDefault="00D3397A" w:rsidP="006137C0">
            <w:pPr>
              <w:pStyle w:val="ListParagraph"/>
              <w:numPr>
                <w:ilvl w:val="1"/>
                <w:numId w:val="26"/>
              </w:numPr>
              <w:ind w:left="314" w:hanging="425"/>
              <w:rPr>
                <w:rFonts w:ascii="Times New Roman" w:hAnsi="Times New Roman" w:cs="Times New Roman"/>
                <w:szCs w:val="18"/>
              </w:rPr>
            </w:pPr>
            <w:r w:rsidRPr="00CA2B3F">
              <w:rPr>
                <w:rFonts w:ascii="Times New Roman" w:hAnsi="Times New Roman" w:cs="Times New Roman"/>
                <w:szCs w:val="18"/>
              </w:rPr>
              <w:t>For a more detailed understanding of DRIs and their interpretation when assessing intakes of particular nutrients, consult the summary of the series of publications on DRIs published by the Institute of Medicine: </w:t>
            </w:r>
            <w:hyperlink r:id="rId26" w:history="1">
              <w:r w:rsidRPr="00CA2B3F">
                <w:rPr>
                  <w:rStyle w:val="Hyperlink"/>
                  <w:rFonts w:ascii="Times New Roman" w:hAnsi="Times New Roman" w:cs="Times New Roman"/>
                  <w:szCs w:val="18"/>
                </w:rPr>
                <w:t>Dietary Reference Intakes: The Essential Guide to Nutrient Requirements</w:t>
              </w:r>
            </w:hyperlink>
            <w:r w:rsidRPr="00CA2B3F">
              <w:rPr>
                <w:rFonts w:ascii="Times New Roman" w:hAnsi="Times New Roman" w:cs="Times New Roman"/>
                <w:szCs w:val="18"/>
              </w:rPr>
              <w:t>, (2006).</w:t>
            </w:r>
          </w:p>
          <w:p w14:paraId="668993AB" w14:textId="77777777" w:rsidR="00D3397A" w:rsidRPr="00CA2B3F" w:rsidRDefault="00D3397A" w:rsidP="006137C0">
            <w:pPr>
              <w:pStyle w:val="ListParagraph"/>
              <w:numPr>
                <w:ilvl w:val="1"/>
                <w:numId w:val="26"/>
              </w:numPr>
              <w:ind w:left="314" w:hanging="425"/>
              <w:rPr>
                <w:rFonts w:ascii="Times New Roman" w:hAnsi="Times New Roman" w:cs="Times New Roman"/>
                <w:szCs w:val="18"/>
              </w:rPr>
            </w:pPr>
            <w:proofErr w:type="gramStart"/>
            <w:r w:rsidRPr="00CA2B3F">
              <w:rPr>
                <w:rFonts w:ascii="Times New Roman" w:hAnsi="Times New Roman" w:cs="Times New Roman"/>
                <w:szCs w:val="18"/>
              </w:rPr>
              <w:t>For more detailed understanding of DRIs and their interpretation when assessing intakes of sodium and potassium,</w:t>
            </w:r>
            <w:proofErr w:type="gramEnd"/>
            <w:r w:rsidRPr="00CA2B3F">
              <w:rPr>
                <w:rFonts w:ascii="Times New Roman" w:hAnsi="Times New Roman" w:cs="Times New Roman"/>
                <w:szCs w:val="18"/>
              </w:rPr>
              <w:t xml:space="preserve"> consult the </w:t>
            </w:r>
            <w:hyperlink r:id="rId27" w:history="1">
              <w:r w:rsidRPr="00CA2B3F">
                <w:rPr>
                  <w:rStyle w:val="Hyperlink"/>
                  <w:rFonts w:ascii="Times New Roman" w:hAnsi="Times New Roman" w:cs="Times New Roman"/>
                  <w:szCs w:val="18"/>
                </w:rPr>
                <w:t>Dietary Reference Intakes for Sodium and Potassium</w:t>
              </w:r>
            </w:hyperlink>
            <w:r w:rsidRPr="00CA2B3F">
              <w:rPr>
                <w:rFonts w:ascii="Times New Roman" w:hAnsi="Times New Roman" w:cs="Times New Roman"/>
                <w:szCs w:val="18"/>
              </w:rPr>
              <w:t>, 2019. </w:t>
            </w:r>
          </w:p>
          <w:p w14:paraId="46F2E41B" w14:textId="77777777" w:rsidR="00D3397A" w:rsidRPr="00CA2B3F" w:rsidRDefault="00D3397A" w:rsidP="006137C0">
            <w:pPr>
              <w:pStyle w:val="ListParagraph"/>
              <w:numPr>
                <w:ilvl w:val="1"/>
                <w:numId w:val="26"/>
              </w:numPr>
              <w:ind w:left="314" w:hanging="425"/>
              <w:rPr>
                <w:rFonts w:ascii="Times New Roman" w:hAnsi="Times New Roman" w:cs="Times New Roman"/>
                <w:szCs w:val="18"/>
              </w:rPr>
            </w:pPr>
            <w:r w:rsidRPr="00CA2B3F">
              <w:rPr>
                <w:rFonts w:ascii="Times New Roman" w:hAnsi="Times New Roman" w:cs="Times New Roman"/>
                <w:szCs w:val="18"/>
              </w:rPr>
              <w:t xml:space="preserve">Data on trans-fat intake cannot be obtained from the </w:t>
            </w:r>
            <w:r>
              <w:rPr>
                <w:rFonts w:ascii="Times New Roman" w:hAnsi="Times New Roman" w:cs="Times New Roman"/>
                <w:szCs w:val="18"/>
              </w:rPr>
              <w:t>2015 CCHS-Nutrition dataset</w:t>
            </w:r>
            <w:r w:rsidRPr="00CA2B3F">
              <w:rPr>
                <w:rFonts w:ascii="Times New Roman" w:hAnsi="Times New Roman" w:cs="Times New Roman"/>
                <w:szCs w:val="18"/>
              </w:rPr>
              <w:t xml:space="preserve"> and therefore are not reported separately. However, the estimates for percent energy from total fat comprise all fats, including trans-fats. Note that the estimates provided for energy intake from the individual types of fat will not add up to the </w:t>
            </w:r>
            <w:r w:rsidRPr="00CA2B3F">
              <w:rPr>
                <w:rFonts w:ascii="Times New Roman" w:hAnsi="Times New Roman" w:cs="Times New Roman"/>
                <w:szCs w:val="18"/>
              </w:rPr>
              <w:lastRenderedPageBreak/>
              <w:t>estimates provided for total fat due to measurement error as well as the lack of data on trans-fat intake.</w:t>
            </w:r>
          </w:p>
          <w:p w14:paraId="6F25C99B" w14:textId="77777777" w:rsidR="00D3397A" w:rsidRPr="00CA2B3F" w:rsidRDefault="00D3397A" w:rsidP="006137C0">
            <w:pPr>
              <w:pStyle w:val="ListParagraph"/>
              <w:numPr>
                <w:ilvl w:val="1"/>
                <w:numId w:val="26"/>
              </w:numPr>
              <w:ind w:left="314" w:hanging="425"/>
              <w:rPr>
                <w:rFonts w:ascii="Times New Roman" w:hAnsi="Times New Roman" w:cs="Times New Roman"/>
                <w:szCs w:val="18"/>
              </w:rPr>
            </w:pPr>
            <w:r w:rsidRPr="00CA2B3F">
              <w:rPr>
                <w:rFonts w:ascii="Times New Roman" w:hAnsi="Times New Roman" w:cs="Times New Roman"/>
                <w:szCs w:val="18"/>
              </w:rPr>
              <w:t xml:space="preserve">In terms of precision, the estimate 0.0 with a </w:t>
            </w:r>
            <w:r>
              <w:rPr>
                <w:rFonts w:ascii="Times New Roman" w:hAnsi="Times New Roman" w:cs="Times New Roman"/>
                <w:szCs w:val="18"/>
              </w:rPr>
              <w:t>SE</w:t>
            </w:r>
            <w:r w:rsidRPr="00CA2B3F">
              <w:rPr>
                <w:rFonts w:ascii="Times New Roman" w:hAnsi="Times New Roman" w:cs="Times New Roman"/>
                <w:szCs w:val="18"/>
              </w:rPr>
              <w:t xml:space="preserve"> of 0.0 refers to a standard error smaller than 0.1%.</w:t>
            </w:r>
          </w:p>
          <w:p w14:paraId="17B42B6F" w14:textId="77777777" w:rsidR="00D3397A" w:rsidRPr="00CA2B3F" w:rsidRDefault="00D3397A" w:rsidP="006137C0">
            <w:pPr>
              <w:pStyle w:val="ListParagraph"/>
              <w:numPr>
                <w:ilvl w:val="1"/>
                <w:numId w:val="26"/>
              </w:numPr>
              <w:ind w:left="314" w:hanging="425"/>
              <w:rPr>
                <w:rFonts w:ascii="Times New Roman" w:hAnsi="Times New Roman" w:cs="Times New Roman"/>
                <w:szCs w:val="18"/>
              </w:rPr>
            </w:pPr>
            <w:r w:rsidRPr="00CA2B3F">
              <w:rPr>
                <w:rFonts w:ascii="Times New Roman" w:hAnsi="Times New Roman" w:cs="Times New Roman"/>
                <w:szCs w:val="18"/>
              </w:rPr>
              <w:t>Data with a coefficient of variation from 16.6% to 33.3% are identified as follows: (E) use with caution.</w:t>
            </w:r>
          </w:p>
          <w:p w14:paraId="75F2F8FE" w14:textId="77777777" w:rsidR="00D3397A" w:rsidRPr="00CA2B3F" w:rsidRDefault="00D3397A" w:rsidP="006137C0">
            <w:pPr>
              <w:pStyle w:val="ListParagraph"/>
              <w:numPr>
                <w:ilvl w:val="1"/>
                <w:numId w:val="26"/>
              </w:numPr>
              <w:ind w:left="314" w:hanging="425"/>
              <w:rPr>
                <w:rFonts w:ascii="Times New Roman" w:hAnsi="Times New Roman" w:cs="Times New Roman"/>
                <w:szCs w:val="18"/>
              </w:rPr>
            </w:pPr>
            <w:r w:rsidRPr="00CA2B3F">
              <w:rPr>
                <w:rFonts w:ascii="Times New Roman" w:hAnsi="Times New Roman" w:cs="Times New Roman"/>
                <w:szCs w:val="18"/>
              </w:rPr>
              <w:t>Data with a coefficient of variation greater than 33.3% with a 95% confidence interval entirely between 0 and 3% are identified as follows:  &lt;3 interpret with caution. </w:t>
            </w:r>
          </w:p>
          <w:p w14:paraId="645B8081" w14:textId="77777777" w:rsidR="00D3397A" w:rsidRDefault="00D3397A" w:rsidP="006137C0">
            <w:pPr>
              <w:pStyle w:val="ListParagraph"/>
              <w:numPr>
                <w:ilvl w:val="1"/>
                <w:numId w:val="26"/>
              </w:numPr>
              <w:ind w:left="314" w:hanging="425"/>
              <w:rPr>
                <w:rFonts w:ascii="Times New Roman" w:hAnsi="Times New Roman" w:cs="Times New Roman"/>
                <w:szCs w:val="18"/>
              </w:rPr>
            </w:pPr>
            <w:r w:rsidRPr="00CA2B3F">
              <w:rPr>
                <w:rFonts w:ascii="Times New Roman" w:hAnsi="Times New Roman" w:cs="Times New Roman"/>
                <w:szCs w:val="18"/>
              </w:rPr>
              <w:t xml:space="preserve">Data with a coefficient of variation greater than 33.3% were suppressed due to extreme sampling variability and are identified as follows: (F) too unreliable to be published. </w:t>
            </w:r>
          </w:p>
          <w:p w14:paraId="63B421DD" w14:textId="77777777" w:rsidR="009A11A1" w:rsidRDefault="009A11A1" w:rsidP="009A11A1">
            <w:pPr>
              <w:rPr>
                <w:rFonts w:ascii="Times New Roman" w:hAnsi="Times New Roman" w:cs="Times New Roman"/>
                <w:szCs w:val="18"/>
              </w:rPr>
            </w:pPr>
          </w:p>
          <w:p w14:paraId="3187DC7D" w14:textId="0BAE960C" w:rsidR="009A11A1" w:rsidRPr="000B7A95" w:rsidRDefault="009A11A1" w:rsidP="009A11A1">
            <w:pPr>
              <w:rPr>
                <w:rFonts w:ascii="Times New Roman" w:hAnsi="Times New Roman" w:cs="Times New Roman"/>
                <w:szCs w:val="18"/>
              </w:rPr>
            </w:pPr>
            <w:r>
              <w:rPr>
                <w:rFonts w:ascii="Times New Roman" w:hAnsi="Times New Roman" w:cs="Times New Roman"/>
                <w:b/>
                <w:szCs w:val="18"/>
              </w:rPr>
              <w:t>Suggested citation</w:t>
            </w:r>
            <w:r w:rsidR="000B7A95">
              <w:rPr>
                <w:rFonts w:ascii="Times New Roman" w:hAnsi="Times New Roman" w:cs="Times New Roman"/>
                <w:b/>
                <w:szCs w:val="18"/>
              </w:rPr>
              <w:t>:</w:t>
            </w:r>
            <w:r w:rsidR="000B7A95">
              <w:rPr>
                <w:rFonts w:ascii="Times New Roman" w:hAnsi="Times New Roman" w:cs="Times New Roman"/>
                <w:szCs w:val="18"/>
              </w:rPr>
              <w:t xml:space="preserve"> </w:t>
            </w:r>
            <w:r w:rsidR="00983150">
              <w:rPr>
                <w:rFonts w:ascii="Times New Roman" w:hAnsi="Times New Roman" w:cs="Times New Roman"/>
                <w:szCs w:val="18"/>
              </w:rPr>
              <w:t xml:space="preserve">Nutrition Surveillance Data Tool, 2020 Edition. A joint initiative of Health Canada and the Public Health Agency of Canada. </w:t>
            </w:r>
          </w:p>
          <w:p w14:paraId="77CE6810" w14:textId="77777777" w:rsidR="009A11A1" w:rsidRDefault="009A11A1" w:rsidP="009A11A1">
            <w:pPr>
              <w:rPr>
                <w:rFonts w:ascii="Times New Roman" w:hAnsi="Times New Roman" w:cs="Times New Roman"/>
                <w:b/>
                <w:szCs w:val="18"/>
              </w:rPr>
            </w:pPr>
          </w:p>
          <w:p w14:paraId="447B14FD" w14:textId="24525354" w:rsidR="009A11A1" w:rsidRPr="000B7A95" w:rsidRDefault="000B7A95" w:rsidP="009A11A1">
            <w:pPr>
              <w:rPr>
                <w:rFonts w:ascii="Times New Roman" w:hAnsi="Times New Roman" w:cs="Times New Roman"/>
                <w:szCs w:val="18"/>
              </w:rPr>
            </w:pPr>
            <w:r>
              <w:rPr>
                <w:rFonts w:ascii="Times New Roman" w:hAnsi="Times New Roman" w:cs="Times New Roman"/>
                <w:b/>
                <w:szCs w:val="18"/>
              </w:rPr>
              <w:t>Correspondence:</w:t>
            </w:r>
            <w:r>
              <w:rPr>
                <w:rFonts w:ascii="Times New Roman" w:hAnsi="Times New Roman" w:cs="Times New Roman"/>
                <w:szCs w:val="18"/>
              </w:rPr>
              <w:t xml:space="preserve"> Bureau of Food Surveillance and Science Integration, Food Directorate, Health Canada, 251 Sir Frederick Banting Driveway, A.L. 2201E, Ottawa, ON K1A 0K9; Email: HC.Nutrition.Surveillance-Nutritionelle.SC@canada.ca</w:t>
            </w:r>
          </w:p>
          <w:p w14:paraId="14A55A68" w14:textId="77777777" w:rsidR="009A11A1" w:rsidRDefault="009A11A1" w:rsidP="009A11A1">
            <w:pPr>
              <w:rPr>
                <w:rFonts w:ascii="Times New Roman" w:hAnsi="Times New Roman" w:cs="Times New Roman"/>
                <w:b/>
                <w:szCs w:val="18"/>
              </w:rPr>
            </w:pPr>
          </w:p>
          <w:p w14:paraId="054726E8" w14:textId="559D4ED1" w:rsidR="009A11A1" w:rsidRPr="009A11A1" w:rsidRDefault="009A11A1" w:rsidP="009A11A1">
            <w:pPr>
              <w:rPr>
                <w:rFonts w:ascii="Times New Roman" w:hAnsi="Times New Roman" w:cs="Times New Roman"/>
                <w:szCs w:val="18"/>
              </w:rPr>
            </w:pPr>
            <w:r>
              <w:rPr>
                <w:rFonts w:ascii="Times New Roman" w:hAnsi="Times New Roman" w:cs="Times New Roman"/>
                <w:b/>
                <w:szCs w:val="18"/>
              </w:rPr>
              <w:t xml:space="preserve">Acknowledgements: </w:t>
            </w:r>
            <w:r w:rsidRPr="009A11A1">
              <w:rPr>
                <w:rFonts w:ascii="Times New Roman" w:hAnsi="Times New Roman" w:cs="Times New Roman"/>
                <w:szCs w:val="18"/>
              </w:rPr>
              <w:t>The development of this Data Tool was made possible through collaboration of the Public Health Agency of Canada (PHAC</w:t>
            </w:r>
            <w:r>
              <w:rPr>
                <w:rFonts w:ascii="Times New Roman" w:hAnsi="Times New Roman" w:cs="Times New Roman"/>
                <w:szCs w:val="18"/>
              </w:rPr>
              <w:t>) and Health Canada.</w:t>
            </w:r>
            <w:r w:rsidRPr="009A11A1">
              <w:rPr>
                <w:rFonts w:ascii="Times New Roman" w:hAnsi="Times New Roman" w:cs="Times New Roman"/>
                <w:szCs w:val="18"/>
              </w:rPr>
              <w:t xml:space="preserve"> </w:t>
            </w:r>
            <w:r>
              <w:rPr>
                <w:rFonts w:ascii="Times New Roman" w:hAnsi="Times New Roman" w:cs="Times New Roman"/>
                <w:szCs w:val="18"/>
              </w:rPr>
              <w:t>The production of the intake estimates was a joint venture between Health Canada and Statistics Canada.</w:t>
            </w:r>
          </w:p>
        </w:tc>
        <w:tc>
          <w:tcPr>
            <w:tcW w:w="6475" w:type="dxa"/>
          </w:tcPr>
          <w:p w14:paraId="61CA4674" w14:textId="5DE2760E" w:rsidR="00D3397A" w:rsidRPr="00983150" w:rsidRDefault="00983150" w:rsidP="00983150">
            <w:pPr>
              <w:rPr>
                <w:rFonts w:ascii="Times New Roman" w:hAnsi="Times New Roman" w:cs="Times New Roman"/>
                <w:color w:val="FF0000"/>
                <w:szCs w:val="18"/>
                <w:lang w:val="fr-CA"/>
              </w:rPr>
            </w:pPr>
            <w:r>
              <w:rPr>
                <w:rFonts w:ascii="Times New Roman" w:hAnsi="Times New Roman" w:cs="Times New Roman"/>
                <w:color w:val="FF0000"/>
                <w:szCs w:val="18"/>
                <w:lang w:val="fr-CA"/>
              </w:rPr>
              <w:lastRenderedPageBreak/>
              <w:t xml:space="preserve">To </w:t>
            </w:r>
            <w:proofErr w:type="spellStart"/>
            <w:r>
              <w:rPr>
                <w:rFonts w:ascii="Times New Roman" w:hAnsi="Times New Roman" w:cs="Times New Roman"/>
                <w:color w:val="FF0000"/>
                <w:szCs w:val="18"/>
                <w:lang w:val="fr-CA"/>
              </w:rPr>
              <w:t>be</w:t>
            </w:r>
            <w:proofErr w:type="spellEnd"/>
            <w:r>
              <w:rPr>
                <w:rFonts w:ascii="Times New Roman" w:hAnsi="Times New Roman" w:cs="Times New Roman"/>
                <w:color w:val="FF0000"/>
                <w:szCs w:val="18"/>
                <w:lang w:val="fr-CA"/>
              </w:rPr>
              <w:t xml:space="preserve"> </w:t>
            </w:r>
            <w:proofErr w:type="spellStart"/>
            <w:r>
              <w:rPr>
                <w:rFonts w:ascii="Times New Roman" w:hAnsi="Times New Roman" w:cs="Times New Roman"/>
                <w:color w:val="FF0000"/>
                <w:szCs w:val="18"/>
                <w:lang w:val="fr-CA"/>
              </w:rPr>
              <w:t>translated</w:t>
            </w:r>
            <w:proofErr w:type="spellEnd"/>
          </w:p>
        </w:tc>
      </w:tr>
    </w:tbl>
    <w:p w14:paraId="5098635F" w14:textId="77777777" w:rsidR="00D3397A" w:rsidRPr="001602BC" w:rsidRDefault="00D3397A" w:rsidP="00D3397A">
      <w:pPr>
        <w:rPr>
          <w:rFonts w:ascii="Times New Roman" w:hAnsi="Times New Roman" w:cs="Times New Roman"/>
          <w:szCs w:val="18"/>
          <w:lang w:val="fr-CA"/>
        </w:rPr>
      </w:pPr>
    </w:p>
    <w:p w14:paraId="01290EC7" w14:textId="77777777" w:rsidR="00D3397A" w:rsidRPr="001602BC" w:rsidRDefault="00D3397A" w:rsidP="00D3397A">
      <w:pPr>
        <w:rPr>
          <w:rFonts w:ascii="Times New Roman" w:hAnsi="Times New Roman" w:cs="Times New Roman"/>
          <w:szCs w:val="18"/>
          <w:lang w:val="fr-CA"/>
        </w:rPr>
      </w:pPr>
    </w:p>
    <w:p w14:paraId="7C2AB272" w14:textId="35F9C3DE" w:rsidR="009C2727" w:rsidRPr="00420436" w:rsidRDefault="00D3397A" w:rsidP="00570739">
      <w:pPr>
        <w:rPr>
          <w:rFonts w:ascii="Times New Roman" w:hAnsi="Times New Roman" w:cs="Times New Roman"/>
          <w:szCs w:val="18"/>
          <w:lang w:val="fr-CA"/>
        </w:rPr>
      </w:pPr>
      <w:r w:rsidRPr="001602BC">
        <w:rPr>
          <w:rFonts w:ascii="Times New Roman" w:hAnsi="Times New Roman" w:cs="Times New Roman"/>
          <w:szCs w:val="18"/>
          <w:lang w:val="fr-CA"/>
        </w:rPr>
        <w:br w:type="page"/>
      </w:r>
    </w:p>
    <w:p w14:paraId="26CD8DF9" w14:textId="77777777" w:rsidR="00D3397A" w:rsidRPr="00D3397A" w:rsidRDefault="00D3397A" w:rsidP="0077378E">
      <w:pPr>
        <w:spacing w:after="0"/>
        <w:rPr>
          <w:rFonts w:ascii="Times New Roman" w:hAnsi="Times New Roman" w:cs="Times New Roman"/>
          <w:szCs w:val="18"/>
          <w:u w:val="single"/>
          <w:lang w:val="fr-CA"/>
        </w:rPr>
        <w:sectPr w:rsidR="00D3397A" w:rsidRPr="00D3397A" w:rsidSect="00D3397A">
          <w:pgSz w:w="15840" w:h="12240" w:orient="landscape"/>
          <w:pgMar w:top="1440" w:right="1440" w:bottom="1440" w:left="1440" w:header="708" w:footer="708" w:gutter="0"/>
          <w:cols w:space="708"/>
          <w:docGrid w:linePitch="360"/>
        </w:sectPr>
      </w:pPr>
    </w:p>
    <w:p w14:paraId="6C843625" w14:textId="63A0B1B0" w:rsidR="00B845C1" w:rsidRPr="00420436" w:rsidRDefault="00E47C48" w:rsidP="0077378E">
      <w:pPr>
        <w:spacing w:after="0"/>
        <w:rPr>
          <w:rFonts w:ascii="Times New Roman" w:hAnsi="Times New Roman" w:cs="Times New Roman"/>
          <w:szCs w:val="18"/>
        </w:rPr>
      </w:pPr>
      <w:r w:rsidRPr="00420436">
        <w:rPr>
          <w:rFonts w:ascii="Times New Roman" w:hAnsi="Times New Roman" w:cs="Times New Roman"/>
          <w:szCs w:val="18"/>
          <w:u w:val="single"/>
        </w:rPr>
        <w:lastRenderedPageBreak/>
        <w:t>Tab</w:t>
      </w:r>
      <w:r w:rsidR="00F420FB" w:rsidRPr="00420436">
        <w:rPr>
          <w:rFonts w:ascii="Times New Roman" w:hAnsi="Times New Roman" w:cs="Times New Roman"/>
          <w:szCs w:val="18"/>
          <w:u w:val="single"/>
        </w:rPr>
        <w:t xml:space="preserve"> #</w:t>
      </w:r>
      <w:r w:rsidR="00D3397A">
        <w:rPr>
          <w:rFonts w:ascii="Times New Roman" w:hAnsi="Times New Roman" w:cs="Times New Roman"/>
          <w:szCs w:val="18"/>
          <w:u w:val="single"/>
        </w:rPr>
        <w:t>2</w:t>
      </w:r>
      <w:r w:rsidR="00F420FB" w:rsidRPr="00420436">
        <w:rPr>
          <w:rFonts w:ascii="Times New Roman" w:hAnsi="Times New Roman" w:cs="Times New Roman"/>
          <w:szCs w:val="18"/>
          <w:u w:val="single"/>
        </w:rPr>
        <w:t xml:space="preserve"> - </w:t>
      </w:r>
      <w:r w:rsidRPr="00420436">
        <w:rPr>
          <w:rFonts w:ascii="Times New Roman" w:hAnsi="Times New Roman" w:cs="Times New Roman"/>
          <w:szCs w:val="18"/>
          <w:u w:val="single"/>
        </w:rPr>
        <w:t>Usual intake data table</w:t>
      </w:r>
      <w:r w:rsidR="00B845C1" w:rsidRPr="00420436">
        <w:rPr>
          <w:rFonts w:ascii="Times New Roman" w:hAnsi="Times New Roman" w:cs="Times New Roman"/>
          <w:szCs w:val="18"/>
          <w:u w:val="single"/>
        </w:rPr>
        <w:t>:</w:t>
      </w:r>
      <w:r w:rsidR="00B845C1" w:rsidRPr="00420436">
        <w:rPr>
          <w:rFonts w:ascii="Times New Roman" w:hAnsi="Times New Roman" w:cs="Times New Roman"/>
          <w:szCs w:val="18"/>
        </w:rPr>
        <w:t xml:space="preserve"> The objective of this tool is to enable users to sub-set, display and download the usual intake data included in the csv file on </w:t>
      </w:r>
      <w:r w:rsidR="005E3698">
        <w:rPr>
          <w:rFonts w:ascii="Times New Roman" w:hAnsi="Times New Roman" w:cs="Times New Roman"/>
          <w:szCs w:val="18"/>
        </w:rPr>
        <w:t>Open Government</w:t>
      </w:r>
      <w:r w:rsidR="00B845C1" w:rsidRPr="00420436">
        <w:rPr>
          <w:rFonts w:ascii="Times New Roman" w:hAnsi="Times New Roman" w:cs="Times New Roman"/>
          <w:szCs w:val="18"/>
        </w:rPr>
        <w:t xml:space="preserve"> (2015 data only) in a visually-appealing table format.</w:t>
      </w:r>
    </w:p>
    <w:p w14:paraId="68590B3E" w14:textId="77777777" w:rsidR="002726DF" w:rsidRPr="00420436" w:rsidRDefault="002726DF" w:rsidP="0077378E">
      <w:pPr>
        <w:spacing w:after="0"/>
        <w:rPr>
          <w:rFonts w:ascii="Times New Roman" w:hAnsi="Times New Roman" w:cs="Times New Roman"/>
          <w:szCs w:val="18"/>
        </w:rPr>
      </w:pPr>
    </w:p>
    <w:tbl>
      <w:tblPr>
        <w:tblStyle w:val="TableGrid"/>
        <w:tblW w:w="0" w:type="auto"/>
        <w:tblLook w:val="04A0" w:firstRow="1" w:lastRow="0" w:firstColumn="1" w:lastColumn="0" w:noHBand="0" w:noVBand="1"/>
      </w:tblPr>
      <w:tblGrid>
        <w:gridCol w:w="1838"/>
        <w:gridCol w:w="7512"/>
      </w:tblGrid>
      <w:tr w:rsidR="00B845C1" w:rsidRPr="00420436" w14:paraId="783F7692" w14:textId="77777777" w:rsidTr="006A4B42">
        <w:tc>
          <w:tcPr>
            <w:tcW w:w="1838" w:type="dxa"/>
          </w:tcPr>
          <w:p w14:paraId="7AF0111E" w14:textId="6BEF84D3" w:rsidR="00B845C1" w:rsidRPr="00420436" w:rsidRDefault="00B845C1" w:rsidP="0077378E">
            <w:pPr>
              <w:rPr>
                <w:rFonts w:ascii="Times New Roman" w:hAnsi="Times New Roman" w:cs="Times New Roman"/>
                <w:szCs w:val="18"/>
              </w:rPr>
            </w:pPr>
            <w:r w:rsidRPr="00420436">
              <w:rPr>
                <w:rFonts w:ascii="Times New Roman" w:hAnsi="Times New Roman" w:cs="Times New Roman"/>
                <w:szCs w:val="18"/>
              </w:rPr>
              <w:t>Data files</w:t>
            </w:r>
          </w:p>
        </w:tc>
        <w:tc>
          <w:tcPr>
            <w:tcW w:w="7512" w:type="dxa"/>
          </w:tcPr>
          <w:p w14:paraId="66CD97A5" w14:textId="23A28FE5" w:rsidR="00B845C1" w:rsidRPr="00420436" w:rsidRDefault="00B845C1" w:rsidP="0077378E">
            <w:pPr>
              <w:rPr>
                <w:rFonts w:ascii="Times New Roman" w:hAnsi="Times New Roman" w:cs="Times New Roman"/>
                <w:szCs w:val="18"/>
              </w:rPr>
            </w:pPr>
            <w:r w:rsidRPr="00420436">
              <w:rPr>
                <w:rFonts w:ascii="Times New Roman" w:hAnsi="Times New Roman" w:cs="Times New Roman"/>
                <w:szCs w:val="18"/>
              </w:rPr>
              <w:t>Y:\HC\HPFB\FD\BFSSI\HEALTH RISK PROTECTION HC6\SURVEILLANCE\2015 CCHS Nutrition\Dissemination\</w:t>
            </w:r>
            <w:proofErr w:type="spellStart"/>
            <w:r w:rsidRPr="00420436">
              <w:rPr>
                <w:rFonts w:ascii="Times New Roman" w:hAnsi="Times New Roman" w:cs="Times New Roman"/>
                <w:szCs w:val="18"/>
              </w:rPr>
              <w:t>Infobase</w:t>
            </w:r>
            <w:proofErr w:type="spellEnd"/>
            <w:r w:rsidRPr="00420436">
              <w:rPr>
                <w:rFonts w:ascii="Times New Roman" w:hAnsi="Times New Roman" w:cs="Times New Roman"/>
                <w:szCs w:val="18"/>
              </w:rPr>
              <w:t>\Data files\Usual Intake Data Table</w:t>
            </w:r>
          </w:p>
        </w:tc>
      </w:tr>
      <w:tr w:rsidR="00585289" w:rsidRPr="00420436" w14:paraId="01179724" w14:textId="77777777" w:rsidTr="006A4B42">
        <w:tc>
          <w:tcPr>
            <w:tcW w:w="1838" w:type="dxa"/>
          </w:tcPr>
          <w:p w14:paraId="77A9ACC8" w14:textId="77777777" w:rsidR="00585289" w:rsidRPr="00420436" w:rsidRDefault="00585289" w:rsidP="0077378E">
            <w:pPr>
              <w:rPr>
                <w:rFonts w:ascii="Times New Roman" w:hAnsi="Times New Roman" w:cs="Times New Roman"/>
                <w:szCs w:val="18"/>
              </w:rPr>
            </w:pPr>
            <w:r w:rsidRPr="00420436">
              <w:rPr>
                <w:rFonts w:ascii="Times New Roman" w:hAnsi="Times New Roman" w:cs="Times New Roman"/>
                <w:szCs w:val="18"/>
              </w:rPr>
              <w:t xml:space="preserve">Tab title </w:t>
            </w:r>
          </w:p>
        </w:tc>
        <w:tc>
          <w:tcPr>
            <w:tcW w:w="7512" w:type="dxa"/>
          </w:tcPr>
          <w:p w14:paraId="43567934" w14:textId="77777777" w:rsidR="00585289" w:rsidRPr="00420436" w:rsidRDefault="00585289" w:rsidP="0077378E">
            <w:pPr>
              <w:rPr>
                <w:rFonts w:ascii="Times New Roman" w:hAnsi="Times New Roman" w:cs="Times New Roman"/>
                <w:szCs w:val="18"/>
              </w:rPr>
            </w:pPr>
            <w:r w:rsidRPr="00420436">
              <w:rPr>
                <w:rFonts w:ascii="Times New Roman" w:hAnsi="Times New Roman" w:cs="Times New Roman"/>
                <w:szCs w:val="18"/>
              </w:rPr>
              <w:t>ENGLISH: Usual intake data table</w:t>
            </w:r>
          </w:p>
          <w:p w14:paraId="6774A62A" w14:textId="77777777" w:rsidR="00585289" w:rsidRPr="00420436" w:rsidRDefault="00585289" w:rsidP="00585289">
            <w:pPr>
              <w:rPr>
                <w:rFonts w:ascii="Times New Roman" w:hAnsi="Times New Roman" w:cs="Times New Roman"/>
                <w:szCs w:val="18"/>
                <w:lang w:val="fr-CA"/>
              </w:rPr>
            </w:pPr>
            <w:r w:rsidRPr="00420436">
              <w:rPr>
                <w:rFonts w:ascii="Times New Roman" w:hAnsi="Times New Roman" w:cs="Times New Roman"/>
                <w:szCs w:val="18"/>
                <w:lang w:val="fr-CA"/>
              </w:rPr>
              <w:t>FRENCH: Tableau des données sur les apport usuels</w:t>
            </w:r>
          </w:p>
        </w:tc>
      </w:tr>
      <w:tr w:rsidR="006A4B42" w:rsidRPr="00420436" w14:paraId="3B0E38B9" w14:textId="77777777" w:rsidTr="006A4B42">
        <w:tc>
          <w:tcPr>
            <w:tcW w:w="1838" w:type="dxa"/>
          </w:tcPr>
          <w:p w14:paraId="010DF98D" w14:textId="77777777" w:rsidR="006A4B42" w:rsidRPr="00420436" w:rsidRDefault="006A4B42" w:rsidP="0077378E">
            <w:pPr>
              <w:rPr>
                <w:rFonts w:ascii="Times New Roman" w:hAnsi="Times New Roman" w:cs="Times New Roman"/>
                <w:szCs w:val="18"/>
              </w:rPr>
            </w:pPr>
            <w:r w:rsidRPr="00420436">
              <w:rPr>
                <w:rFonts w:ascii="Times New Roman" w:hAnsi="Times New Roman" w:cs="Times New Roman"/>
                <w:szCs w:val="18"/>
              </w:rPr>
              <w:t>Selectable field</w:t>
            </w:r>
            <w:r w:rsidR="00585289" w:rsidRPr="00420436">
              <w:rPr>
                <w:rFonts w:ascii="Times New Roman" w:hAnsi="Times New Roman" w:cs="Times New Roman"/>
                <w:szCs w:val="18"/>
              </w:rPr>
              <w:t>s</w:t>
            </w:r>
          </w:p>
        </w:tc>
        <w:tc>
          <w:tcPr>
            <w:tcW w:w="7512" w:type="dxa"/>
          </w:tcPr>
          <w:p w14:paraId="102B55EB" w14:textId="77777777" w:rsidR="006A4B42" w:rsidRPr="00420436" w:rsidRDefault="006A4B42" w:rsidP="006A4B42">
            <w:pPr>
              <w:rPr>
                <w:rFonts w:ascii="Times New Roman" w:hAnsi="Times New Roman" w:cs="Times New Roman"/>
                <w:szCs w:val="18"/>
              </w:rPr>
            </w:pPr>
            <w:r w:rsidRPr="00420436">
              <w:rPr>
                <w:rFonts w:ascii="Times New Roman" w:hAnsi="Times New Roman" w:cs="Times New Roman"/>
                <w:szCs w:val="18"/>
              </w:rPr>
              <w:t>Which rows to display</w:t>
            </w:r>
          </w:p>
          <w:p w14:paraId="698BC01E" w14:textId="427AB600" w:rsidR="006A4B42" w:rsidRPr="00420436" w:rsidRDefault="006A4B42" w:rsidP="006A4B42">
            <w:pPr>
              <w:pStyle w:val="ListParagraph"/>
              <w:numPr>
                <w:ilvl w:val="0"/>
                <w:numId w:val="24"/>
              </w:numPr>
              <w:rPr>
                <w:rFonts w:ascii="Times New Roman" w:hAnsi="Times New Roman" w:cs="Times New Roman"/>
                <w:szCs w:val="18"/>
              </w:rPr>
            </w:pPr>
            <w:r w:rsidRPr="00420436">
              <w:rPr>
                <w:rFonts w:ascii="Times New Roman" w:hAnsi="Times New Roman" w:cs="Times New Roman"/>
                <w:szCs w:val="18"/>
              </w:rPr>
              <w:t>Nutrient</w:t>
            </w:r>
            <w:r w:rsidR="00B845C1" w:rsidRPr="00420436">
              <w:rPr>
                <w:rFonts w:ascii="Times New Roman" w:hAnsi="Times New Roman" w:cs="Times New Roman"/>
                <w:szCs w:val="18"/>
              </w:rPr>
              <w:t xml:space="preserve">/Item </w:t>
            </w:r>
            <w:r w:rsidR="00B845C1" w:rsidRPr="00420436">
              <w:rPr>
                <w:rFonts w:ascii="Times New Roman" w:hAnsi="Times New Roman" w:cs="Times New Roman"/>
                <w:szCs w:val="18"/>
              </w:rPr>
              <w:sym w:font="Wingdings" w:char="F0E0"/>
            </w:r>
            <w:r w:rsidR="00B845C1" w:rsidRPr="00420436">
              <w:rPr>
                <w:rFonts w:ascii="Times New Roman" w:hAnsi="Times New Roman" w:cs="Times New Roman"/>
                <w:szCs w:val="18"/>
              </w:rPr>
              <w:t xml:space="preserve"> </w:t>
            </w:r>
            <w:commentRangeStart w:id="0"/>
            <w:r w:rsidR="00B845C1" w:rsidRPr="00420436">
              <w:rPr>
                <w:rFonts w:ascii="Times New Roman" w:hAnsi="Times New Roman" w:cs="Times New Roman"/>
                <w:szCs w:val="18"/>
              </w:rPr>
              <w:t>limited to selecting only one</w:t>
            </w:r>
            <w:r w:rsidRPr="00420436">
              <w:rPr>
                <w:rFonts w:ascii="Times New Roman" w:hAnsi="Times New Roman" w:cs="Times New Roman"/>
                <w:szCs w:val="18"/>
              </w:rPr>
              <w:t xml:space="preserve"> </w:t>
            </w:r>
            <w:commentRangeEnd w:id="0"/>
            <w:r w:rsidR="00A833D4">
              <w:rPr>
                <w:rStyle w:val="CommentReference"/>
              </w:rPr>
              <w:commentReference w:id="0"/>
            </w:r>
          </w:p>
          <w:p w14:paraId="315622BE" w14:textId="446D3BDB" w:rsidR="006A4B42" w:rsidRPr="00420436" w:rsidRDefault="006A4B42" w:rsidP="006A4B42">
            <w:pPr>
              <w:pStyle w:val="ListParagraph"/>
              <w:numPr>
                <w:ilvl w:val="0"/>
                <w:numId w:val="24"/>
              </w:numPr>
              <w:rPr>
                <w:rFonts w:ascii="Times New Roman" w:hAnsi="Times New Roman" w:cs="Times New Roman"/>
                <w:szCs w:val="18"/>
              </w:rPr>
            </w:pPr>
            <w:r w:rsidRPr="00420436">
              <w:rPr>
                <w:rFonts w:ascii="Times New Roman" w:hAnsi="Times New Roman" w:cs="Times New Roman"/>
                <w:szCs w:val="18"/>
              </w:rPr>
              <w:t>Region</w:t>
            </w:r>
            <w:r w:rsidR="00B845C1" w:rsidRPr="00420436">
              <w:rPr>
                <w:rFonts w:ascii="Times New Roman" w:hAnsi="Times New Roman" w:cs="Times New Roman"/>
                <w:szCs w:val="18"/>
              </w:rPr>
              <w:t xml:space="preserve"> </w:t>
            </w:r>
            <w:r w:rsidR="00B845C1" w:rsidRPr="00420436">
              <w:rPr>
                <w:rFonts w:ascii="Times New Roman" w:hAnsi="Times New Roman" w:cs="Times New Roman"/>
                <w:szCs w:val="18"/>
              </w:rPr>
              <w:sym w:font="Wingdings" w:char="F0E0"/>
            </w:r>
            <w:r w:rsidR="00B845C1" w:rsidRPr="00420436">
              <w:rPr>
                <w:rFonts w:ascii="Times New Roman" w:hAnsi="Times New Roman" w:cs="Times New Roman"/>
                <w:szCs w:val="18"/>
              </w:rPr>
              <w:t xml:space="preserve"> multiple selections</w:t>
            </w:r>
          </w:p>
          <w:p w14:paraId="4F69FDC0" w14:textId="77777777" w:rsidR="00B845C1" w:rsidRPr="00420436" w:rsidRDefault="00B845C1" w:rsidP="006A4B42">
            <w:pPr>
              <w:pStyle w:val="ListParagraph"/>
              <w:numPr>
                <w:ilvl w:val="0"/>
                <w:numId w:val="24"/>
              </w:numPr>
              <w:rPr>
                <w:rFonts w:ascii="Times New Roman" w:hAnsi="Times New Roman" w:cs="Times New Roman"/>
                <w:szCs w:val="18"/>
              </w:rPr>
            </w:pPr>
            <w:r w:rsidRPr="00420436">
              <w:rPr>
                <w:rFonts w:ascii="Times New Roman" w:hAnsi="Times New Roman" w:cs="Times New Roman"/>
                <w:szCs w:val="18"/>
              </w:rPr>
              <w:t xml:space="preserve">Sex </w:t>
            </w:r>
            <w:r w:rsidRPr="00420436">
              <w:rPr>
                <w:rFonts w:ascii="Times New Roman" w:hAnsi="Times New Roman" w:cs="Times New Roman"/>
                <w:szCs w:val="18"/>
              </w:rPr>
              <w:sym w:font="Wingdings" w:char="F0E0"/>
            </w:r>
            <w:r w:rsidRPr="00420436">
              <w:rPr>
                <w:rFonts w:ascii="Times New Roman" w:hAnsi="Times New Roman" w:cs="Times New Roman"/>
                <w:szCs w:val="18"/>
              </w:rPr>
              <w:t xml:space="preserve"> multiple selections</w:t>
            </w:r>
          </w:p>
          <w:p w14:paraId="7F65674D" w14:textId="303899E6" w:rsidR="006A4B42" w:rsidRPr="00420436" w:rsidRDefault="006A4B42" w:rsidP="006A4B42">
            <w:pPr>
              <w:pStyle w:val="ListParagraph"/>
              <w:numPr>
                <w:ilvl w:val="0"/>
                <w:numId w:val="24"/>
              </w:numPr>
              <w:rPr>
                <w:rFonts w:ascii="Times New Roman" w:hAnsi="Times New Roman" w:cs="Times New Roman"/>
                <w:szCs w:val="18"/>
              </w:rPr>
            </w:pPr>
            <w:r w:rsidRPr="00420436">
              <w:rPr>
                <w:rFonts w:ascii="Times New Roman" w:hAnsi="Times New Roman" w:cs="Times New Roman"/>
                <w:szCs w:val="18"/>
              </w:rPr>
              <w:t>Age</w:t>
            </w:r>
            <w:r w:rsidR="00B845C1" w:rsidRPr="00420436">
              <w:rPr>
                <w:sz w:val="28"/>
              </w:rPr>
              <w:sym w:font="Wingdings" w:char="F0E0"/>
            </w:r>
            <w:r w:rsidR="00B845C1" w:rsidRPr="00420436">
              <w:rPr>
                <w:rFonts w:ascii="Times New Roman" w:hAnsi="Times New Roman" w:cs="Times New Roman"/>
                <w:szCs w:val="18"/>
              </w:rPr>
              <w:t xml:space="preserve"> multiple selections </w:t>
            </w:r>
          </w:p>
          <w:p w14:paraId="703903DC" w14:textId="77777777" w:rsidR="006A4B42" w:rsidRPr="00420436" w:rsidRDefault="006A4B42" w:rsidP="006A4B42">
            <w:pPr>
              <w:rPr>
                <w:rFonts w:ascii="Times New Roman" w:hAnsi="Times New Roman" w:cs="Times New Roman"/>
                <w:szCs w:val="18"/>
              </w:rPr>
            </w:pPr>
            <w:r w:rsidRPr="00420436">
              <w:rPr>
                <w:rFonts w:ascii="Times New Roman" w:hAnsi="Times New Roman" w:cs="Times New Roman"/>
                <w:szCs w:val="18"/>
              </w:rPr>
              <w:t>Which columns to display</w:t>
            </w:r>
          </w:p>
          <w:p w14:paraId="7A1D59AF" w14:textId="7BBEE9B6" w:rsidR="006A4B42" w:rsidRPr="00420436" w:rsidRDefault="006A4B42" w:rsidP="0077378E">
            <w:pPr>
              <w:pStyle w:val="ListParagraph"/>
              <w:numPr>
                <w:ilvl w:val="0"/>
                <w:numId w:val="25"/>
              </w:numPr>
              <w:rPr>
                <w:rFonts w:ascii="Times New Roman" w:hAnsi="Times New Roman" w:cs="Times New Roman"/>
                <w:szCs w:val="18"/>
              </w:rPr>
            </w:pPr>
            <w:r w:rsidRPr="00420436">
              <w:rPr>
                <w:rFonts w:ascii="Times New Roman" w:hAnsi="Times New Roman" w:cs="Times New Roman"/>
                <w:szCs w:val="18"/>
              </w:rPr>
              <w:t xml:space="preserve">Data: Mean, Percentiles, </w:t>
            </w:r>
            <w:proofErr w:type="gramStart"/>
            <w:r w:rsidRPr="00420436">
              <w:rPr>
                <w:rFonts w:ascii="Times New Roman" w:hAnsi="Times New Roman" w:cs="Times New Roman"/>
                <w:szCs w:val="18"/>
              </w:rPr>
              <w:t>%</w:t>
            </w:r>
            <w:proofErr w:type="gramEnd"/>
            <w:r w:rsidRPr="00420436">
              <w:rPr>
                <w:rFonts w:ascii="Times New Roman" w:hAnsi="Times New Roman" w:cs="Times New Roman"/>
                <w:szCs w:val="18"/>
              </w:rPr>
              <w:t xml:space="preserve"> above or below DRIs. </w:t>
            </w:r>
            <w:r w:rsidR="00B845C1" w:rsidRPr="00420436">
              <w:rPr>
                <w:rFonts w:ascii="Times New Roman" w:hAnsi="Times New Roman" w:cs="Times New Roman"/>
                <w:szCs w:val="18"/>
                <w:shd w:val="clear" w:color="auto" w:fill="FFFFFF" w:themeFill="background1"/>
              </w:rPr>
              <w:t>Enable multiple selections</w:t>
            </w:r>
            <w:r w:rsidRPr="00420436">
              <w:rPr>
                <w:rFonts w:ascii="Times New Roman" w:hAnsi="Times New Roman" w:cs="Times New Roman"/>
                <w:szCs w:val="18"/>
              </w:rPr>
              <w:t xml:space="preserve"> </w:t>
            </w:r>
          </w:p>
          <w:p w14:paraId="5655F7BF" w14:textId="371E9916" w:rsidR="00B845C1" w:rsidRPr="00420436" w:rsidRDefault="00B845C1" w:rsidP="00B845C1">
            <w:pPr>
              <w:pStyle w:val="ListParagraph"/>
              <w:numPr>
                <w:ilvl w:val="0"/>
                <w:numId w:val="25"/>
              </w:numPr>
              <w:rPr>
                <w:rFonts w:ascii="Times New Roman" w:hAnsi="Times New Roman" w:cs="Times New Roman"/>
                <w:szCs w:val="18"/>
              </w:rPr>
            </w:pPr>
            <w:r w:rsidRPr="00420436">
              <w:rPr>
                <w:rFonts w:ascii="Times New Roman" w:hAnsi="Times New Roman" w:cs="Times New Roman"/>
                <w:szCs w:val="18"/>
              </w:rPr>
              <w:t xml:space="preserve">NOTE: If </w:t>
            </w:r>
            <w:proofErr w:type="gramStart"/>
            <w:r w:rsidRPr="00420436">
              <w:rPr>
                <w:rFonts w:ascii="Times New Roman" w:hAnsi="Times New Roman" w:cs="Times New Roman"/>
                <w:szCs w:val="18"/>
              </w:rPr>
              <w:t>%</w:t>
            </w:r>
            <w:proofErr w:type="gramEnd"/>
            <w:r w:rsidRPr="00420436">
              <w:rPr>
                <w:rFonts w:ascii="Times New Roman" w:hAnsi="Times New Roman" w:cs="Times New Roman"/>
                <w:szCs w:val="18"/>
              </w:rPr>
              <w:t xml:space="preserve"> above or below DRIs is selected, the table should only display the DRI columns relevant to the selected nutrient. For example: Sodium has an AI and a CDRR, so the table should not include the columns for EAR, AMDR, UL</w:t>
            </w:r>
          </w:p>
        </w:tc>
      </w:tr>
      <w:tr w:rsidR="006A4B42" w:rsidRPr="00420436" w14:paraId="12E4E38E" w14:textId="77777777" w:rsidTr="006A4B42">
        <w:tc>
          <w:tcPr>
            <w:tcW w:w="1838" w:type="dxa"/>
          </w:tcPr>
          <w:p w14:paraId="2BA2DEFC" w14:textId="77777777" w:rsidR="006A4B42" w:rsidRPr="00420436" w:rsidRDefault="006A4B42" w:rsidP="0077378E">
            <w:pPr>
              <w:rPr>
                <w:rFonts w:ascii="Times New Roman" w:hAnsi="Times New Roman" w:cs="Times New Roman"/>
                <w:szCs w:val="18"/>
              </w:rPr>
            </w:pPr>
            <w:r w:rsidRPr="00420436">
              <w:rPr>
                <w:rFonts w:ascii="Times New Roman" w:hAnsi="Times New Roman" w:cs="Times New Roman"/>
                <w:szCs w:val="18"/>
              </w:rPr>
              <w:t>Default selection</w:t>
            </w:r>
          </w:p>
        </w:tc>
        <w:tc>
          <w:tcPr>
            <w:tcW w:w="7512" w:type="dxa"/>
          </w:tcPr>
          <w:p w14:paraId="225131DB" w14:textId="77777777" w:rsidR="006A4B42" w:rsidRPr="00420436" w:rsidRDefault="006A4B42" w:rsidP="006A4B42">
            <w:pPr>
              <w:rPr>
                <w:rFonts w:ascii="Times New Roman" w:hAnsi="Times New Roman" w:cs="Times New Roman"/>
                <w:szCs w:val="18"/>
              </w:rPr>
            </w:pPr>
            <w:r w:rsidRPr="00420436">
              <w:rPr>
                <w:rFonts w:ascii="Times New Roman" w:hAnsi="Times New Roman" w:cs="Times New Roman"/>
                <w:szCs w:val="18"/>
              </w:rPr>
              <w:t>▪ Nutrient: total energy intake</w:t>
            </w:r>
          </w:p>
          <w:p w14:paraId="1FF25CE7" w14:textId="77777777" w:rsidR="006A4B42" w:rsidRPr="00420436" w:rsidRDefault="006A4B42" w:rsidP="006A4B42">
            <w:pPr>
              <w:rPr>
                <w:rFonts w:ascii="Times New Roman" w:hAnsi="Times New Roman" w:cs="Times New Roman"/>
                <w:szCs w:val="18"/>
              </w:rPr>
            </w:pPr>
            <w:r w:rsidRPr="00420436">
              <w:rPr>
                <w:rFonts w:ascii="Times New Roman" w:hAnsi="Times New Roman" w:cs="Times New Roman"/>
                <w:szCs w:val="18"/>
              </w:rPr>
              <w:t>▪ Region: Canada excluding the territories</w:t>
            </w:r>
          </w:p>
          <w:p w14:paraId="2FE2C231" w14:textId="77777777" w:rsidR="006A4B42" w:rsidRPr="00420436" w:rsidRDefault="006A4B42" w:rsidP="006A4B42">
            <w:pPr>
              <w:rPr>
                <w:rFonts w:ascii="Times New Roman" w:hAnsi="Times New Roman" w:cs="Times New Roman"/>
                <w:szCs w:val="18"/>
              </w:rPr>
            </w:pPr>
            <w:r w:rsidRPr="00420436">
              <w:rPr>
                <w:rFonts w:ascii="Times New Roman" w:hAnsi="Times New Roman" w:cs="Times New Roman"/>
                <w:szCs w:val="18"/>
              </w:rPr>
              <w:t>▪ Sex: all</w:t>
            </w:r>
          </w:p>
          <w:p w14:paraId="29409517" w14:textId="77777777" w:rsidR="006A4B42" w:rsidRPr="00420436" w:rsidRDefault="006A4B42" w:rsidP="006A4B42">
            <w:pPr>
              <w:rPr>
                <w:rFonts w:ascii="Times New Roman" w:hAnsi="Times New Roman" w:cs="Times New Roman"/>
                <w:szCs w:val="18"/>
              </w:rPr>
            </w:pPr>
            <w:r w:rsidRPr="00420436">
              <w:rPr>
                <w:rFonts w:ascii="Times New Roman" w:hAnsi="Times New Roman" w:cs="Times New Roman"/>
                <w:szCs w:val="18"/>
              </w:rPr>
              <w:t>▪ Age: all</w:t>
            </w:r>
          </w:p>
          <w:p w14:paraId="2DA44B2E" w14:textId="77777777" w:rsidR="006A4B42" w:rsidRPr="00420436" w:rsidRDefault="006A4B42" w:rsidP="0077378E">
            <w:pPr>
              <w:rPr>
                <w:rFonts w:ascii="Times New Roman" w:hAnsi="Times New Roman" w:cs="Times New Roman"/>
                <w:szCs w:val="18"/>
              </w:rPr>
            </w:pPr>
            <w:r w:rsidRPr="00420436">
              <w:rPr>
                <w:rFonts w:ascii="Times New Roman" w:hAnsi="Times New Roman" w:cs="Times New Roman"/>
                <w:szCs w:val="18"/>
              </w:rPr>
              <w:t>▪ Data: all available options (for energy intake: this would only include mean and percentiles)</w:t>
            </w:r>
          </w:p>
        </w:tc>
      </w:tr>
      <w:tr w:rsidR="006A4B42" w:rsidRPr="00420436" w14:paraId="62545FC9" w14:textId="77777777" w:rsidTr="006A4B42">
        <w:tc>
          <w:tcPr>
            <w:tcW w:w="1838" w:type="dxa"/>
          </w:tcPr>
          <w:p w14:paraId="71FA68C5" w14:textId="77777777" w:rsidR="006A4B42" w:rsidRPr="00420436" w:rsidRDefault="006A4B42" w:rsidP="0077378E">
            <w:pPr>
              <w:rPr>
                <w:rFonts w:ascii="Times New Roman" w:hAnsi="Times New Roman" w:cs="Times New Roman"/>
                <w:szCs w:val="18"/>
              </w:rPr>
            </w:pPr>
            <w:r w:rsidRPr="00420436">
              <w:rPr>
                <w:rFonts w:ascii="Times New Roman" w:hAnsi="Times New Roman" w:cs="Times New Roman"/>
                <w:szCs w:val="18"/>
              </w:rPr>
              <w:t>Table title - English</w:t>
            </w:r>
          </w:p>
        </w:tc>
        <w:tc>
          <w:tcPr>
            <w:tcW w:w="7512" w:type="dxa"/>
          </w:tcPr>
          <w:p w14:paraId="2E923186" w14:textId="2C0732F8" w:rsidR="006A4B42" w:rsidRPr="00420436" w:rsidRDefault="006A4B42" w:rsidP="006A4B42">
            <w:pPr>
              <w:rPr>
                <w:rFonts w:ascii="Times New Roman" w:hAnsi="Times New Roman" w:cs="Times New Roman"/>
                <w:szCs w:val="18"/>
              </w:rPr>
            </w:pPr>
            <w:r w:rsidRPr="00420436">
              <w:rPr>
                <w:rFonts w:ascii="Times New Roman" w:hAnsi="Times New Roman" w:cs="Times New Roman"/>
                <w:szCs w:val="18"/>
                <w:highlight w:val="yellow"/>
              </w:rPr>
              <w:t xml:space="preserve">“ </w:t>
            </w:r>
            <w:r w:rsidR="00B845C1" w:rsidRPr="00420436">
              <w:rPr>
                <w:rFonts w:ascii="Times New Roman" w:hAnsi="Times New Roman" w:cs="Times New Roman"/>
                <w:szCs w:val="18"/>
                <w:highlight w:val="yellow"/>
              </w:rPr>
              <w:t>[N</w:t>
            </w:r>
            <w:r w:rsidRPr="00420436">
              <w:rPr>
                <w:rFonts w:ascii="Times New Roman" w:hAnsi="Times New Roman" w:cs="Times New Roman"/>
                <w:szCs w:val="18"/>
                <w:highlight w:val="yellow"/>
              </w:rPr>
              <w:t>utrient]</w:t>
            </w:r>
            <w:r w:rsidR="00B845C1" w:rsidRPr="00420436">
              <w:rPr>
                <w:rFonts w:ascii="Times New Roman" w:hAnsi="Times New Roman" w:cs="Times New Roman"/>
                <w:szCs w:val="18"/>
                <w:highlight w:val="yellow"/>
              </w:rPr>
              <w:t>:</w:t>
            </w:r>
            <w:r w:rsidRPr="00420436">
              <w:rPr>
                <w:rFonts w:ascii="Times New Roman" w:hAnsi="Times New Roman" w:cs="Times New Roman"/>
                <w:szCs w:val="18"/>
                <w:highlight w:val="yellow"/>
              </w:rPr>
              <w:t xml:space="preserve"> </w:t>
            </w:r>
            <w:r w:rsidR="00B845C1" w:rsidRPr="00420436">
              <w:rPr>
                <w:rFonts w:ascii="Times New Roman" w:hAnsi="Times New Roman" w:cs="Times New Roman"/>
                <w:szCs w:val="18"/>
                <w:highlight w:val="yellow"/>
              </w:rPr>
              <w:t xml:space="preserve">Usual </w:t>
            </w:r>
            <w:r w:rsidRPr="00420436">
              <w:rPr>
                <w:rFonts w:ascii="Times New Roman" w:hAnsi="Times New Roman" w:cs="Times New Roman"/>
                <w:szCs w:val="18"/>
                <w:highlight w:val="yellow"/>
              </w:rPr>
              <w:t>intakes from food, [sex], [age], [region], 2015”</w:t>
            </w:r>
            <w:r w:rsidRPr="00420436">
              <w:rPr>
                <w:rStyle w:val="CommentReference"/>
                <w:sz w:val="20"/>
              </w:rPr>
              <w:commentReference w:id="1"/>
            </w:r>
          </w:p>
          <w:p w14:paraId="3982A125" w14:textId="0A09EC89" w:rsidR="006A4B42" w:rsidRPr="00420436" w:rsidRDefault="006A4B42" w:rsidP="006A4B42">
            <w:pPr>
              <w:rPr>
                <w:rFonts w:ascii="Times New Roman" w:hAnsi="Times New Roman" w:cs="Times New Roman"/>
                <w:i/>
                <w:szCs w:val="18"/>
              </w:rPr>
            </w:pPr>
            <w:r w:rsidRPr="00420436">
              <w:rPr>
                <w:rFonts w:ascii="Times New Roman" w:hAnsi="Times New Roman" w:cs="Times New Roman"/>
                <w:i/>
                <w:szCs w:val="18"/>
              </w:rPr>
              <w:t>Example: “</w:t>
            </w:r>
            <w:r w:rsidR="00B845C1" w:rsidRPr="00420436">
              <w:rPr>
                <w:rFonts w:ascii="Times New Roman" w:hAnsi="Times New Roman" w:cs="Times New Roman"/>
                <w:i/>
                <w:szCs w:val="18"/>
              </w:rPr>
              <w:t>S</w:t>
            </w:r>
            <w:r w:rsidRPr="00420436">
              <w:rPr>
                <w:rFonts w:ascii="Times New Roman" w:hAnsi="Times New Roman" w:cs="Times New Roman"/>
                <w:i/>
                <w:szCs w:val="18"/>
              </w:rPr>
              <w:t xml:space="preserve">odium </w:t>
            </w:r>
            <w:r w:rsidR="00B845C1" w:rsidRPr="00420436">
              <w:rPr>
                <w:rFonts w:ascii="Times New Roman" w:hAnsi="Times New Roman" w:cs="Times New Roman"/>
                <w:i/>
                <w:szCs w:val="18"/>
              </w:rPr>
              <w:t xml:space="preserve">(mg/d): Usual </w:t>
            </w:r>
            <w:r w:rsidRPr="00420436">
              <w:rPr>
                <w:rFonts w:ascii="Times New Roman" w:hAnsi="Times New Roman" w:cs="Times New Roman"/>
                <w:i/>
                <w:szCs w:val="18"/>
              </w:rPr>
              <w:t>intakes from food, males, 19-30 years, Alberta, 2015”</w:t>
            </w:r>
          </w:p>
          <w:p w14:paraId="636CDC82" w14:textId="796302F1" w:rsidR="006A4B42" w:rsidRPr="00420436" w:rsidRDefault="006A4B42" w:rsidP="00B845C1">
            <w:pPr>
              <w:rPr>
                <w:rFonts w:ascii="Times New Roman" w:hAnsi="Times New Roman" w:cs="Times New Roman"/>
                <w:i/>
                <w:szCs w:val="18"/>
              </w:rPr>
            </w:pPr>
            <w:r w:rsidRPr="00420436">
              <w:rPr>
                <w:rFonts w:ascii="Times New Roman" w:hAnsi="Times New Roman" w:cs="Times New Roman"/>
                <w:i/>
                <w:szCs w:val="18"/>
              </w:rPr>
              <w:t>Example: “</w:t>
            </w:r>
            <w:r w:rsidR="00B845C1" w:rsidRPr="00420436">
              <w:rPr>
                <w:rFonts w:ascii="Times New Roman" w:hAnsi="Times New Roman" w:cs="Times New Roman"/>
                <w:i/>
                <w:szCs w:val="18"/>
              </w:rPr>
              <w:t>Potassium (mg/d): Usual</w:t>
            </w:r>
            <w:r w:rsidRPr="00420436">
              <w:rPr>
                <w:rFonts w:ascii="Times New Roman" w:hAnsi="Times New Roman" w:cs="Times New Roman"/>
                <w:i/>
                <w:szCs w:val="18"/>
              </w:rPr>
              <w:t xml:space="preserve"> intake</w:t>
            </w:r>
            <w:r w:rsidR="00B845C1" w:rsidRPr="00420436">
              <w:rPr>
                <w:rFonts w:ascii="Times New Roman" w:hAnsi="Times New Roman" w:cs="Times New Roman"/>
                <w:i/>
                <w:szCs w:val="18"/>
              </w:rPr>
              <w:t>s</w:t>
            </w:r>
            <w:r w:rsidRPr="00420436">
              <w:rPr>
                <w:rFonts w:ascii="Times New Roman" w:hAnsi="Times New Roman" w:cs="Times New Roman"/>
                <w:i/>
                <w:szCs w:val="18"/>
              </w:rPr>
              <w:t xml:space="preserve"> from food, males and females, 9-13 years, Canada excluding the territories and Alberta, 2015” </w:t>
            </w:r>
          </w:p>
        </w:tc>
      </w:tr>
      <w:tr w:rsidR="006A4B42" w:rsidRPr="00420436" w14:paraId="49E33C11" w14:textId="77777777" w:rsidTr="006A4B42">
        <w:tc>
          <w:tcPr>
            <w:tcW w:w="1838" w:type="dxa"/>
          </w:tcPr>
          <w:p w14:paraId="59EB85D3" w14:textId="77777777" w:rsidR="006A4B42" w:rsidRPr="00420436" w:rsidRDefault="006A4B42" w:rsidP="0077378E">
            <w:pPr>
              <w:rPr>
                <w:rFonts w:ascii="Times New Roman" w:hAnsi="Times New Roman" w:cs="Times New Roman"/>
                <w:szCs w:val="18"/>
              </w:rPr>
            </w:pPr>
            <w:r w:rsidRPr="00420436">
              <w:rPr>
                <w:rFonts w:ascii="Times New Roman" w:hAnsi="Times New Roman" w:cs="Times New Roman"/>
                <w:szCs w:val="18"/>
              </w:rPr>
              <w:t>Table title – French</w:t>
            </w:r>
          </w:p>
        </w:tc>
        <w:tc>
          <w:tcPr>
            <w:tcW w:w="7512" w:type="dxa"/>
          </w:tcPr>
          <w:p w14:paraId="3B79C765" w14:textId="77777777" w:rsidR="006A4B42" w:rsidRPr="00420436" w:rsidRDefault="006A4B42" w:rsidP="0077378E">
            <w:pPr>
              <w:rPr>
                <w:rFonts w:ascii="Times New Roman" w:hAnsi="Times New Roman" w:cs="Times New Roman"/>
                <w:i/>
                <w:szCs w:val="18"/>
              </w:rPr>
            </w:pPr>
            <w:r w:rsidRPr="00420436">
              <w:rPr>
                <w:rFonts w:ascii="Times New Roman" w:hAnsi="Times New Roman" w:cs="Times New Roman"/>
                <w:i/>
                <w:szCs w:val="18"/>
                <w:highlight w:val="green"/>
              </w:rPr>
              <w:t>To complete once English finalized</w:t>
            </w:r>
          </w:p>
        </w:tc>
      </w:tr>
      <w:tr w:rsidR="006A4B42" w:rsidRPr="00420436" w14:paraId="33FBF23C" w14:textId="77777777" w:rsidTr="006A4B42">
        <w:tc>
          <w:tcPr>
            <w:tcW w:w="1838" w:type="dxa"/>
          </w:tcPr>
          <w:p w14:paraId="1381537F" w14:textId="763FC1B6" w:rsidR="00B845C1" w:rsidRPr="00420436" w:rsidRDefault="00585289" w:rsidP="0077378E">
            <w:pPr>
              <w:rPr>
                <w:rFonts w:ascii="Times New Roman" w:hAnsi="Times New Roman" w:cs="Times New Roman"/>
                <w:szCs w:val="18"/>
              </w:rPr>
            </w:pPr>
            <w:r w:rsidRPr="00420436">
              <w:rPr>
                <w:rFonts w:ascii="Times New Roman" w:hAnsi="Times New Roman" w:cs="Times New Roman"/>
                <w:szCs w:val="18"/>
              </w:rPr>
              <w:t>Table footnotes</w:t>
            </w:r>
            <w:r w:rsidR="00B845C1" w:rsidRPr="00420436">
              <w:rPr>
                <w:rFonts w:ascii="Times New Roman" w:hAnsi="Times New Roman" w:cs="Times New Roman"/>
                <w:szCs w:val="18"/>
              </w:rPr>
              <w:t xml:space="preserve"> - English</w:t>
            </w:r>
          </w:p>
          <w:p w14:paraId="2D8431DE" w14:textId="4B5BD4C7" w:rsidR="006A4B42" w:rsidRPr="00420436" w:rsidRDefault="00B845C1" w:rsidP="00B845C1">
            <w:pPr>
              <w:rPr>
                <w:rFonts w:ascii="Times New Roman" w:hAnsi="Times New Roman" w:cs="Times New Roman"/>
                <w:szCs w:val="18"/>
              </w:rPr>
            </w:pPr>
            <w:r w:rsidRPr="00420436">
              <w:rPr>
                <w:rFonts w:ascii="Times New Roman" w:hAnsi="Times New Roman" w:cs="Times New Roman"/>
                <w:szCs w:val="18"/>
              </w:rPr>
              <w:t xml:space="preserve">[to be included when people download the table] </w:t>
            </w:r>
          </w:p>
        </w:tc>
        <w:tc>
          <w:tcPr>
            <w:tcW w:w="7512" w:type="dxa"/>
          </w:tcPr>
          <w:p w14:paraId="474FB243" w14:textId="6985196E" w:rsidR="006A4B42" w:rsidRPr="00420436" w:rsidRDefault="00B845C1" w:rsidP="00B845C1">
            <w:pPr>
              <w:rPr>
                <w:rFonts w:ascii="Times New Roman" w:hAnsi="Times New Roman" w:cs="Times New Roman"/>
                <w:szCs w:val="18"/>
              </w:rPr>
            </w:pPr>
            <w:r w:rsidRPr="00420436">
              <w:rPr>
                <w:rFonts w:ascii="Times New Roman" w:hAnsi="Times New Roman" w:cs="Times New Roman"/>
                <w:szCs w:val="18"/>
              </w:rPr>
              <w:t>Data Source: Statistics Canada, 2015 Canadian Community Health Survey - Nutrition, 2015, Share File.</w:t>
            </w:r>
          </w:p>
          <w:p w14:paraId="4379D562" w14:textId="78D4DC6B" w:rsidR="00B845C1" w:rsidRPr="00420436" w:rsidRDefault="00B845C1" w:rsidP="00B845C1">
            <w:pPr>
              <w:rPr>
                <w:rFonts w:ascii="Times New Roman" w:hAnsi="Times New Roman" w:cs="Times New Roman"/>
                <w:szCs w:val="18"/>
              </w:rPr>
            </w:pPr>
          </w:p>
        </w:tc>
      </w:tr>
      <w:tr w:rsidR="00B845C1" w:rsidRPr="006137C0" w14:paraId="53124031" w14:textId="77777777" w:rsidTr="006A4B42">
        <w:tc>
          <w:tcPr>
            <w:tcW w:w="1838" w:type="dxa"/>
          </w:tcPr>
          <w:p w14:paraId="5C3F12A9" w14:textId="1502E4C0"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Table footnotes - French</w:t>
            </w:r>
          </w:p>
          <w:p w14:paraId="28F94A9F" w14:textId="7ABBC4F1"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[to be included when people download the table]</w:t>
            </w:r>
          </w:p>
        </w:tc>
        <w:tc>
          <w:tcPr>
            <w:tcW w:w="7512" w:type="dxa"/>
          </w:tcPr>
          <w:p w14:paraId="7EB078AB" w14:textId="6D01B690" w:rsidR="00B845C1" w:rsidRPr="00420436" w:rsidRDefault="00B845C1" w:rsidP="00B845C1">
            <w:pPr>
              <w:rPr>
                <w:rFonts w:ascii="Times New Roman" w:hAnsi="Times New Roman" w:cs="Times New Roman"/>
                <w:szCs w:val="18"/>
                <w:lang w:val="fr-CA"/>
              </w:rPr>
            </w:pPr>
            <w:r w:rsidRPr="00420436">
              <w:rPr>
                <w:rFonts w:ascii="Times New Roman" w:hAnsi="Times New Roman" w:cs="Times New Roman"/>
                <w:szCs w:val="18"/>
                <w:lang w:val="fr-CA"/>
              </w:rPr>
              <w:t>Source des données: Statistique Canada, Enquête sur la santé dans les collectivités canadiennes (ESCC) - Nutrition , 2015 - Fichier partagé.</w:t>
            </w:r>
          </w:p>
        </w:tc>
      </w:tr>
      <w:tr w:rsidR="004E630C" w:rsidRPr="00420436" w14:paraId="2C7F3BCC" w14:textId="77777777" w:rsidTr="006A4B42">
        <w:tc>
          <w:tcPr>
            <w:tcW w:w="1838" w:type="dxa"/>
          </w:tcPr>
          <w:p w14:paraId="4C577ED5" w14:textId="1AE4CC85" w:rsidR="004E630C" w:rsidRPr="00420436" w:rsidRDefault="004E630C" w:rsidP="004E630C">
            <w:pPr>
              <w:rPr>
                <w:rFonts w:ascii="Times New Roman" w:hAnsi="Times New Roman" w:cs="Times New Roman"/>
                <w:szCs w:val="18"/>
              </w:rPr>
            </w:pPr>
            <w:r w:rsidRPr="00420436">
              <w:rPr>
                <w:rFonts w:ascii="Times New Roman" w:hAnsi="Times New Roman" w:cs="Times New Roman"/>
                <w:szCs w:val="18"/>
              </w:rPr>
              <w:t>Notes and Legend - English</w:t>
            </w:r>
          </w:p>
        </w:tc>
        <w:tc>
          <w:tcPr>
            <w:tcW w:w="7512" w:type="dxa"/>
          </w:tcPr>
          <w:p w14:paraId="5C3448DF" w14:textId="4805A061" w:rsidR="0066408B" w:rsidRDefault="0066408B" w:rsidP="001602BC">
            <w:pPr>
              <w:rPr>
                <w:rFonts w:ascii="Times New Roman" w:hAnsi="Times New Roman" w:cs="Times New Roman"/>
                <w:szCs w:val="18"/>
              </w:rPr>
            </w:pPr>
            <w:r>
              <w:rPr>
                <w:rFonts w:ascii="Times New Roman" w:hAnsi="Times New Roman" w:cs="Times New Roman"/>
                <w:szCs w:val="18"/>
              </w:rPr>
              <w:t>Please refer to the “About the data” tab for detailed notes that apply to all of the tables and graphs in the Usual Intake Data Tool.</w:t>
            </w:r>
          </w:p>
          <w:p w14:paraId="53D7D798" w14:textId="77777777" w:rsidR="00983150" w:rsidRDefault="00983150" w:rsidP="001602BC">
            <w:pPr>
              <w:rPr>
                <w:rFonts w:ascii="Times New Roman" w:hAnsi="Times New Roman" w:cs="Times New Roman"/>
                <w:szCs w:val="18"/>
              </w:rPr>
            </w:pPr>
          </w:p>
          <w:p w14:paraId="19E97446" w14:textId="77777777" w:rsidR="001602BC" w:rsidRPr="00420436" w:rsidRDefault="001602BC" w:rsidP="001602BC">
            <w:pPr>
              <w:rPr>
                <w:rFonts w:ascii="Times New Roman" w:hAnsi="Times New Roman" w:cs="Times New Roman"/>
                <w:szCs w:val="18"/>
              </w:rPr>
            </w:pPr>
            <w:r w:rsidRPr="00420436">
              <w:rPr>
                <w:rFonts w:ascii="Times New Roman" w:hAnsi="Times New Roman" w:cs="Times New Roman"/>
                <w:szCs w:val="18"/>
              </w:rPr>
              <w:lastRenderedPageBreak/>
              <w:t>E: Data with a coefficient of variation (CV) from 16.6% to 33.3%</w:t>
            </w:r>
            <w:proofErr w:type="gramStart"/>
            <w:r w:rsidRPr="00420436">
              <w:rPr>
                <w:rFonts w:ascii="Times New Roman" w:hAnsi="Times New Roman" w:cs="Times New Roman"/>
                <w:szCs w:val="18"/>
              </w:rPr>
              <w:t>;</w:t>
            </w:r>
            <w:proofErr w:type="gramEnd"/>
            <w:r w:rsidRPr="00420436">
              <w:rPr>
                <w:rFonts w:ascii="Times New Roman" w:hAnsi="Times New Roman" w:cs="Times New Roman"/>
                <w:szCs w:val="18"/>
              </w:rPr>
              <w:t xml:space="preserve"> interpret with caution. </w:t>
            </w:r>
          </w:p>
          <w:p w14:paraId="2C1E743A" w14:textId="77777777" w:rsidR="001602BC" w:rsidRPr="00420436" w:rsidRDefault="001602BC" w:rsidP="001602BC">
            <w:pPr>
              <w:rPr>
                <w:rFonts w:ascii="Times New Roman" w:hAnsi="Times New Roman" w:cs="Times New Roman"/>
                <w:szCs w:val="18"/>
              </w:rPr>
            </w:pPr>
            <w:r w:rsidRPr="00420436">
              <w:rPr>
                <w:rFonts w:ascii="Times New Roman" w:hAnsi="Times New Roman" w:cs="Times New Roman"/>
                <w:szCs w:val="18"/>
              </w:rPr>
              <w:t>&lt;3: Data with a coefficient of variation (CV) greater than 33.3% with a 95% confidence interval entirely between 0 and 3%; interpret with caution.</w:t>
            </w:r>
          </w:p>
          <w:p w14:paraId="275DA3E6" w14:textId="77777777" w:rsidR="001602BC" w:rsidRPr="00420436" w:rsidRDefault="001602BC" w:rsidP="001602BC">
            <w:pPr>
              <w:rPr>
                <w:rFonts w:ascii="Times New Roman" w:hAnsi="Times New Roman" w:cs="Times New Roman"/>
                <w:szCs w:val="18"/>
              </w:rPr>
            </w:pPr>
            <w:r w:rsidRPr="00420436">
              <w:rPr>
                <w:rFonts w:ascii="Times New Roman" w:hAnsi="Times New Roman" w:cs="Times New Roman"/>
                <w:szCs w:val="18"/>
              </w:rPr>
              <w:t>F: Data with a coefficient of variation (CV) greater than 33.3% with a 95% confidence interval not entirely between 0 and 3%; suppressed due to extreme sampling variability.</w:t>
            </w:r>
          </w:p>
          <w:p w14:paraId="4E656554" w14:textId="77777777" w:rsidR="001602BC" w:rsidRPr="00420436" w:rsidRDefault="001602BC" w:rsidP="001602BC">
            <w:pPr>
              <w:rPr>
                <w:rFonts w:ascii="Times New Roman" w:hAnsi="Times New Roman" w:cs="Times New Roman"/>
                <w:szCs w:val="18"/>
              </w:rPr>
            </w:pPr>
            <w:r w:rsidRPr="00420436">
              <w:rPr>
                <w:rFonts w:ascii="Times New Roman" w:hAnsi="Times New Roman" w:cs="Times New Roman"/>
                <w:szCs w:val="18"/>
              </w:rPr>
              <w:t>AI: Adequate Intake</w:t>
            </w:r>
          </w:p>
          <w:p w14:paraId="22ED18E4" w14:textId="77777777" w:rsidR="001602BC" w:rsidRPr="00420436" w:rsidRDefault="001602BC" w:rsidP="001602BC">
            <w:pPr>
              <w:rPr>
                <w:rFonts w:ascii="Times New Roman" w:hAnsi="Times New Roman" w:cs="Times New Roman"/>
                <w:szCs w:val="18"/>
              </w:rPr>
            </w:pPr>
            <w:r w:rsidRPr="00420436">
              <w:rPr>
                <w:rFonts w:ascii="Times New Roman" w:hAnsi="Times New Roman" w:cs="Times New Roman"/>
                <w:szCs w:val="18"/>
              </w:rPr>
              <w:t>AMDR: Acceptable Macronutrient Distribution Range</w:t>
            </w:r>
          </w:p>
          <w:p w14:paraId="7CE0A057" w14:textId="77777777" w:rsidR="001602BC" w:rsidRPr="00420436" w:rsidRDefault="001602BC" w:rsidP="001602BC">
            <w:pPr>
              <w:rPr>
                <w:rFonts w:ascii="Times New Roman" w:hAnsi="Times New Roman" w:cs="Times New Roman"/>
                <w:szCs w:val="18"/>
              </w:rPr>
            </w:pPr>
            <w:r w:rsidRPr="00420436">
              <w:rPr>
                <w:rFonts w:ascii="Times New Roman" w:hAnsi="Times New Roman" w:cs="Times New Roman"/>
                <w:szCs w:val="18"/>
              </w:rPr>
              <w:t>CDRR : Chronic Disease Risk Reduction Intake Level</w:t>
            </w:r>
          </w:p>
          <w:p w14:paraId="50742EAD" w14:textId="77777777" w:rsidR="001602BC" w:rsidRDefault="001602BC" w:rsidP="001602BC">
            <w:pPr>
              <w:rPr>
                <w:rFonts w:ascii="Times New Roman" w:hAnsi="Times New Roman" w:cs="Times New Roman"/>
                <w:szCs w:val="18"/>
              </w:rPr>
            </w:pPr>
            <w:r>
              <w:rPr>
                <w:rFonts w:ascii="Times New Roman" w:hAnsi="Times New Roman" w:cs="Times New Roman"/>
                <w:szCs w:val="18"/>
              </w:rPr>
              <w:t>d: Day</w:t>
            </w:r>
          </w:p>
          <w:p w14:paraId="142F9378" w14:textId="77777777" w:rsidR="001602BC" w:rsidRDefault="001602BC" w:rsidP="001602BC">
            <w:pPr>
              <w:rPr>
                <w:rFonts w:ascii="Times New Roman" w:hAnsi="Times New Roman" w:cs="Times New Roman"/>
                <w:szCs w:val="18"/>
              </w:rPr>
            </w:pPr>
            <w:r>
              <w:rPr>
                <w:rFonts w:ascii="Times New Roman" w:hAnsi="Times New Roman" w:cs="Times New Roman"/>
                <w:szCs w:val="18"/>
              </w:rPr>
              <w:t>DFE: Dietary folate equivalent</w:t>
            </w:r>
          </w:p>
          <w:p w14:paraId="0039164C" w14:textId="77777777" w:rsidR="001602BC" w:rsidRPr="00420436" w:rsidRDefault="001602BC" w:rsidP="001602BC">
            <w:pPr>
              <w:rPr>
                <w:rFonts w:ascii="Times New Roman" w:hAnsi="Times New Roman" w:cs="Times New Roman"/>
                <w:szCs w:val="18"/>
              </w:rPr>
            </w:pPr>
            <w:r w:rsidRPr="00420436">
              <w:rPr>
                <w:rFonts w:ascii="Times New Roman" w:hAnsi="Times New Roman" w:cs="Times New Roman"/>
                <w:szCs w:val="18"/>
              </w:rPr>
              <w:t>DRI: Dietary Reference Intake</w:t>
            </w:r>
          </w:p>
          <w:p w14:paraId="291921D3" w14:textId="77777777" w:rsidR="001602BC" w:rsidRPr="00420436" w:rsidRDefault="001602BC" w:rsidP="001602BC">
            <w:pPr>
              <w:rPr>
                <w:rFonts w:ascii="Times New Roman" w:hAnsi="Times New Roman" w:cs="Times New Roman"/>
                <w:szCs w:val="18"/>
              </w:rPr>
            </w:pPr>
            <w:r w:rsidRPr="00420436">
              <w:rPr>
                <w:rFonts w:ascii="Times New Roman" w:hAnsi="Times New Roman" w:cs="Times New Roman"/>
                <w:szCs w:val="18"/>
              </w:rPr>
              <w:t>EAR: Estimated Average Requirement</w:t>
            </w:r>
          </w:p>
          <w:p w14:paraId="443368AE" w14:textId="77777777" w:rsidR="001602BC" w:rsidRDefault="001602BC" w:rsidP="001602BC">
            <w:pPr>
              <w:rPr>
                <w:rFonts w:ascii="Times New Roman" w:hAnsi="Times New Roman" w:cs="Times New Roman"/>
                <w:szCs w:val="18"/>
              </w:rPr>
            </w:pPr>
            <w:r>
              <w:rPr>
                <w:rFonts w:ascii="Times New Roman" w:hAnsi="Times New Roman" w:cs="Times New Roman"/>
                <w:szCs w:val="18"/>
              </w:rPr>
              <w:t>g: Gram</w:t>
            </w:r>
          </w:p>
          <w:p w14:paraId="0343B8F3" w14:textId="77777777" w:rsidR="001602BC" w:rsidRDefault="001602BC" w:rsidP="001602BC">
            <w:pPr>
              <w:rPr>
                <w:rFonts w:ascii="Times New Roman" w:hAnsi="Times New Roman" w:cs="Times New Roman"/>
                <w:szCs w:val="18"/>
              </w:rPr>
            </w:pPr>
            <w:r>
              <w:rPr>
                <w:rFonts w:ascii="Times New Roman" w:hAnsi="Times New Roman" w:cs="Times New Roman"/>
                <w:szCs w:val="18"/>
              </w:rPr>
              <w:t>kcal: Kilocalorie</w:t>
            </w:r>
          </w:p>
          <w:p w14:paraId="581AFEAB" w14:textId="77777777" w:rsidR="001602BC" w:rsidRDefault="001602BC" w:rsidP="001602BC">
            <w:pPr>
              <w:rPr>
                <w:rFonts w:ascii="Times New Roman" w:hAnsi="Times New Roman" w:cs="Times New Roman"/>
                <w:szCs w:val="18"/>
              </w:rPr>
            </w:pPr>
            <w:r>
              <w:rPr>
                <w:rFonts w:ascii="Times New Roman" w:hAnsi="Times New Roman" w:cs="Times New Roman"/>
                <w:szCs w:val="18"/>
              </w:rPr>
              <w:t>mcg: Microgram</w:t>
            </w:r>
          </w:p>
          <w:p w14:paraId="1EA8CF66" w14:textId="77777777" w:rsidR="001602BC" w:rsidRDefault="001602BC" w:rsidP="001602BC">
            <w:pPr>
              <w:rPr>
                <w:rFonts w:ascii="Times New Roman" w:hAnsi="Times New Roman" w:cs="Times New Roman"/>
                <w:szCs w:val="18"/>
              </w:rPr>
            </w:pPr>
            <w:r>
              <w:rPr>
                <w:rFonts w:ascii="Times New Roman" w:hAnsi="Times New Roman" w:cs="Times New Roman"/>
                <w:szCs w:val="18"/>
              </w:rPr>
              <w:t>mg: Milligram</w:t>
            </w:r>
          </w:p>
          <w:p w14:paraId="4D294E67" w14:textId="77777777" w:rsidR="001602BC" w:rsidRDefault="001602BC" w:rsidP="001602BC">
            <w:pPr>
              <w:rPr>
                <w:rFonts w:ascii="Times New Roman" w:hAnsi="Times New Roman" w:cs="Times New Roman"/>
                <w:szCs w:val="18"/>
              </w:rPr>
            </w:pPr>
            <w:r>
              <w:rPr>
                <w:rFonts w:ascii="Times New Roman" w:hAnsi="Times New Roman" w:cs="Times New Roman"/>
                <w:szCs w:val="18"/>
              </w:rPr>
              <w:t>NE: Niacin equivalent</w:t>
            </w:r>
          </w:p>
          <w:p w14:paraId="44B190CC" w14:textId="77777777" w:rsidR="001602BC" w:rsidRPr="00420436" w:rsidRDefault="001602BC" w:rsidP="001602BC">
            <w:pPr>
              <w:rPr>
                <w:rFonts w:ascii="Times New Roman" w:hAnsi="Times New Roman" w:cs="Times New Roman"/>
                <w:szCs w:val="18"/>
              </w:rPr>
            </w:pPr>
            <w:r w:rsidRPr="00420436">
              <w:rPr>
                <w:rFonts w:ascii="Times New Roman" w:hAnsi="Times New Roman" w:cs="Times New Roman"/>
                <w:szCs w:val="18"/>
              </w:rPr>
              <w:t>P: Percentile, e.g. 'P95' describes the 95th percentile.</w:t>
            </w:r>
          </w:p>
          <w:p w14:paraId="6B0CB19B" w14:textId="77777777" w:rsidR="001602BC" w:rsidRDefault="001602BC" w:rsidP="001602BC">
            <w:pPr>
              <w:rPr>
                <w:rFonts w:ascii="Times New Roman" w:hAnsi="Times New Roman" w:cs="Times New Roman"/>
                <w:szCs w:val="18"/>
              </w:rPr>
            </w:pPr>
            <w:r>
              <w:rPr>
                <w:rFonts w:ascii="Times New Roman" w:hAnsi="Times New Roman" w:cs="Times New Roman"/>
                <w:szCs w:val="18"/>
              </w:rPr>
              <w:t>RAE: Retinol activity equivalent</w:t>
            </w:r>
          </w:p>
          <w:p w14:paraId="61067CCB" w14:textId="77777777" w:rsidR="001602BC" w:rsidRPr="00420436" w:rsidRDefault="001602BC" w:rsidP="001602BC">
            <w:pPr>
              <w:rPr>
                <w:rFonts w:ascii="Times New Roman" w:hAnsi="Times New Roman" w:cs="Times New Roman"/>
                <w:szCs w:val="18"/>
              </w:rPr>
            </w:pPr>
            <w:r w:rsidRPr="00420436">
              <w:rPr>
                <w:rFonts w:ascii="Times New Roman" w:hAnsi="Times New Roman" w:cs="Times New Roman"/>
                <w:szCs w:val="18"/>
              </w:rPr>
              <w:t>SE: Standard Error</w:t>
            </w:r>
          </w:p>
          <w:p w14:paraId="53A999D4" w14:textId="52846C2A" w:rsidR="004E630C" w:rsidRPr="00420436" w:rsidRDefault="001602BC" w:rsidP="004E630C">
            <w:pPr>
              <w:rPr>
                <w:rFonts w:ascii="Times New Roman" w:hAnsi="Times New Roman" w:cs="Times New Roman"/>
                <w:szCs w:val="18"/>
              </w:rPr>
            </w:pPr>
            <w:r w:rsidRPr="00420436">
              <w:rPr>
                <w:rFonts w:ascii="Times New Roman" w:hAnsi="Times New Roman" w:cs="Times New Roman"/>
                <w:szCs w:val="18"/>
              </w:rPr>
              <w:t>UL: Tolerable Upper Intake Level</w:t>
            </w:r>
          </w:p>
        </w:tc>
      </w:tr>
      <w:tr w:rsidR="004E630C" w:rsidRPr="006137C0" w14:paraId="630EDCE8" w14:textId="77777777" w:rsidTr="006A4B42">
        <w:tc>
          <w:tcPr>
            <w:tcW w:w="1838" w:type="dxa"/>
          </w:tcPr>
          <w:p w14:paraId="2CDF2958" w14:textId="1B6A1670" w:rsidR="004E630C" w:rsidRPr="00420436" w:rsidRDefault="004E630C" w:rsidP="004E630C">
            <w:pPr>
              <w:rPr>
                <w:rFonts w:ascii="Times New Roman" w:hAnsi="Times New Roman" w:cs="Times New Roman"/>
                <w:szCs w:val="18"/>
              </w:rPr>
            </w:pPr>
            <w:r w:rsidRPr="00420436">
              <w:rPr>
                <w:rFonts w:ascii="Times New Roman" w:hAnsi="Times New Roman" w:cs="Times New Roman"/>
                <w:szCs w:val="18"/>
              </w:rPr>
              <w:lastRenderedPageBreak/>
              <w:t>Notes and Legend - French</w:t>
            </w:r>
          </w:p>
        </w:tc>
        <w:tc>
          <w:tcPr>
            <w:tcW w:w="7512" w:type="dxa"/>
          </w:tcPr>
          <w:p w14:paraId="17D7EC99" w14:textId="43069144" w:rsidR="0066408B" w:rsidRDefault="005F4C7D" w:rsidP="001602BC">
            <w:pPr>
              <w:rPr>
                <w:rFonts w:ascii="Times New Roman" w:hAnsi="Times New Roman" w:cs="Times New Roman"/>
                <w:szCs w:val="18"/>
                <w:lang w:val="fr-CA"/>
              </w:rPr>
            </w:pPr>
            <w:r w:rsidRPr="005F4C7D">
              <w:rPr>
                <w:rFonts w:ascii="Times New Roman" w:hAnsi="Times New Roman" w:cs="Times New Roman"/>
                <w:szCs w:val="18"/>
                <w:lang w:val="fr-CA"/>
              </w:rPr>
              <w:t>Ve</w:t>
            </w:r>
            <w:r>
              <w:rPr>
                <w:rFonts w:ascii="Times New Roman" w:hAnsi="Times New Roman" w:cs="Times New Roman"/>
                <w:szCs w:val="18"/>
                <w:lang w:val="fr-CA"/>
              </w:rPr>
              <w:t>uillez référer à l'onglet « A propos des données »</w:t>
            </w:r>
            <w:r w:rsidRPr="005F4C7D">
              <w:rPr>
                <w:rFonts w:ascii="Times New Roman" w:hAnsi="Times New Roman" w:cs="Times New Roman"/>
                <w:szCs w:val="18"/>
                <w:lang w:val="fr-CA"/>
              </w:rPr>
              <w:t xml:space="preserve"> pour des notes détaillées qui s'appliquent à tous les tableaux et graphiques de l'outil de données sur les apports </w:t>
            </w:r>
            <w:r>
              <w:rPr>
                <w:rFonts w:ascii="Times New Roman" w:hAnsi="Times New Roman" w:cs="Times New Roman"/>
                <w:szCs w:val="18"/>
                <w:lang w:val="fr-CA"/>
              </w:rPr>
              <w:t>usuels</w:t>
            </w:r>
            <w:r w:rsidRPr="005F4C7D">
              <w:rPr>
                <w:rFonts w:ascii="Times New Roman" w:hAnsi="Times New Roman" w:cs="Times New Roman"/>
                <w:szCs w:val="18"/>
                <w:lang w:val="fr-CA"/>
              </w:rPr>
              <w:t>.</w:t>
            </w:r>
          </w:p>
          <w:p w14:paraId="23A690D7" w14:textId="77777777" w:rsidR="005F4C7D" w:rsidRPr="005F4C7D" w:rsidRDefault="005F4C7D" w:rsidP="001602BC">
            <w:pPr>
              <w:rPr>
                <w:rFonts w:ascii="Times New Roman" w:hAnsi="Times New Roman" w:cs="Times New Roman"/>
                <w:szCs w:val="18"/>
                <w:lang w:val="fr-CA"/>
              </w:rPr>
            </w:pPr>
          </w:p>
          <w:p w14:paraId="266E62F0" w14:textId="77777777" w:rsidR="001602BC" w:rsidRPr="00420436" w:rsidRDefault="001602BC" w:rsidP="001602BC">
            <w:pPr>
              <w:rPr>
                <w:rFonts w:ascii="Times New Roman" w:hAnsi="Times New Roman" w:cs="Times New Roman"/>
                <w:szCs w:val="18"/>
                <w:lang w:val="fr-CA"/>
              </w:rPr>
            </w:pPr>
            <w:r w:rsidRPr="00420436">
              <w:rPr>
                <w:rFonts w:ascii="Times New Roman" w:hAnsi="Times New Roman" w:cs="Times New Roman"/>
                <w:szCs w:val="18"/>
                <w:lang w:val="fr-CA"/>
              </w:rPr>
              <w:t>E: Données dont le coefficient de variation (CV) se situe entre 16,6% et 33,3%; utiliser avec prudence.</w:t>
            </w:r>
          </w:p>
          <w:p w14:paraId="73D65658" w14:textId="77777777" w:rsidR="001602BC" w:rsidRPr="00420436" w:rsidRDefault="001602BC" w:rsidP="001602BC">
            <w:pPr>
              <w:rPr>
                <w:rFonts w:ascii="Times New Roman" w:hAnsi="Times New Roman" w:cs="Times New Roman"/>
                <w:szCs w:val="18"/>
                <w:lang w:val="fr-CA"/>
              </w:rPr>
            </w:pPr>
            <w:r w:rsidRPr="00420436">
              <w:rPr>
                <w:rFonts w:ascii="Times New Roman" w:hAnsi="Times New Roman" w:cs="Times New Roman"/>
                <w:szCs w:val="18"/>
                <w:lang w:val="fr-CA"/>
              </w:rPr>
              <w:t>&lt;3 : Données dont le coefficient de variation (CV) est supérieur à 33,3%, avec un intervalle de confiance de 95% entièrement compris entre 0 et 3%; utiliser avec prudence.</w:t>
            </w:r>
          </w:p>
          <w:p w14:paraId="00BB60EA" w14:textId="77777777" w:rsidR="001602BC" w:rsidRPr="00420436" w:rsidRDefault="001602BC" w:rsidP="001602BC">
            <w:pPr>
              <w:rPr>
                <w:rFonts w:ascii="Times New Roman" w:hAnsi="Times New Roman" w:cs="Times New Roman"/>
                <w:szCs w:val="18"/>
                <w:lang w:val="fr-CA"/>
              </w:rPr>
            </w:pPr>
            <w:r w:rsidRPr="00420436">
              <w:rPr>
                <w:rFonts w:ascii="Times New Roman" w:hAnsi="Times New Roman" w:cs="Times New Roman"/>
                <w:szCs w:val="18"/>
                <w:lang w:val="fr-CA"/>
              </w:rPr>
              <w:t>F : Données dont le coefficient de variation (CV) est supérieur à 33,3%, avec un intervalle de confiance de 95% pas entièrement compris entre 0 et 3%; supprimées en raison de l'extrême variabilité d'échantillonnage.</w:t>
            </w:r>
          </w:p>
          <w:p w14:paraId="2F8196B3" w14:textId="77777777" w:rsidR="001602BC" w:rsidRPr="00420436" w:rsidRDefault="001602BC" w:rsidP="001602BC">
            <w:pPr>
              <w:rPr>
                <w:rFonts w:ascii="Times New Roman" w:hAnsi="Times New Roman" w:cs="Times New Roman"/>
                <w:szCs w:val="18"/>
                <w:lang w:val="fr-CA"/>
              </w:rPr>
            </w:pPr>
            <w:r w:rsidRPr="00420436">
              <w:rPr>
                <w:rFonts w:ascii="Times New Roman" w:hAnsi="Times New Roman" w:cs="Times New Roman"/>
                <w:szCs w:val="18"/>
                <w:lang w:val="fr-CA"/>
              </w:rPr>
              <w:t>AMT : Apport maximal tolérable</w:t>
            </w:r>
          </w:p>
          <w:p w14:paraId="197F1285" w14:textId="77777777" w:rsidR="001602BC" w:rsidRPr="00420436" w:rsidRDefault="001602BC" w:rsidP="001602BC">
            <w:pPr>
              <w:rPr>
                <w:rFonts w:ascii="Times New Roman" w:hAnsi="Times New Roman" w:cs="Times New Roman"/>
                <w:szCs w:val="18"/>
                <w:lang w:val="fr-CA"/>
              </w:rPr>
            </w:pPr>
            <w:r w:rsidRPr="00420436">
              <w:rPr>
                <w:rFonts w:ascii="Times New Roman" w:hAnsi="Times New Roman" w:cs="Times New Roman"/>
                <w:szCs w:val="18"/>
                <w:lang w:val="fr-CA"/>
              </w:rPr>
              <w:t>ANREF : Apports nutritionnels de référence</w:t>
            </w:r>
          </w:p>
          <w:p w14:paraId="3AF62DDA" w14:textId="77777777" w:rsidR="001602BC" w:rsidRPr="00420436" w:rsidRDefault="001602BC" w:rsidP="001602BC">
            <w:pPr>
              <w:rPr>
                <w:rFonts w:ascii="Times New Roman" w:hAnsi="Times New Roman" w:cs="Times New Roman"/>
                <w:szCs w:val="18"/>
                <w:lang w:val="fr-CA"/>
              </w:rPr>
            </w:pPr>
            <w:r w:rsidRPr="00420436">
              <w:rPr>
                <w:rFonts w:ascii="Times New Roman" w:hAnsi="Times New Roman" w:cs="Times New Roman"/>
                <w:szCs w:val="18"/>
                <w:lang w:val="fr-CA"/>
              </w:rPr>
              <w:t>AS : Apport suffisant</w:t>
            </w:r>
          </w:p>
          <w:p w14:paraId="1149E8DD" w14:textId="77777777" w:rsidR="001602BC" w:rsidRPr="00420436" w:rsidRDefault="001602BC" w:rsidP="001602BC">
            <w:pPr>
              <w:rPr>
                <w:rFonts w:ascii="Times New Roman" w:hAnsi="Times New Roman" w:cs="Times New Roman"/>
                <w:szCs w:val="18"/>
                <w:lang w:val="fr-CA"/>
              </w:rPr>
            </w:pPr>
            <w:r w:rsidRPr="00420436">
              <w:rPr>
                <w:rFonts w:ascii="Times New Roman" w:hAnsi="Times New Roman" w:cs="Times New Roman"/>
                <w:szCs w:val="18"/>
                <w:lang w:val="fr-CA"/>
              </w:rPr>
              <w:t>BME : Besoin moyen estimatif</w:t>
            </w:r>
          </w:p>
          <w:p w14:paraId="5B772E37" w14:textId="77777777" w:rsidR="001602BC" w:rsidRDefault="001602BC" w:rsidP="001602BC">
            <w:pPr>
              <w:rPr>
                <w:rFonts w:ascii="Times New Roman" w:hAnsi="Times New Roman" w:cs="Times New Roman"/>
                <w:szCs w:val="18"/>
                <w:lang w:val="fr-CA"/>
              </w:rPr>
            </w:pPr>
            <w:r w:rsidRPr="00315B4D">
              <w:rPr>
                <w:rFonts w:ascii="Times New Roman" w:hAnsi="Times New Roman" w:cs="Times New Roman"/>
                <w:szCs w:val="18"/>
                <w:lang w:val="fr-CA"/>
              </w:rPr>
              <w:t>ÉAR: Éq</w:t>
            </w:r>
            <w:r>
              <w:rPr>
                <w:rFonts w:ascii="Times New Roman" w:hAnsi="Times New Roman" w:cs="Times New Roman"/>
                <w:szCs w:val="18"/>
                <w:lang w:val="fr-CA"/>
              </w:rPr>
              <w:t>uivalent d’activité du rétinol</w:t>
            </w:r>
          </w:p>
          <w:p w14:paraId="0634DC36" w14:textId="77777777" w:rsidR="001602BC" w:rsidRDefault="001602BC" w:rsidP="001602BC">
            <w:pPr>
              <w:rPr>
                <w:rFonts w:ascii="Times New Roman" w:hAnsi="Times New Roman" w:cs="Times New Roman"/>
                <w:szCs w:val="18"/>
                <w:lang w:val="fr-CA"/>
              </w:rPr>
            </w:pPr>
            <w:r w:rsidRPr="00315B4D">
              <w:rPr>
                <w:rFonts w:ascii="Times New Roman" w:hAnsi="Times New Roman" w:cs="Times New Roman"/>
                <w:szCs w:val="18"/>
                <w:lang w:val="fr-CA"/>
              </w:rPr>
              <w:t>ÉFA: Éq</w:t>
            </w:r>
            <w:r>
              <w:rPr>
                <w:rFonts w:ascii="Times New Roman" w:hAnsi="Times New Roman" w:cs="Times New Roman"/>
                <w:szCs w:val="18"/>
                <w:lang w:val="fr-CA"/>
              </w:rPr>
              <w:t>uivalent de folate alimentaire</w:t>
            </w:r>
          </w:p>
          <w:p w14:paraId="34F0AA22" w14:textId="77777777" w:rsidR="001602BC" w:rsidRDefault="001602BC" w:rsidP="001602BC">
            <w:pPr>
              <w:rPr>
                <w:rFonts w:ascii="Times New Roman" w:hAnsi="Times New Roman" w:cs="Times New Roman"/>
                <w:szCs w:val="18"/>
                <w:lang w:val="fr-CA"/>
              </w:rPr>
            </w:pPr>
            <w:r w:rsidRPr="00315B4D">
              <w:rPr>
                <w:rFonts w:ascii="Times New Roman" w:hAnsi="Times New Roman" w:cs="Times New Roman"/>
                <w:szCs w:val="18"/>
                <w:lang w:val="fr-CA"/>
              </w:rPr>
              <w:t>ÉN: Équivalent de niacine</w:t>
            </w:r>
          </w:p>
          <w:p w14:paraId="0FBB9BC4" w14:textId="77777777" w:rsidR="001602BC" w:rsidRPr="00420436" w:rsidRDefault="001602BC" w:rsidP="001602BC">
            <w:pPr>
              <w:rPr>
                <w:rFonts w:ascii="Times New Roman" w:hAnsi="Times New Roman" w:cs="Times New Roman"/>
                <w:szCs w:val="18"/>
                <w:lang w:val="fr-CA"/>
              </w:rPr>
            </w:pPr>
            <w:r w:rsidRPr="00420436">
              <w:rPr>
                <w:rFonts w:ascii="Times New Roman" w:hAnsi="Times New Roman" w:cs="Times New Roman"/>
                <w:szCs w:val="18"/>
                <w:lang w:val="fr-CA"/>
              </w:rPr>
              <w:t>ET : Erreur type</w:t>
            </w:r>
          </w:p>
          <w:p w14:paraId="2B5377A2" w14:textId="77777777" w:rsidR="001602BC" w:rsidRPr="00420436" w:rsidRDefault="001602BC" w:rsidP="001602BC">
            <w:pPr>
              <w:rPr>
                <w:rFonts w:ascii="Times New Roman" w:hAnsi="Times New Roman" w:cs="Times New Roman"/>
                <w:szCs w:val="18"/>
                <w:lang w:val="fr-CA"/>
              </w:rPr>
            </w:pPr>
            <w:r w:rsidRPr="00420436">
              <w:rPr>
                <w:rFonts w:ascii="Times New Roman" w:hAnsi="Times New Roman" w:cs="Times New Roman"/>
                <w:szCs w:val="18"/>
                <w:lang w:val="fr-CA"/>
              </w:rPr>
              <w:t>ÉVAM : Étendue des valeurs acceptables pour les macronutriments</w:t>
            </w:r>
          </w:p>
          <w:p w14:paraId="3C215BFE" w14:textId="77777777" w:rsidR="001602BC" w:rsidRDefault="001602BC" w:rsidP="001602BC">
            <w:pPr>
              <w:rPr>
                <w:rFonts w:ascii="Times New Roman" w:hAnsi="Times New Roman" w:cs="Times New Roman"/>
                <w:szCs w:val="18"/>
                <w:lang w:val="fr-CA"/>
              </w:rPr>
            </w:pPr>
            <w:proofErr w:type="gramStart"/>
            <w:r>
              <w:rPr>
                <w:rFonts w:ascii="Times New Roman" w:hAnsi="Times New Roman" w:cs="Times New Roman"/>
                <w:szCs w:val="18"/>
                <w:lang w:val="fr-CA"/>
              </w:rPr>
              <w:t>g</w:t>
            </w:r>
            <w:proofErr w:type="gramEnd"/>
            <w:r>
              <w:rPr>
                <w:rFonts w:ascii="Times New Roman" w:hAnsi="Times New Roman" w:cs="Times New Roman"/>
                <w:szCs w:val="18"/>
                <w:lang w:val="fr-CA"/>
              </w:rPr>
              <w:t>: Gramme</w:t>
            </w:r>
          </w:p>
          <w:p w14:paraId="66D2E674" w14:textId="77777777" w:rsidR="001602BC" w:rsidRDefault="001602BC" w:rsidP="001602BC">
            <w:pPr>
              <w:rPr>
                <w:rFonts w:ascii="Times New Roman" w:hAnsi="Times New Roman" w:cs="Times New Roman"/>
                <w:szCs w:val="18"/>
                <w:lang w:val="fr-CA"/>
              </w:rPr>
            </w:pPr>
            <w:proofErr w:type="gramStart"/>
            <w:r>
              <w:rPr>
                <w:rFonts w:ascii="Times New Roman" w:hAnsi="Times New Roman" w:cs="Times New Roman"/>
                <w:szCs w:val="18"/>
                <w:lang w:val="fr-CA"/>
              </w:rPr>
              <w:t>j</w:t>
            </w:r>
            <w:proofErr w:type="gramEnd"/>
            <w:r>
              <w:rPr>
                <w:rFonts w:ascii="Times New Roman" w:hAnsi="Times New Roman" w:cs="Times New Roman"/>
                <w:szCs w:val="18"/>
                <w:lang w:val="fr-CA"/>
              </w:rPr>
              <w:t> : Jour</w:t>
            </w:r>
          </w:p>
          <w:p w14:paraId="43DFDF69" w14:textId="77777777" w:rsidR="001602BC" w:rsidRDefault="001602BC" w:rsidP="001602BC">
            <w:pPr>
              <w:rPr>
                <w:rFonts w:ascii="Times New Roman" w:hAnsi="Times New Roman" w:cs="Times New Roman"/>
                <w:szCs w:val="18"/>
                <w:lang w:val="fr-CA"/>
              </w:rPr>
            </w:pPr>
            <w:proofErr w:type="gramStart"/>
            <w:r w:rsidRPr="00315B4D">
              <w:rPr>
                <w:rFonts w:ascii="Times New Roman" w:hAnsi="Times New Roman" w:cs="Times New Roman"/>
                <w:szCs w:val="18"/>
                <w:lang w:val="fr-CA"/>
              </w:rPr>
              <w:t>kcal</w:t>
            </w:r>
            <w:proofErr w:type="gramEnd"/>
            <w:r w:rsidRPr="00315B4D">
              <w:rPr>
                <w:rFonts w:ascii="Times New Roman" w:hAnsi="Times New Roman" w:cs="Times New Roman"/>
                <w:szCs w:val="18"/>
                <w:lang w:val="fr-CA"/>
              </w:rPr>
              <w:t xml:space="preserve">: </w:t>
            </w:r>
            <w:r>
              <w:rPr>
                <w:rFonts w:ascii="Times New Roman" w:hAnsi="Times New Roman" w:cs="Times New Roman"/>
                <w:szCs w:val="18"/>
                <w:lang w:val="fr-CA"/>
              </w:rPr>
              <w:t>K</w:t>
            </w:r>
            <w:r w:rsidRPr="00315B4D">
              <w:rPr>
                <w:rFonts w:ascii="Times New Roman" w:hAnsi="Times New Roman" w:cs="Times New Roman"/>
                <w:szCs w:val="18"/>
                <w:lang w:val="fr-CA"/>
              </w:rPr>
              <w:t>ilocalorie</w:t>
            </w:r>
          </w:p>
          <w:p w14:paraId="7E8A8EDD" w14:textId="77777777" w:rsidR="001602BC" w:rsidRDefault="001602BC" w:rsidP="001602BC">
            <w:pPr>
              <w:rPr>
                <w:rFonts w:ascii="Times New Roman" w:hAnsi="Times New Roman" w:cs="Times New Roman"/>
                <w:szCs w:val="18"/>
                <w:lang w:val="fr-CA"/>
              </w:rPr>
            </w:pPr>
            <w:proofErr w:type="spellStart"/>
            <w:proofErr w:type="gramStart"/>
            <w:r>
              <w:rPr>
                <w:rFonts w:ascii="Times New Roman" w:hAnsi="Times New Roman" w:cs="Times New Roman"/>
                <w:szCs w:val="18"/>
                <w:lang w:val="fr-CA"/>
              </w:rPr>
              <w:t>mcg</w:t>
            </w:r>
            <w:proofErr w:type="spellEnd"/>
            <w:proofErr w:type="gramEnd"/>
            <w:r>
              <w:rPr>
                <w:rFonts w:ascii="Times New Roman" w:hAnsi="Times New Roman" w:cs="Times New Roman"/>
                <w:szCs w:val="18"/>
                <w:lang w:val="fr-CA"/>
              </w:rPr>
              <w:t> : Microgramme</w:t>
            </w:r>
          </w:p>
          <w:p w14:paraId="2497BEAE" w14:textId="77777777" w:rsidR="001602BC" w:rsidRDefault="001602BC" w:rsidP="001602BC">
            <w:pPr>
              <w:rPr>
                <w:rFonts w:ascii="Times New Roman" w:hAnsi="Times New Roman" w:cs="Times New Roman"/>
                <w:szCs w:val="18"/>
                <w:lang w:val="fr-CA"/>
              </w:rPr>
            </w:pPr>
            <w:proofErr w:type="gramStart"/>
            <w:r>
              <w:rPr>
                <w:rFonts w:ascii="Times New Roman" w:hAnsi="Times New Roman" w:cs="Times New Roman"/>
                <w:szCs w:val="18"/>
                <w:lang w:val="fr-CA"/>
              </w:rPr>
              <w:t>mg</w:t>
            </w:r>
            <w:proofErr w:type="gramEnd"/>
            <w:r>
              <w:rPr>
                <w:rFonts w:ascii="Times New Roman" w:hAnsi="Times New Roman" w:cs="Times New Roman"/>
                <w:szCs w:val="18"/>
                <w:lang w:val="fr-CA"/>
              </w:rPr>
              <w:t> : Milligramme</w:t>
            </w:r>
          </w:p>
          <w:p w14:paraId="6C7ADF91" w14:textId="77777777" w:rsidR="001602BC" w:rsidRPr="00420436" w:rsidRDefault="001602BC" w:rsidP="001602BC">
            <w:pPr>
              <w:rPr>
                <w:rFonts w:ascii="Times New Roman" w:hAnsi="Times New Roman" w:cs="Times New Roman"/>
                <w:szCs w:val="18"/>
                <w:lang w:val="fr-CA"/>
              </w:rPr>
            </w:pPr>
            <w:r w:rsidRPr="00420436">
              <w:rPr>
                <w:rFonts w:ascii="Times New Roman" w:hAnsi="Times New Roman" w:cs="Times New Roman"/>
                <w:szCs w:val="18"/>
                <w:lang w:val="fr-CA"/>
              </w:rPr>
              <w:t xml:space="preserve">P : Percentile, p. ex. “P95” </w:t>
            </w:r>
            <w:proofErr w:type="spellStart"/>
            <w:r w:rsidRPr="00420436">
              <w:rPr>
                <w:rFonts w:ascii="Times New Roman" w:hAnsi="Times New Roman" w:cs="Times New Roman"/>
                <w:szCs w:val="18"/>
                <w:lang w:val="fr-CA"/>
              </w:rPr>
              <w:t>decrit</w:t>
            </w:r>
            <w:proofErr w:type="spellEnd"/>
            <w:r w:rsidRPr="00420436">
              <w:rPr>
                <w:rFonts w:ascii="Times New Roman" w:hAnsi="Times New Roman" w:cs="Times New Roman"/>
                <w:szCs w:val="18"/>
                <w:lang w:val="fr-CA"/>
              </w:rPr>
              <w:t xml:space="preserve"> le 95e percentile.</w:t>
            </w:r>
          </w:p>
          <w:p w14:paraId="0841E585" w14:textId="6DFFAA0D" w:rsidR="004E630C" w:rsidRPr="00420436" w:rsidRDefault="001602BC" w:rsidP="004E630C">
            <w:pPr>
              <w:rPr>
                <w:rFonts w:ascii="Times New Roman" w:hAnsi="Times New Roman" w:cs="Times New Roman"/>
                <w:szCs w:val="18"/>
                <w:lang w:val="fr-CA"/>
              </w:rPr>
            </w:pPr>
            <w:r w:rsidRPr="00420436">
              <w:rPr>
                <w:rFonts w:ascii="Times New Roman" w:hAnsi="Times New Roman" w:cs="Times New Roman"/>
                <w:szCs w:val="18"/>
                <w:lang w:val="fr-CA"/>
              </w:rPr>
              <w:t>RRMC : Apport relié à un risque réduit de maladie chronique</w:t>
            </w:r>
          </w:p>
        </w:tc>
      </w:tr>
      <w:tr w:rsidR="00B53FCD" w:rsidRPr="00B53FCD" w14:paraId="1D1888CC" w14:textId="77777777" w:rsidTr="006A4B42">
        <w:tc>
          <w:tcPr>
            <w:tcW w:w="1838" w:type="dxa"/>
          </w:tcPr>
          <w:p w14:paraId="1549B7FA" w14:textId="2F50D09D" w:rsidR="00B53FCD" w:rsidRPr="00420436" w:rsidRDefault="00B53FCD" w:rsidP="004E630C">
            <w:pPr>
              <w:rPr>
                <w:rFonts w:ascii="Times New Roman" w:hAnsi="Times New Roman" w:cs="Times New Roman"/>
                <w:szCs w:val="18"/>
              </w:rPr>
            </w:pPr>
            <w:r w:rsidRPr="00B53FCD">
              <w:rPr>
                <w:rFonts w:ascii="Times New Roman" w:hAnsi="Times New Roman" w:cs="Times New Roman"/>
                <w:szCs w:val="18"/>
              </w:rPr>
              <w:lastRenderedPageBreak/>
              <w:t>Notes for specific nutrients</w:t>
            </w:r>
          </w:p>
        </w:tc>
        <w:tc>
          <w:tcPr>
            <w:tcW w:w="7512" w:type="dxa"/>
          </w:tcPr>
          <w:p w14:paraId="1F210747" w14:textId="77777777" w:rsidR="00B53FCD" w:rsidRPr="00B53FCD" w:rsidRDefault="00B53FCD" w:rsidP="00B53FCD">
            <w:pPr>
              <w:pStyle w:val="ListParagraph"/>
              <w:numPr>
                <w:ilvl w:val="0"/>
                <w:numId w:val="35"/>
              </w:numPr>
              <w:ind w:left="314" w:hanging="314"/>
              <w:rPr>
                <w:rFonts w:ascii="Times New Roman" w:hAnsi="Times New Roman" w:cs="Times New Roman"/>
                <w:szCs w:val="18"/>
              </w:rPr>
            </w:pPr>
            <w:proofErr w:type="spellStart"/>
            <w:r w:rsidRPr="00B53FCD">
              <w:rPr>
                <w:rFonts w:ascii="Times New Roman" w:hAnsi="Times New Roman" w:cs="Times New Roman"/>
                <w:szCs w:val="18"/>
              </w:rPr>
              <w:t>Folacin</w:t>
            </w:r>
            <w:proofErr w:type="spellEnd"/>
            <w:r w:rsidRPr="00B53FCD">
              <w:rPr>
                <w:rFonts w:ascii="Times New Roman" w:hAnsi="Times New Roman" w:cs="Times New Roman"/>
                <w:szCs w:val="18"/>
              </w:rPr>
              <w:t xml:space="preserve">: There are two chemical forms in foods that contribute to folate bioactivity: </w:t>
            </w:r>
            <w:proofErr w:type="gramStart"/>
            <w:r w:rsidRPr="00B53FCD">
              <w:rPr>
                <w:rFonts w:ascii="Times New Roman" w:hAnsi="Times New Roman" w:cs="Times New Roman"/>
                <w:szCs w:val="18"/>
              </w:rPr>
              <w:t>naturally</w:t>
            </w:r>
            <w:proofErr w:type="gramEnd"/>
            <w:r w:rsidRPr="00B53FCD">
              <w:rPr>
                <w:rFonts w:ascii="Times New Roman" w:hAnsi="Times New Roman" w:cs="Times New Roman"/>
                <w:szCs w:val="18"/>
              </w:rPr>
              <w:t xml:space="preserve"> occurring folate called “food folate” and the added synthetic form of folate called “folic acid”. The term “</w:t>
            </w:r>
            <w:proofErr w:type="spellStart"/>
            <w:r w:rsidRPr="00B53FCD">
              <w:rPr>
                <w:rFonts w:ascii="Times New Roman" w:hAnsi="Times New Roman" w:cs="Times New Roman"/>
                <w:szCs w:val="18"/>
              </w:rPr>
              <w:t>folacin</w:t>
            </w:r>
            <w:proofErr w:type="spellEnd"/>
            <w:r w:rsidRPr="00B53FCD">
              <w:rPr>
                <w:rFonts w:ascii="Times New Roman" w:hAnsi="Times New Roman" w:cs="Times New Roman"/>
                <w:szCs w:val="18"/>
              </w:rPr>
              <w:t>” is a measuring unit referring to the simple arithmetic sum of the content of both food folate and folic acid in foods (in micrograms).</w:t>
            </w:r>
          </w:p>
          <w:p w14:paraId="5120FDEB" w14:textId="5732E6AD" w:rsidR="00B53FCD" w:rsidRPr="00B53FCD" w:rsidRDefault="00B53FCD" w:rsidP="00B53FCD">
            <w:pPr>
              <w:pStyle w:val="ListParagraph"/>
              <w:numPr>
                <w:ilvl w:val="0"/>
                <w:numId w:val="35"/>
              </w:numPr>
              <w:ind w:left="314" w:hanging="314"/>
              <w:rPr>
                <w:rFonts w:ascii="Times New Roman" w:hAnsi="Times New Roman" w:cs="Times New Roman"/>
                <w:szCs w:val="18"/>
              </w:rPr>
            </w:pPr>
            <w:r w:rsidRPr="00B53FCD">
              <w:rPr>
                <w:rFonts w:ascii="Times New Roman" w:hAnsi="Times New Roman" w:cs="Times New Roman"/>
                <w:szCs w:val="18"/>
              </w:rPr>
              <w:t xml:space="preserve">Iron: Iron inadequacy was estimated using the full probability method as described in section 2.3.4 of the </w:t>
            </w:r>
            <w:hyperlink r:id="rId30" w:history="1">
              <w:r w:rsidRPr="00B53FCD">
                <w:rPr>
                  <w:rStyle w:val="Hyperlink"/>
                  <w:rFonts w:ascii="Times New Roman" w:hAnsi="Times New Roman" w:cs="Times New Roman"/>
                  <w:szCs w:val="18"/>
                </w:rPr>
                <w:t>Methodology Guide</w:t>
              </w:r>
            </w:hyperlink>
            <w:r w:rsidRPr="00B53FCD">
              <w:rPr>
                <w:rFonts w:ascii="Times New Roman" w:hAnsi="Times New Roman" w:cs="Times New Roman"/>
                <w:szCs w:val="18"/>
              </w:rPr>
              <w:t>.</w:t>
            </w:r>
          </w:p>
          <w:p w14:paraId="79B9F304" w14:textId="77777777" w:rsidR="00B53FCD" w:rsidRPr="00B53FCD" w:rsidRDefault="00B53FCD" w:rsidP="00B53FCD">
            <w:pPr>
              <w:pStyle w:val="ListParagraph"/>
              <w:numPr>
                <w:ilvl w:val="0"/>
                <w:numId w:val="35"/>
              </w:numPr>
              <w:ind w:left="314" w:hanging="314"/>
              <w:rPr>
                <w:rFonts w:ascii="Times New Roman" w:hAnsi="Times New Roman" w:cs="Times New Roman"/>
                <w:szCs w:val="18"/>
              </w:rPr>
            </w:pPr>
            <w:proofErr w:type="spellStart"/>
            <w:r w:rsidRPr="00B53FCD">
              <w:rPr>
                <w:rFonts w:ascii="Times New Roman" w:hAnsi="Times New Roman" w:cs="Times New Roman"/>
                <w:szCs w:val="18"/>
              </w:rPr>
              <w:t>Linolenic</w:t>
            </w:r>
            <w:proofErr w:type="spellEnd"/>
            <w:r w:rsidRPr="00B53FCD">
              <w:rPr>
                <w:rFonts w:ascii="Times New Roman" w:hAnsi="Times New Roman" w:cs="Times New Roman"/>
                <w:szCs w:val="18"/>
              </w:rPr>
              <w:t xml:space="preserve"> acid: </w:t>
            </w:r>
            <w:proofErr w:type="spellStart"/>
            <w:r w:rsidRPr="00B53FCD">
              <w:rPr>
                <w:rFonts w:ascii="Times New Roman" w:hAnsi="Times New Roman" w:cs="Times New Roman"/>
                <w:szCs w:val="18"/>
              </w:rPr>
              <w:t>Linolenic</w:t>
            </w:r>
            <w:proofErr w:type="spellEnd"/>
            <w:r w:rsidRPr="00B53FCD">
              <w:rPr>
                <w:rFonts w:ascii="Times New Roman" w:hAnsi="Times New Roman" w:cs="Times New Roman"/>
                <w:szCs w:val="18"/>
              </w:rPr>
              <w:t xml:space="preserve"> acid is an alternative name for </w:t>
            </w:r>
            <w:r w:rsidRPr="00B53FCD">
              <w:rPr>
                <w:rFonts w:ascii="Times New Roman" w:hAnsi="Times New Roman" w:cs="Times New Roman"/>
                <w:szCs w:val="18"/>
                <w:lang w:val="fr-CA"/>
              </w:rPr>
              <w:t>α</w:t>
            </w:r>
            <w:r w:rsidRPr="00B53FCD">
              <w:rPr>
                <w:rFonts w:ascii="Times New Roman" w:hAnsi="Times New Roman" w:cs="Times New Roman"/>
                <w:szCs w:val="18"/>
              </w:rPr>
              <w:t>‐</w:t>
            </w:r>
            <w:proofErr w:type="spellStart"/>
            <w:r w:rsidRPr="00B53FCD">
              <w:rPr>
                <w:rFonts w:ascii="Times New Roman" w:hAnsi="Times New Roman" w:cs="Times New Roman"/>
                <w:szCs w:val="18"/>
              </w:rPr>
              <w:t>linolenic</w:t>
            </w:r>
            <w:proofErr w:type="spellEnd"/>
            <w:r w:rsidRPr="00B53FCD">
              <w:rPr>
                <w:rFonts w:ascii="Times New Roman" w:hAnsi="Times New Roman" w:cs="Times New Roman"/>
                <w:szCs w:val="18"/>
              </w:rPr>
              <w:t xml:space="preserve"> acid (n‐3).</w:t>
            </w:r>
          </w:p>
          <w:p w14:paraId="6DACC7B4" w14:textId="77777777" w:rsidR="00B53FCD" w:rsidRPr="00B53FCD" w:rsidRDefault="00B53FCD" w:rsidP="00B53FCD">
            <w:pPr>
              <w:pStyle w:val="ListParagraph"/>
              <w:numPr>
                <w:ilvl w:val="0"/>
                <w:numId w:val="35"/>
              </w:numPr>
              <w:ind w:left="314" w:hanging="314"/>
              <w:rPr>
                <w:rFonts w:ascii="Times New Roman" w:hAnsi="Times New Roman" w:cs="Times New Roman"/>
                <w:szCs w:val="18"/>
              </w:rPr>
            </w:pPr>
            <w:r w:rsidRPr="00B53FCD">
              <w:rPr>
                <w:rFonts w:ascii="Times New Roman" w:hAnsi="Times New Roman" w:cs="Times New Roman"/>
                <w:szCs w:val="18"/>
              </w:rPr>
              <w:t>Moisture: The term “moisture” includes water from all food and beverage sources.</w:t>
            </w:r>
          </w:p>
          <w:p w14:paraId="187629EC" w14:textId="77777777" w:rsidR="00B53FCD" w:rsidRPr="00B53FCD" w:rsidRDefault="00B53FCD" w:rsidP="00B53FCD">
            <w:pPr>
              <w:pStyle w:val="ListParagraph"/>
              <w:numPr>
                <w:ilvl w:val="0"/>
                <w:numId w:val="35"/>
              </w:numPr>
              <w:ind w:left="314" w:hanging="314"/>
              <w:rPr>
                <w:rFonts w:ascii="Times New Roman" w:hAnsi="Times New Roman" w:cs="Times New Roman"/>
                <w:szCs w:val="18"/>
              </w:rPr>
            </w:pPr>
            <w:r w:rsidRPr="00B53FCD">
              <w:rPr>
                <w:rFonts w:ascii="Times New Roman" w:hAnsi="Times New Roman" w:cs="Times New Roman"/>
                <w:szCs w:val="18"/>
              </w:rPr>
              <w:t>Protein: Although DRIs for protein have been established on a “per kg body weight” basis, no DRIs have been established for the absolute amount of protein.</w:t>
            </w:r>
          </w:p>
          <w:p w14:paraId="4823B661" w14:textId="0832FB02" w:rsidR="00B53FCD" w:rsidRPr="00B53FCD" w:rsidRDefault="00B53FCD" w:rsidP="00B53FCD">
            <w:pPr>
              <w:pStyle w:val="ListParagraph"/>
              <w:numPr>
                <w:ilvl w:val="0"/>
                <w:numId w:val="35"/>
              </w:numPr>
              <w:ind w:left="314" w:hanging="314"/>
              <w:rPr>
                <w:rFonts w:ascii="Times New Roman" w:hAnsi="Times New Roman" w:cs="Times New Roman"/>
                <w:szCs w:val="18"/>
              </w:rPr>
            </w:pPr>
            <w:r w:rsidRPr="00B53FCD">
              <w:rPr>
                <w:rFonts w:ascii="Times New Roman" w:hAnsi="Times New Roman" w:cs="Times New Roman"/>
                <w:szCs w:val="18"/>
              </w:rPr>
              <w:t xml:space="preserve">Vitamin A: No </w:t>
            </w:r>
            <w:proofErr w:type="spellStart"/>
            <w:r w:rsidRPr="00B53FCD">
              <w:rPr>
                <w:rFonts w:ascii="Times New Roman" w:hAnsi="Times New Roman" w:cs="Times New Roman"/>
                <w:szCs w:val="18"/>
              </w:rPr>
              <w:t>prevalences</w:t>
            </w:r>
            <w:proofErr w:type="spellEnd"/>
            <w:r w:rsidRPr="00B53FCD">
              <w:rPr>
                <w:rFonts w:ascii="Times New Roman" w:hAnsi="Times New Roman" w:cs="Times New Roman"/>
                <w:szCs w:val="18"/>
              </w:rPr>
              <w:t xml:space="preserve"> of intakes above the UL are shown for vitamin A. The UL for vitamin A applies to preformed vitamin A only, and those estimates had not yet been conducted at the time these tables were produced.</w:t>
            </w:r>
          </w:p>
        </w:tc>
      </w:tr>
      <w:tr w:rsidR="00B53FCD" w:rsidRPr="006137C0" w14:paraId="3C930FE2" w14:textId="77777777" w:rsidTr="006A4B42">
        <w:tc>
          <w:tcPr>
            <w:tcW w:w="1838" w:type="dxa"/>
          </w:tcPr>
          <w:p w14:paraId="33AFA5E0" w14:textId="367999F8" w:rsidR="00B53FCD" w:rsidRPr="00B53FCD" w:rsidRDefault="00B53FCD" w:rsidP="004E630C">
            <w:pPr>
              <w:rPr>
                <w:rFonts w:ascii="Times New Roman" w:hAnsi="Times New Roman" w:cs="Times New Roman"/>
                <w:szCs w:val="18"/>
                <w:lang w:val="fr-CA"/>
              </w:rPr>
            </w:pPr>
            <w:r w:rsidRPr="00B53FCD">
              <w:rPr>
                <w:rFonts w:ascii="Times New Roman" w:hAnsi="Times New Roman" w:cs="Times New Roman"/>
                <w:szCs w:val="18"/>
                <w:lang w:val="fr-CA"/>
              </w:rPr>
              <w:t>Notes relatives aux nutriments spécifiques</w:t>
            </w:r>
          </w:p>
        </w:tc>
        <w:tc>
          <w:tcPr>
            <w:tcW w:w="7512" w:type="dxa"/>
          </w:tcPr>
          <w:p w14:paraId="625C81E3" w14:textId="77777777" w:rsidR="00B53FCD" w:rsidRPr="00B53FCD" w:rsidRDefault="00B53FCD" w:rsidP="00B53FCD">
            <w:pPr>
              <w:pStyle w:val="ListParagraph"/>
              <w:numPr>
                <w:ilvl w:val="0"/>
                <w:numId w:val="36"/>
              </w:numPr>
              <w:ind w:left="314" w:hanging="283"/>
              <w:rPr>
                <w:rFonts w:ascii="Times New Roman" w:hAnsi="Times New Roman" w:cs="Times New Roman"/>
                <w:szCs w:val="18"/>
                <w:lang w:val="fr-CA"/>
              </w:rPr>
            </w:pPr>
            <w:r w:rsidRPr="00B53FCD">
              <w:rPr>
                <w:rFonts w:ascii="Times New Roman" w:hAnsi="Times New Roman" w:cs="Times New Roman"/>
                <w:szCs w:val="18"/>
                <w:lang w:val="fr-CA"/>
              </w:rPr>
              <w:t xml:space="preserve">Acide </w:t>
            </w:r>
            <w:proofErr w:type="spellStart"/>
            <w:r w:rsidRPr="00B53FCD">
              <w:rPr>
                <w:rFonts w:ascii="Times New Roman" w:hAnsi="Times New Roman" w:cs="Times New Roman"/>
                <w:szCs w:val="18"/>
                <w:lang w:val="fr-CA"/>
              </w:rPr>
              <w:t>linolénique</w:t>
            </w:r>
            <w:proofErr w:type="spellEnd"/>
            <w:r w:rsidRPr="00B53FCD">
              <w:rPr>
                <w:rFonts w:ascii="Times New Roman" w:hAnsi="Times New Roman" w:cs="Times New Roman"/>
                <w:szCs w:val="18"/>
                <w:lang w:val="fr-CA"/>
              </w:rPr>
              <w:t xml:space="preserve">: Acide </w:t>
            </w:r>
            <w:proofErr w:type="spellStart"/>
            <w:r w:rsidRPr="00B53FCD">
              <w:rPr>
                <w:rFonts w:ascii="Times New Roman" w:hAnsi="Times New Roman" w:cs="Times New Roman"/>
                <w:szCs w:val="18"/>
                <w:lang w:val="fr-CA"/>
              </w:rPr>
              <w:t>linolénique</w:t>
            </w:r>
            <w:proofErr w:type="spellEnd"/>
            <w:r w:rsidRPr="00B53FCD">
              <w:rPr>
                <w:rFonts w:ascii="Times New Roman" w:hAnsi="Times New Roman" w:cs="Times New Roman"/>
                <w:szCs w:val="18"/>
                <w:lang w:val="fr-CA"/>
              </w:rPr>
              <w:t xml:space="preserve"> est un autre nom pour acide α‐</w:t>
            </w:r>
            <w:proofErr w:type="spellStart"/>
            <w:r w:rsidRPr="00B53FCD">
              <w:rPr>
                <w:rFonts w:ascii="Times New Roman" w:hAnsi="Times New Roman" w:cs="Times New Roman"/>
                <w:szCs w:val="18"/>
                <w:lang w:val="fr-CA"/>
              </w:rPr>
              <w:t>linolénique</w:t>
            </w:r>
            <w:proofErr w:type="spellEnd"/>
            <w:r w:rsidRPr="00B53FCD">
              <w:rPr>
                <w:rFonts w:ascii="Times New Roman" w:hAnsi="Times New Roman" w:cs="Times New Roman"/>
                <w:szCs w:val="18"/>
                <w:lang w:val="fr-CA"/>
              </w:rPr>
              <w:t xml:space="preserve"> (n‐3).</w:t>
            </w:r>
          </w:p>
          <w:p w14:paraId="11EFDC6D" w14:textId="77777777" w:rsidR="00B53FCD" w:rsidRPr="00B53FCD" w:rsidRDefault="00B53FCD" w:rsidP="00B53FCD">
            <w:pPr>
              <w:pStyle w:val="ListParagraph"/>
              <w:numPr>
                <w:ilvl w:val="0"/>
                <w:numId w:val="36"/>
              </w:numPr>
              <w:ind w:left="314" w:hanging="283"/>
              <w:rPr>
                <w:rFonts w:ascii="Times New Roman" w:hAnsi="Times New Roman" w:cs="Times New Roman"/>
                <w:szCs w:val="18"/>
                <w:lang w:val="fr-CA"/>
              </w:rPr>
            </w:pPr>
            <w:r w:rsidRPr="00B53FCD">
              <w:rPr>
                <w:rFonts w:ascii="Times New Roman" w:hAnsi="Times New Roman" w:cs="Times New Roman"/>
                <w:szCs w:val="18"/>
                <w:lang w:val="fr-CA"/>
              </w:rPr>
              <w:t>Eau totale: Le terme « eau totale » inclut l’eau provenant de toutes les sources d’aliments et de boissons.</w:t>
            </w:r>
          </w:p>
          <w:p w14:paraId="39E7F7D9" w14:textId="00D44AFC" w:rsidR="00B53FCD" w:rsidRPr="00B53FCD" w:rsidRDefault="00B53FCD" w:rsidP="00B53FCD">
            <w:pPr>
              <w:pStyle w:val="ListParagraph"/>
              <w:numPr>
                <w:ilvl w:val="0"/>
                <w:numId w:val="36"/>
              </w:numPr>
              <w:ind w:left="314" w:hanging="283"/>
              <w:rPr>
                <w:rFonts w:ascii="Times New Roman" w:hAnsi="Times New Roman" w:cs="Times New Roman"/>
                <w:szCs w:val="18"/>
                <w:lang w:val="fr-CA"/>
              </w:rPr>
            </w:pPr>
            <w:r w:rsidRPr="00B53FCD">
              <w:rPr>
                <w:rFonts w:ascii="Times New Roman" w:hAnsi="Times New Roman" w:cs="Times New Roman"/>
                <w:szCs w:val="18"/>
                <w:lang w:val="fr-CA"/>
              </w:rPr>
              <w:t xml:space="preserve">Fer: L'insuffisance en fer a été estimer à l'aide de la méthode fondée sur les probabilités totales, comme décrit à la section 2.3.4 du </w:t>
            </w:r>
            <w:hyperlink r:id="rId31" w:history="1">
              <w:r w:rsidRPr="00B53FCD">
                <w:rPr>
                  <w:rStyle w:val="Hyperlink"/>
                  <w:rFonts w:ascii="Times New Roman" w:hAnsi="Times New Roman" w:cs="Times New Roman"/>
                  <w:szCs w:val="18"/>
                  <w:lang w:val="fr-CA"/>
                </w:rPr>
                <w:t>document méthodologique</w:t>
              </w:r>
            </w:hyperlink>
            <w:r>
              <w:rPr>
                <w:rFonts w:ascii="Times New Roman" w:hAnsi="Times New Roman" w:cs="Times New Roman"/>
                <w:szCs w:val="18"/>
                <w:lang w:val="fr-CA"/>
              </w:rPr>
              <w:t>.</w:t>
            </w:r>
          </w:p>
          <w:p w14:paraId="131C06CB" w14:textId="77777777" w:rsidR="00B53FCD" w:rsidRPr="00B53FCD" w:rsidRDefault="00B53FCD" w:rsidP="00B53FCD">
            <w:pPr>
              <w:pStyle w:val="ListParagraph"/>
              <w:numPr>
                <w:ilvl w:val="0"/>
                <w:numId w:val="36"/>
              </w:numPr>
              <w:ind w:left="314" w:hanging="283"/>
              <w:rPr>
                <w:rFonts w:ascii="Times New Roman" w:hAnsi="Times New Roman" w:cs="Times New Roman"/>
                <w:szCs w:val="18"/>
                <w:lang w:val="fr-CA"/>
              </w:rPr>
            </w:pPr>
            <w:proofErr w:type="spellStart"/>
            <w:r w:rsidRPr="00B53FCD">
              <w:rPr>
                <w:rFonts w:ascii="Times New Roman" w:hAnsi="Times New Roman" w:cs="Times New Roman"/>
                <w:szCs w:val="18"/>
                <w:lang w:val="fr-CA"/>
              </w:rPr>
              <w:t>Folacine</w:t>
            </w:r>
            <w:proofErr w:type="spellEnd"/>
            <w:r w:rsidRPr="00B53FCD">
              <w:rPr>
                <w:rFonts w:ascii="Times New Roman" w:hAnsi="Times New Roman" w:cs="Times New Roman"/>
                <w:szCs w:val="18"/>
                <w:lang w:val="fr-CA"/>
              </w:rPr>
              <w:t xml:space="preserve">: Dans les aliments qui présentent une teneur en folate, ce dernier prend actuellement deux formes chimiques : le folate alimentaire, c’est à dire le folate d’origine naturelle, et l’acide folique, soit la forme synthétique de folate ajoutée aux aliments. Le terme « </w:t>
            </w:r>
            <w:proofErr w:type="spellStart"/>
            <w:r w:rsidRPr="00B53FCD">
              <w:rPr>
                <w:rFonts w:ascii="Times New Roman" w:hAnsi="Times New Roman" w:cs="Times New Roman"/>
                <w:szCs w:val="18"/>
                <w:lang w:val="fr-CA"/>
              </w:rPr>
              <w:t>folacine</w:t>
            </w:r>
            <w:proofErr w:type="spellEnd"/>
            <w:r w:rsidRPr="00B53FCD">
              <w:rPr>
                <w:rFonts w:ascii="Times New Roman" w:hAnsi="Times New Roman" w:cs="Times New Roman"/>
                <w:szCs w:val="18"/>
                <w:lang w:val="fr-CA"/>
              </w:rPr>
              <w:t xml:space="preserve"> » correspond à une unité de mesure correspondant à la simple somme arithmétique du contenu en folate alimentaire et en acide folique présent dans les aliments, en microgrammes.</w:t>
            </w:r>
          </w:p>
          <w:p w14:paraId="353D4DBF" w14:textId="77777777" w:rsidR="00B53FCD" w:rsidRPr="00B53FCD" w:rsidRDefault="00B53FCD" w:rsidP="00B53FCD">
            <w:pPr>
              <w:pStyle w:val="ListParagraph"/>
              <w:numPr>
                <w:ilvl w:val="0"/>
                <w:numId w:val="36"/>
              </w:numPr>
              <w:ind w:left="314" w:hanging="283"/>
              <w:rPr>
                <w:rFonts w:ascii="Times New Roman" w:hAnsi="Times New Roman" w:cs="Times New Roman"/>
                <w:szCs w:val="18"/>
                <w:lang w:val="fr-CA"/>
              </w:rPr>
            </w:pPr>
            <w:r w:rsidRPr="00B53FCD">
              <w:rPr>
                <w:rFonts w:ascii="Times New Roman" w:hAnsi="Times New Roman" w:cs="Times New Roman"/>
                <w:szCs w:val="18"/>
                <w:lang w:val="fr-CA"/>
              </w:rPr>
              <w:t>Protéines: Bien que des ANREF pour les protéines aient été établis sur la base de la quantité par kg de poids corporel, aucun ANREF a été établi pour les quantités absolues de protéines.</w:t>
            </w:r>
          </w:p>
          <w:p w14:paraId="747B6308" w14:textId="0BDC747A" w:rsidR="00B53FCD" w:rsidRPr="00B53FCD" w:rsidRDefault="00B53FCD" w:rsidP="00B53FCD">
            <w:pPr>
              <w:pStyle w:val="ListParagraph"/>
              <w:numPr>
                <w:ilvl w:val="0"/>
                <w:numId w:val="36"/>
              </w:numPr>
              <w:ind w:left="314" w:hanging="283"/>
              <w:rPr>
                <w:rFonts w:ascii="Times New Roman" w:hAnsi="Times New Roman" w:cs="Times New Roman"/>
                <w:szCs w:val="18"/>
                <w:lang w:val="fr-CA"/>
              </w:rPr>
            </w:pPr>
            <w:r w:rsidRPr="00B53FCD">
              <w:rPr>
                <w:rFonts w:ascii="Times New Roman" w:hAnsi="Times New Roman" w:cs="Times New Roman"/>
                <w:szCs w:val="18"/>
                <w:lang w:val="fr-CA"/>
              </w:rPr>
              <w:t>Vitamine A: Aucune prévalence pour les apports en dessus du AMT n’est calculée pour la vitamine A. Le AMT pour la vitamine A est fixé pour la vitamine A préformée seulement, et ces estimations n’avaient pas encore été faites lorsque ces tableaux ont été produits.</w:t>
            </w:r>
          </w:p>
        </w:tc>
      </w:tr>
      <w:tr w:rsidR="004E630C" w:rsidRPr="00420436" w14:paraId="0CA64B74" w14:textId="77777777" w:rsidTr="006A4B42">
        <w:tc>
          <w:tcPr>
            <w:tcW w:w="1838" w:type="dxa"/>
          </w:tcPr>
          <w:p w14:paraId="673DA570" w14:textId="063F8D11" w:rsidR="004E630C" w:rsidRPr="00420436" w:rsidRDefault="004E630C" w:rsidP="004E630C">
            <w:pPr>
              <w:rPr>
                <w:rFonts w:ascii="Times New Roman" w:hAnsi="Times New Roman" w:cs="Times New Roman"/>
                <w:szCs w:val="18"/>
              </w:rPr>
            </w:pPr>
            <w:r w:rsidRPr="00420436">
              <w:rPr>
                <w:rFonts w:ascii="Times New Roman" w:hAnsi="Times New Roman" w:cs="Times New Roman"/>
                <w:szCs w:val="18"/>
              </w:rPr>
              <w:t>Download options</w:t>
            </w:r>
          </w:p>
        </w:tc>
        <w:tc>
          <w:tcPr>
            <w:tcW w:w="7512" w:type="dxa"/>
          </w:tcPr>
          <w:p w14:paraId="0C4EF071" w14:textId="77777777" w:rsidR="004E630C" w:rsidRPr="00420436" w:rsidRDefault="004E630C" w:rsidP="004E630C">
            <w:pPr>
              <w:rPr>
                <w:rFonts w:ascii="Times New Roman" w:hAnsi="Times New Roman" w:cs="Times New Roman"/>
                <w:szCs w:val="18"/>
              </w:rPr>
            </w:pPr>
            <w:r w:rsidRPr="00420436">
              <w:rPr>
                <w:rFonts w:ascii="Times New Roman" w:hAnsi="Times New Roman" w:cs="Times New Roman"/>
                <w:szCs w:val="18"/>
              </w:rPr>
              <w:t xml:space="preserve">▪ </w:t>
            </w:r>
            <w:r w:rsidRPr="00420436">
              <w:rPr>
                <w:rFonts w:ascii="Times New Roman" w:hAnsi="Times New Roman" w:cs="Times New Roman"/>
                <w:szCs w:val="18"/>
                <w:highlight w:val="yellow"/>
              </w:rPr>
              <w:t>Download table as displayed [would it be possible to download the table as formatted on the webpage and not as an excel file?]</w:t>
            </w:r>
          </w:p>
          <w:p w14:paraId="4300B180" w14:textId="4B6ACFFB" w:rsidR="004E630C" w:rsidRPr="00420436" w:rsidRDefault="004E630C" w:rsidP="004E630C">
            <w:pPr>
              <w:rPr>
                <w:rFonts w:ascii="Times New Roman" w:hAnsi="Times New Roman" w:cs="Times New Roman"/>
                <w:szCs w:val="18"/>
              </w:rPr>
            </w:pPr>
            <w:r w:rsidRPr="00420436">
              <w:rPr>
                <w:rFonts w:ascii="Times New Roman" w:hAnsi="Times New Roman" w:cs="Times New Roman"/>
                <w:szCs w:val="18"/>
              </w:rPr>
              <w:t>▪ Download full dataset</w:t>
            </w:r>
          </w:p>
        </w:tc>
      </w:tr>
    </w:tbl>
    <w:p w14:paraId="6388B545" w14:textId="77777777" w:rsidR="006A4B42" w:rsidRPr="00420436" w:rsidRDefault="006A4B42" w:rsidP="0077378E">
      <w:pPr>
        <w:spacing w:after="0"/>
        <w:rPr>
          <w:rFonts w:ascii="Times New Roman" w:hAnsi="Times New Roman" w:cs="Times New Roman"/>
          <w:szCs w:val="18"/>
        </w:rPr>
      </w:pPr>
    </w:p>
    <w:p w14:paraId="0E9F113B" w14:textId="77777777" w:rsidR="009C2727" w:rsidRPr="00420436" w:rsidRDefault="009C2727" w:rsidP="00F420FB">
      <w:pPr>
        <w:spacing w:after="0"/>
        <w:rPr>
          <w:rFonts w:ascii="Times New Roman" w:hAnsi="Times New Roman" w:cs="Times New Roman"/>
          <w:szCs w:val="18"/>
          <w:u w:val="single"/>
        </w:rPr>
      </w:pPr>
    </w:p>
    <w:p w14:paraId="097C5A47" w14:textId="77777777" w:rsidR="00983150" w:rsidRDefault="00983150">
      <w:pPr>
        <w:rPr>
          <w:rFonts w:ascii="Times New Roman" w:hAnsi="Times New Roman" w:cs="Times New Roman"/>
          <w:szCs w:val="18"/>
          <w:u w:val="single"/>
        </w:rPr>
      </w:pPr>
      <w:r>
        <w:rPr>
          <w:rFonts w:ascii="Times New Roman" w:hAnsi="Times New Roman" w:cs="Times New Roman"/>
          <w:szCs w:val="18"/>
          <w:u w:val="single"/>
        </w:rPr>
        <w:br w:type="page"/>
      </w:r>
    </w:p>
    <w:p w14:paraId="0764ACE6" w14:textId="57D46039" w:rsidR="00F420FB" w:rsidRPr="00420436" w:rsidRDefault="00E47C48" w:rsidP="00F420FB">
      <w:pPr>
        <w:spacing w:after="0"/>
        <w:rPr>
          <w:rFonts w:ascii="Times New Roman" w:hAnsi="Times New Roman" w:cs="Times New Roman"/>
          <w:szCs w:val="18"/>
        </w:rPr>
      </w:pPr>
      <w:r w:rsidRPr="00420436">
        <w:rPr>
          <w:rFonts w:ascii="Times New Roman" w:hAnsi="Times New Roman" w:cs="Times New Roman"/>
          <w:szCs w:val="18"/>
          <w:u w:val="single"/>
        </w:rPr>
        <w:lastRenderedPageBreak/>
        <w:t>Tab</w:t>
      </w:r>
      <w:r w:rsidR="00F420FB" w:rsidRPr="00420436">
        <w:rPr>
          <w:rFonts w:ascii="Times New Roman" w:hAnsi="Times New Roman" w:cs="Times New Roman"/>
          <w:szCs w:val="18"/>
          <w:u w:val="single"/>
        </w:rPr>
        <w:t xml:space="preserve"> #</w:t>
      </w:r>
      <w:r w:rsidR="00D3397A">
        <w:rPr>
          <w:rFonts w:ascii="Times New Roman" w:hAnsi="Times New Roman" w:cs="Times New Roman"/>
          <w:szCs w:val="18"/>
          <w:u w:val="single"/>
        </w:rPr>
        <w:t>3</w:t>
      </w:r>
      <w:r w:rsidR="00F420FB" w:rsidRPr="00420436">
        <w:rPr>
          <w:rFonts w:ascii="Times New Roman" w:hAnsi="Times New Roman" w:cs="Times New Roman"/>
          <w:szCs w:val="18"/>
          <w:u w:val="single"/>
        </w:rPr>
        <w:t xml:space="preserve"> – </w:t>
      </w:r>
      <w:r w:rsidRPr="00420436">
        <w:rPr>
          <w:rFonts w:ascii="Times New Roman" w:hAnsi="Times New Roman" w:cs="Times New Roman"/>
          <w:szCs w:val="18"/>
          <w:u w:val="single"/>
        </w:rPr>
        <w:t>Usual intake distribution curves</w:t>
      </w:r>
      <w:r w:rsidR="00B845C1" w:rsidRPr="00420436">
        <w:rPr>
          <w:rFonts w:ascii="Times New Roman" w:hAnsi="Times New Roman" w:cs="Times New Roman"/>
          <w:szCs w:val="18"/>
          <w:u w:val="single"/>
        </w:rPr>
        <w:t>:</w:t>
      </w:r>
      <w:r w:rsidR="00B845C1" w:rsidRPr="00420436">
        <w:rPr>
          <w:rFonts w:ascii="Times New Roman" w:hAnsi="Times New Roman" w:cs="Times New Roman"/>
          <w:i/>
          <w:szCs w:val="18"/>
        </w:rPr>
        <w:t xml:space="preserve"> </w:t>
      </w:r>
      <w:r w:rsidR="00B845C1" w:rsidRPr="00420436">
        <w:rPr>
          <w:rFonts w:ascii="Times New Roman" w:hAnsi="Times New Roman" w:cs="Times New Roman"/>
          <w:szCs w:val="18"/>
        </w:rPr>
        <w:t xml:space="preserve">The objective of this tool is to enable users visualize the distribution of intakes of nutrients of public health concern and easily see where intakes fall related to Dietary Reference Intakes. </w:t>
      </w:r>
      <w:proofErr w:type="gramStart"/>
      <w:r w:rsidR="00B845C1" w:rsidRPr="00420436">
        <w:rPr>
          <w:rFonts w:ascii="Times New Roman" w:hAnsi="Times New Roman" w:cs="Times New Roman"/>
          <w:szCs w:val="18"/>
        </w:rPr>
        <w:t>A rough idea</w:t>
      </w:r>
      <w:proofErr w:type="gramEnd"/>
      <w:r w:rsidR="00B845C1" w:rsidRPr="00420436">
        <w:rPr>
          <w:rFonts w:ascii="Times New Roman" w:hAnsi="Times New Roman" w:cs="Times New Roman"/>
          <w:szCs w:val="18"/>
        </w:rPr>
        <w:t xml:space="preserve"> of what the graph should look like is coped below:</w:t>
      </w:r>
    </w:p>
    <w:p w14:paraId="383C6090" w14:textId="4B2368CF" w:rsidR="00B845C1" w:rsidRPr="00420436" w:rsidRDefault="00B845C1" w:rsidP="00F420FB">
      <w:pPr>
        <w:spacing w:after="0"/>
        <w:rPr>
          <w:rFonts w:ascii="Times New Roman" w:hAnsi="Times New Roman" w:cs="Times New Roman"/>
          <w:szCs w:val="18"/>
        </w:rPr>
      </w:pPr>
      <w:r w:rsidRPr="00420436">
        <w:rPr>
          <w:noProof/>
          <w:sz w:val="28"/>
          <w:lang w:eastAsia="en-CA"/>
        </w:rPr>
        <w:drawing>
          <wp:inline distT="0" distB="0" distL="0" distR="0" wp14:anchorId="28789E80" wp14:editId="36654B0C">
            <wp:extent cx="5023704" cy="2830664"/>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3587" cy="2836233"/>
                    </a:xfrm>
                    <a:prstGeom prst="rect">
                      <a:avLst/>
                    </a:prstGeom>
                  </pic:spPr>
                </pic:pic>
              </a:graphicData>
            </a:graphic>
          </wp:inline>
        </w:drawing>
      </w:r>
    </w:p>
    <w:p w14:paraId="3C49AA54" w14:textId="77777777" w:rsidR="00F420FB" w:rsidRPr="00420436" w:rsidRDefault="00F420FB" w:rsidP="00F420FB">
      <w:pPr>
        <w:spacing w:after="0"/>
        <w:rPr>
          <w:rFonts w:ascii="Times New Roman" w:hAnsi="Times New Roman" w:cs="Times New Roman"/>
          <w:szCs w:val="18"/>
        </w:rPr>
      </w:pPr>
    </w:p>
    <w:tbl>
      <w:tblPr>
        <w:tblStyle w:val="TableGrid"/>
        <w:tblW w:w="0" w:type="auto"/>
        <w:tblLook w:val="04A0" w:firstRow="1" w:lastRow="0" w:firstColumn="1" w:lastColumn="0" w:noHBand="0" w:noVBand="1"/>
      </w:tblPr>
      <w:tblGrid>
        <w:gridCol w:w="1838"/>
        <w:gridCol w:w="7512"/>
      </w:tblGrid>
      <w:tr w:rsidR="006A4B42" w:rsidRPr="00420436" w14:paraId="2AD187C1" w14:textId="77777777" w:rsidTr="00CA2B3F">
        <w:tc>
          <w:tcPr>
            <w:tcW w:w="1838" w:type="dxa"/>
          </w:tcPr>
          <w:p w14:paraId="711829E3" w14:textId="42A0210B" w:rsidR="006A4B42" w:rsidRPr="00420436" w:rsidRDefault="00B845C1" w:rsidP="00CA2B3F">
            <w:pPr>
              <w:rPr>
                <w:rFonts w:ascii="Times New Roman" w:hAnsi="Times New Roman" w:cs="Times New Roman"/>
                <w:szCs w:val="18"/>
              </w:rPr>
            </w:pPr>
            <w:commentRangeStart w:id="2"/>
            <w:r w:rsidRPr="00420436">
              <w:rPr>
                <w:rFonts w:ascii="Times New Roman" w:hAnsi="Times New Roman" w:cs="Times New Roman"/>
                <w:szCs w:val="18"/>
              </w:rPr>
              <w:t>Data files</w:t>
            </w:r>
            <w:commentRangeEnd w:id="2"/>
            <w:r w:rsidRPr="00420436">
              <w:rPr>
                <w:rStyle w:val="CommentReference"/>
                <w:sz w:val="20"/>
              </w:rPr>
              <w:commentReference w:id="2"/>
            </w:r>
          </w:p>
        </w:tc>
        <w:tc>
          <w:tcPr>
            <w:tcW w:w="7512" w:type="dxa"/>
          </w:tcPr>
          <w:p w14:paraId="3ECEFEFD" w14:textId="77777777" w:rsidR="006A4B42" w:rsidRPr="00420436" w:rsidRDefault="006A4B42" w:rsidP="006A4B42">
            <w:pPr>
              <w:rPr>
                <w:rFonts w:ascii="Times New Roman" w:hAnsi="Times New Roman" w:cs="Times New Roman"/>
                <w:szCs w:val="18"/>
              </w:rPr>
            </w:pPr>
          </w:p>
          <w:p w14:paraId="470BCD58" w14:textId="1420865B" w:rsidR="00B845C1" w:rsidRPr="00420436" w:rsidRDefault="00B845C1" w:rsidP="006A4B42">
            <w:pPr>
              <w:rPr>
                <w:rFonts w:ascii="Times New Roman" w:hAnsi="Times New Roman" w:cs="Times New Roman"/>
                <w:szCs w:val="18"/>
              </w:rPr>
            </w:pPr>
          </w:p>
        </w:tc>
      </w:tr>
      <w:tr w:rsidR="005D2A2E" w:rsidRPr="00420436" w14:paraId="3FD8E90C" w14:textId="77777777" w:rsidTr="00CA2B3F">
        <w:tc>
          <w:tcPr>
            <w:tcW w:w="1838" w:type="dxa"/>
          </w:tcPr>
          <w:p w14:paraId="4351C856" w14:textId="77777777" w:rsidR="005D2A2E" w:rsidRPr="00420436" w:rsidRDefault="005D2A2E" w:rsidP="00CA2B3F">
            <w:pPr>
              <w:rPr>
                <w:rFonts w:ascii="Times New Roman" w:hAnsi="Times New Roman" w:cs="Times New Roman"/>
                <w:szCs w:val="18"/>
              </w:rPr>
            </w:pPr>
            <w:r w:rsidRPr="00420436">
              <w:rPr>
                <w:rFonts w:ascii="Times New Roman" w:hAnsi="Times New Roman" w:cs="Times New Roman"/>
                <w:szCs w:val="18"/>
              </w:rPr>
              <w:t>Tab title</w:t>
            </w:r>
          </w:p>
        </w:tc>
        <w:tc>
          <w:tcPr>
            <w:tcW w:w="7512" w:type="dxa"/>
          </w:tcPr>
          <w:p w14:paraId="337F6130" w14:textId="77777777" w:rsidR="005D2A2E" w:rsidRPr="00420436" w:rsidRDefault="005D2A2E" w:rsidP="006A4B42">
            <w:pPr>
              <w:rPr>
                <w:rFonts w:ascii="Times New Roman" w:hAnsi="Times New Roman" w:cs="Times New Roman"/>
                <w:szCs w:val="18"/>
              </w:rPr>
            </w:pPr>
            <w:r w:rsidRPr="00420436">
              <w:rPr>
                <w:rFonts w:ascii="Times New Roman" w:hAnsi="Times New Roman" w:cs="Times New Roman"/>
                <w:szCs w:val="18"/>
              </w:rPr>
              <w:t>ENGLISH: Usual intake distribution curves</w:t>
            </w:r>
          </w:p>
          <w:p w14:paraId="38C02F07" w14:textId="77777777" w:rsidR="005D2A2E" w:rsidRPr="00420436" w:rsidRDefault="005D2A2E" w:rsidP="006A4B42">
            <w:pPr>
              <w:rPr>
                <w:rFonts w:ascii="Times New Roman" w:hAnsi="Times New Roman" w:cs="Times New Roman"/>
                <w:szCs w:val="18"/>
                <w:lang w:val="fr-CA"/>
              </w:rPr>
            </w:pPr>
            <w:r w:rsidRPr="00420436">
              <w:rPr>
                <w:rFonts w:ascii="Times New Roman" w:hAnsi="Times New Roman" w:cs="Times New Roman"/>
                <w:szCs w:val="18"/>
                <w:lang w:val="fr-CA"/>
              </w:rPr>
              <w:t>FRENCH: Courbes de distribution de l’apport usuel</w:t>
            </w:r>
          </w:p>
        </w:tc>
      </w:tr>
      <w:tr w:rsidR="006A4B42" w:rsidRPr="00420436" w14:paraId="0E33712B" w14:textId="77777777" w:rsidTr="00CA2B3F">
        <w:tc>
          <w:tcPr>
            <w:tcW w:w="1838" w:type="dxa"/>
          </w:tcPr>
          <w:p w14:paraId="7F715277" w14:textId="77777777" w:rsidR="006A4B42" w:rsidRPr="00420436" w:rsidRDefault="006A4B42" w:rsidP="00CA2B3F">
            <w:pPr>
              <w:rPr>
                <w:rFonts w:ascii="Times New Roman" w:hAnsi="Times New Roman" w:cs="Times New Roman"/>
                <w:szCs w:val="18"/>
              </w:rPr>
            </w:pPr>
            <w:r w:rsidRPr="00420436">
              <w:rPr>
                <w:rFonts w:ascii="Times New Roman" w:hAnsi="Times New Roman" w:cs="Times New Roman"/>
                <w:szCs w:val="18"/>
              </w:rPr>
              <w:t>Selectable field</w:t>
            </w:r>
            <w:r w:rsidR="00585289" w:rsidRPr="00420436">
              <w:rPr>
                <w:rFonts w:ascii="Times New Roman" w:hAnsi="Times New Roman" w:cs="Times New Roman"/>
                <w:szCs w:val="18"/>
              </w:rPr>
              <w:t>s</w:t>
            </w:r>
          </w:p>
        </w:tc>
        <w:tc>
          <w:tcPr>
            <w:tcW w:w="7512" w:type="dxa"/>
          </w:tcPr>
          <w:p w14:paraId="397588A8" w14:textId="519CF51D" w:rsidR="006A4B42" w:rsidRPr="00420436" w:rsidRDefault="006A4B42" w:rsidP="006A4B42">
            <w:pPr>
              <w:rPr>
                <w:rFonts w:ascii="Times New Roman" w:hAnsi="Times New Roman" w:cs="Times New Roman"/>
                <w:szCs w:val="18"/>
              </w:rPr>
            </w:pPr>
            <w:r w:rsidRPr="00420436">
              <w:rPr>
                <w:rFonts w:ascii="Times New Roman" w:hAnsi="Times New Roman" w:cs="Times New Roman"/>
                <w:szCs w:val="18"/>
              </w:rPr>
              <w:t xml:space="preserve">▪ </w:t>
            </w:r>
            <w:r w:rsidR="00B845C1" w:rsidRPr="00420436">
              <w:rPr>
                <w:rFonts w:ascii="Times New Roman" w:hAnsi="Times New Roman" w:cs="Times New Roman"/>
                <w:szCs w:val="18"/>
              </w:rPr>
              <w:t>Nutrient</w:t>
            </w:r>
            <w:r w:rsidRPr="00420436">
              <w:rPr>
                <w:rFonts w:ascii="Times New Roman" w:hAnsi="Times New Roman" w:cs="Times New Roman"/>
                <w:szCs w:val="18"/>
              </w:rPr>
              <w:t xml:space="preserve"> </w:t>
            </w:r>
            <w:r w:rsidR="00B845C1" w:rsidRPr="00420436">
              <w:rPr>
                <w:rFonts w:ascii="Times New Roman" w:hAnsi="Times New Roman" w:cs="Times New Roman"/>
                <w:szCs w:val="18"/>
              </w:rPr>
              <w:sym w:font="Wingdings" w:char="F0E0"/>
            </w:r>
            <w:r w:rsidR="00B845C1" w:rsidRPr="00420436">
              <w:rPr>
                <w:rFonts w:ascii="Times New Roman" w:hAnsi="Times New Roman" w:cs="Times New Roman"/>
                <w:szCs w:val="18"/>
              </w:rPr>
              <w:t xml:space="preserve"> limited to selecting only one</w:t>
            </w:r>
          </w:p>
          <w:p w14:paraId="2A9C1A70" w14:textId="77777777" w:rsidR="00B845C1" w:rsidRPr="00420436" w:rsidRDefault="006A4B42" w:rsidP="006A4B42">
            <w:pPr>
              <w:rPr>
                <w:rFonts w:ascii="Times New Roman" w:hAnsi="Times New Roman" w:cs="Times New Roman"/>
                <w:szCs w:val="18"/>
              </w:rPr>
            </w:pPr>
            <w:r w:rsidRPr="00420436">
              <w:rPr>
                <w:rFonts w:ascii="Times New Roman" w:hAnsi="Times New Roman" w:cs="Times New Roman"/>
                <w:szCs w:val="18"/>
              </w:rPr>
              <w:t xml:space="preserve">▪ </w:t>
            </w:r>
            <w:r w:rsidR="00B845C1" w:rsidRPr="00420436">
              <w:rPr>
                <w:rFonts w:ascii="Times New Roman" w:hAnsi="Times New Roman" w:cs="Times New Roman"/>
                <w:szCs w:val="18"/>
              </w:rPr>
              <w:t xml:space="preserve">Sex </w:t>
            </w:r>
            <w:r w:rsidR="00B845C1" w:rsidRPr="00420436">
              <w:rPr>
                <w:rFonts w:ascii="Times New Roman" w:hAnsi="Times New Roman" w:cs="Times New Roman"/>
                <w:szCs w:val="18"/>
              </w:rPr>
              <w:sym w:font="Wingdings" w:char="F0E0"/>
            </w:r>
            <w:r w:rsidR="00B845C1" w:rsidRPr="00420436">
              <w:rPr>
                <w:rFonts w:ascii="Times New Roman" w:hAnsi="Times New Roman" w:cs="Times New Roman"/>
                <w:szCs w:val="18"/>
              </w:rPr>
              <w:t xml:space="preserve"> limited to selecting only one </w:t>
            </w:r>
          </w:p>
          <w:p w14:paraId="7519CF22" w14:textId="0FDF8919" w:rsidR="006A4B42" w:rsidRPr="00420436" w:rsidRDefault="006A4B42" w:rsidP="006A4B42">
            <w:pPr>
              <w:rPr>
                <w:rFonts w:ascii="Times New Roman" w:hAnsi="Times New Roman" w:cs="Times New Roman"/>
                <w:szCs w:val="18"/>
              </w:rPr>
            </w:pPr>
            <w:r w:rsidRPr="00420436">
              <w:rPr>
                <w:rFonts w:ascii="Times New Roman" w:hAnsi="Times New Roman" w:cs="Times New Roman"/>
                <w:szCs w:val="18"/>
              </w:rPr>
              <w:t xml:space="preserve">▪ </w:t>
            </w:r>
            <w:r w:rsidR="00B845C1" w:rsidRPr="00420436">
              <w:rPr>
                <w:rFonts w:ascii="Times New Roman" w:hAnsi="Times New Roman" w:cs="Times New Roman"/>
                <w:szCs w:val="18"/>
              </w:rPr>
              <w:t>Age</w:t>
            </w:r>
            <w:r w:rsidRPr="00420436">
              <w:rPr>
                <w:rFonts w:ascii="Times New Roman" w:hAnsi="Times New Roman" w:cs="Times New Roman"/>
                <w:szCs w:val="18"/>
              </w:rPr>
              <w:t xml:space="preserve"> </w:t>
            </w:r>
            <w:r w:rsidR="00B845C1" w:rsidRPr="00420436">
              <w:rPr>
                <w:rFonts w:ascii="Times New Roman" w:hAnsi="Times New Roman" w:cs="Times New Roman"/>
                <w:szCs w:val="18"/>
              </w:rPr>
              <w:sym w:font="Wingdings" w:char="F0E0"/>
            </w:r>
            <w:r w:rsidR="00B845C1" w:rsidRPr="00420436">
              <w:rPr>
                <w:rFonts w:ascii="Times New Roman" w:hAnsi="Times New Roman" w:cs="Times New Roman"/>
                <w:szCs w:val="18"/>
              </w:rPr>
              <w:t xml:space="preserve"> limited to selecting only one</w:t>
            </w:r>
          </w:p>
          <w:p w14:paraId="7A2C3D2A" w14:textId="1619C159" w:rsidR="006A4B42" w:rsidRPr="00420436" w:rsidRDefault="006A4B42" w:rsidP="00585289">
            <w:pPr>
              <w:rPr>
                <w:rFonts w:ascii="Times New Roman" w:hAnsi="Times New Roman" w:cs="Times New Roman"/>
                <w:szCs w:val="18"/>
              </w:rPr>
            </w:pPr>
            <w:r w:rsidRPr="00420436">
              <w:rPr>
                <w:rFonts w:ascii="Times New Roman" w:hAnsi="Times New Roman" w:cs="Times New Roman"/>
                <w:szCs w:val="18"/>
              </w:rPr>
              <w:t xml:space="preserve">▪ </w:t>
            </w:r>
            <w:r w:rsidR="00B845C1" w:rsidRPr="00420436">
              <w:rPr>
                <w:rFonts w:ascii="Times New Roman" w:hAnsi="Times New Roman" w:cs="Times New Roman"/>
                <w:szCs w:val="18"/>
              </w:rPr>
              <w:t>Option</w:t>
            </w:r>
            <w:r w:rsidRPr="00420436">
              <w:rPr>
                <w:rFonts w:ascii="Times New Roman" w:hAnsi="Times New Roman" w:cs="Times New Roman"/>
                <w:szCs w:val="18"/>
              </w:rPr>
              <w:t xml:space="preserve"> to add or remove the Dietary Reference Intake values from the graph</w:t>
            </w:r>
          </w:p>
        </w:tc>
      </w:tr>
      <w:tr w:rsidR="006A4B42" w:rsidRPr="00420436" w14:paraId="079C83E2" w14:textId="77777777" w:rsidTr="00CA2B3F">
        <w:tc>
          <w:tcPr>
            <w:tcW w:w="1838" w:type="dxa"/>
          </w:tcPr>
          <w:p w14:paraId="66892A4D" w14:textId="77777777" w:rsidR="006A4B42" w:rsidRPr="00420436" w:rsidRDefault="006A4B42" w:rsidP="00CA2B3F">
            <w:pPr>
              <w:rPr>
                <w:rFonts w:ascii="Times New Roman" w:hAnsi="Times New Roman" w:cs="Times New Roman"/>
                <w:szCs w:val="18"/>
              </w:rPr>
            </w:pPr>
            <w:r w:rsidRPr="00420436">
              <w:rPr>
                <w:rFonts w:ascii="Times New Roman" w:hAnsi="Times New Roman" w:cs="Times New Roman"/>
                <w:szCs w:val="18"/>
              </w:rPr>
              <w:t>Default selection</w:t>
            </w:r>
          </w:p>
        </w:tc>
        <w:tc>
          <w:tcPr>
            <w:tcW w:w="7512" w:type="dxa"/>
          </w:tcPr>
          <w:p w14:paraId="3728C834" w14:textId="77777777" w:rsidR="006A4B42" w:rsidRPr="00420436" w:rsidRDefault="006A4B42" w:rsidP="006A4B42">
            <w:pPr>
              <w:rPr>
                <w:rFonts w:ascii="Times New Roman" w:hAnsi="Times New Roman" w:cs="Times New Roman"/>
                <w:szCs w:val="18"/>
              </w:rPr>
            </w:pPr>
            <w:r w:rsidRPr="00420436">
              <w:rPr>
                <w:rFonts w:ascii="Times New Roman" w:hAnsi="Times New Roman" w:cs="Times New Roman"/>
                <w:szCs w:val="18"/>
              </w:rPr>
              <w:t>▪ Nutrient: total energy intake</w:t>
            </w:r>
          </w:p>
          <w:p w14:paraId="329552E0" w14:textId="77777777" w:rsidR="006A4B42" w:rsidRPr="00420436" w:rsidRDefault="006A4B42" w:rsidP="006A4B42">
            <w:pPr>
              <w:rPr>
                <w:rFonts w:ascii="Times New Roman" w:hAnsi="Times New Roman" w:cs="Times New Roman"/>
                <w:szCs w:val="18"/>
              </w:rPr>
            </w:pPr>
            <w:r w:rsidRPr="00420436">
              <w:rPr>
                <w:rFonts w:ascii="Times New Roman" w:hAnsi="Times New Roman" w:cs="Times New Roman"/>
                <w:szCs w:val="18"/>
              </w:rPr>
              <w:t>▪ Sex: males</w:t>
            </w:r>
          </w:p>
          <w:p w14:paraId="7FC6C5BB" w14:textId="66FCEE30" w:rsidR="006A4B42" w:rsidRPr="00420436" w:rsidRDefault="006A4B42" w:rsidP="00CA2B3F">
            <w:pPr>
              <w:rPr>
                <w:rFonts w:ascii="Times New Roman" w:hAnsi="Times New Roman" w:cs="Times New Roman"/>
                <w:szCs w:val="18"/>
              </w:rPr>
            </w:pPr>
            <w:r w:rsidRPr="00420436">
              <w:rPr>
                <w:rFonts w:ascii="Times New Roman" w:hAnsi="Times New Roman" w:cs="Times New Roman"/>
                <w:szCs w:val="18"/>
              </w:rPr>
              <w:t>▪ Age: 19 years and over</w:t>
            </w:r>
          </w:p>
        </w:tc>
      </w:tr>
      <w:tr w:rsidR="006A4B42" w:rsidRPr="00420436" w14:paraId="145C2739" w14:textId="77777777" w:rsidTr="00CA2B3F">
        <w:tc>
          <w:tcPr>
            <w:tcW w:w="1838" w:type="dxa"/>
          </w:tcPr>
          <w:p w14:paraId="1A7C2CC7" w14:textId="77777777" w:rsidR="006A4B42" w:rsidRPr="00420436" w:rsidRDefault="006A4B42" w:rsidP="00CA2B3F">
            <w:pPr>
              <w:rPr>
                <w:rFonts w:ascii="Times New Roman" w:hAnsi="Times New Roman" w:cs="Times New Roman"/>
                <w:szCs w:val="18"/>
              </w:rPr>
            </w:pPr>
            <w:r w:rsidRPr="00420436">
              <w:rPr>
                <w:rFonts w:ascii="Times New Roman" w:hAnsi="Times New Roman" w:cs="Times New Roman"/>
                <w:szCs w:val="18"/>
              </w:rPr>
              <w:t>Graph &amp; axis titles - English</w:t>
            </w:r>
          </w:p>
        </w:tc>
        <w:tc>
          <w:tcPr>
            <w:tcW w:w="7512" w:type="dxa"/>
          </w:tcPr>
          <w:p w14:paraId="28CE8032" w14:textId="77777777" w:rsidR="006A4B42" w:rsidRPr="00420436" w:rsidRDefault="00F2582D" w:rsidP="006A4B42">
            <w:pPr>
              <w:rPr>
                <w:rFonts w:ascii="Times New Roman" w:hAnsi="Times New Roman" w:cs="Times New Roman"/>
                <w:szCs w:val="18"/>
              </w:rPr>
            </w:pPr>
            <w:r w:rsidRPr="00420436">
              <w:rPr>
                <w:rFonts w:ascii="Times New Roman" w:hAnsi="Times New Roman" w:cs="Times New Roman"/>
                <w:szCs w:val="18"/>
              </w:rPr>
              <w:t xml:space="preserve">▪ </w:t>
            </w:r>
            <w:r w:rsidR="006A4B42" w:rsidRPr="00420436">
              <w:rPr>
                <w:rFonts w:ascii="Times New Roman" w:hAnsi="Times New Roman" w:cs="Times New Roman"/>
                <w:szCs w:val="18"/>
              </w:rPr>
              <w:t xml:space="preserve">Graph title: [Nutrient] </w:t>
            </w:r>
            <w:r w:rsidR="00F337B7" w:rsidRPr="00420436">
              <w:rPr>
                <w:rFonts w:ascii="Times New Roman" w:hAnsi="Times New Roman" w:cs="Times New Roman"/>
                <w:szCs w:val="18"/>
              </w:rPr>
              <w:t xml:space="preserve">usual </w:t>
            </w:r>
            <w:r w:rsidR="006A4B42" w:rsidRPr="00420436">
              <w:rPr>
                <w:rFonts w:ascii="Times New Roman" w:hAnsi="Times New Roman" w:cs="Times New Roman"/>
                <w:szCs w:val="18"/>
              </w:rPr>
              <w:t xml:space="preserve">intake distribution, [sex], [age], Canada, 2015 </w:t>
            </w:r>
          </w:p>
          <w:p w14:paraId="1518D6F5" w14:textId="77777777" w:rsidR="006A4B42" w:rsidRPr="00420436" w:rsidRDefault="006A4B42" w:rsidP="00F2582D">
            <w:pPr>
              <w:rPr>
                <w:rFonts w:ascii="Times New Roman" w:hAnsi="Times New Roman" w:cs="Times New Roman"/>
                <w:i/>
                <w:szCs w:val="18"/>
              </w:rPr>
            </w:pPr>
            <w:r w:rsidRPr="00420436">
              <w:rPr>
                <w:rFonts w:ascii="Times New Roman" w:hAnsi="Times New Roman" w:cs="Times New Roman"/>
                <w:i/>
                <w:szCs w:val="18"/>
              </w:rPr>
              <w:t>Example:</w:t>
            </w:r>
            <w:r w:rsidRPr="00420436">
              <w:rPr>
                <w:rFonts w:ascii="Times New Roman" w:hAnsi="Times New Roman" w:cs="Times New Roman"/>
                <w:szCs w:val="18"/>
              </w:rPr>
              <w:t xml:space="preserve"> </w:t>
            </w:r>
            <w:r w:rsidRPr="00420436">
              <w:rPr>
                <w:rFonts w:ascii="Times New Roman" w:hAnsi="Times New Roman" w:cs="Times New Roman"/>
                <w:i/>
                <w:szCs w:val="18"/>
              </w:rPr>
              <w:t>Sodium</w:t>
            </w:r>
            <w:r w:rsidR="00F337B7" w:rsidRPr="00420436">
              <w:rPr>
                <w:rFonts w:ascii="Times New Roman" w:hAnsi="Times New Roman" w:cs="Times New Roman"/>
                <w:i/>
                <w:szCs w:val="18"/>
              </w:rPr>
              <w:t xml:space="preserve"> usual</w:t>
            </w:r>
            <w:r w:rsidRPr="00420436">
              <w:rPr>
                <w:rFonts w:ascii="Times New Roman" w:hAnsi="Times New Roman" w:cs="Times New Roman"/>
                <w:i/>
                <w:szCs w:val="18"/>
              </w:rPr>
              <w:t xml:space="preserve"> intake distribution</w:t>
            </w:r>
            <w:r w:rsidR="00F337B7" w:rsidRPr="00420436">
              <w:rPr>
                <w:rFonts w:ascii="Times New Roman" w:hAnsi="Times New Roman" w:cs="Times New Roman"/>
                <w:i/>
                <w:szCs w:val="18"/>
              </w:rPr>
              <w:t xml:space="preserve"> curve</w:t>
            </w:r>
            <w:r w:rsidRPr="00420436">
              <w:rPr>
                <w:rFonts w:ascii="Times New Roman" w:hAnsi="Times New Roman" w:cs="Times New Roman"/>
                <w:i/>
                <w:szCs w:val="18"/>
              </w:rPr>
              <w:t>, males, 19-30 years, Canada, 2015</w:t>
            </w:r>
          </w:p>
          <w:p w14:paraId="74FB31D8" w14:textId="77777777" w:rsidR="006A4B42" w:rsidRPr="00420436" w:rsidRDefault="006A4B42" w:rsidP="006A4B42">
            <w:pPr>
              <w:rPr>
                <w:rFonts w:ascii="Times New Roman" w:hAnsi="Times New Roman" w:cs="Times New Roman"/>
                <w:i/>
                <w:szCs w:val="18"/>
              </w:rPr>
            </w:pPr>
          </w:p>
          <w:p w14:paraId="63B41830" w14:textId="77777777" w:rsidR="006A4B42" w:rsidRPr="00420436" w:rsidRDefault="00F2582D" w:rsidP="006A4B42">
            <w:pPr>
              <w:rPr>
                <w:rFonts w:ascii="Times New Roman" w:hAnsi="Times New Roman" w:cs="Times New Roman"/>
                <w:szCs w:val="18"/>
              </w:rPr>
            </w:pPr>
            <w:r w:rsidRPr="00420436">
              <w:rPr>
                <w:rFonts w:ascii="Times New Roman" w:hAnsi="Times New Roman" w:cs="Times New Roman"/>
                <w:szCs w:val="18"/>
              </w:rPr>
              <w:t xml:space="preserve">▪ </w:t>
            </w:r>
            <w:r w:rsidR="006A4B42" w:rsidRPr="00420436">
              <w:rPr>
                <w:rFonts w:ascii="Times New Roman" w:hAnsi="Times New Roman" w:cs="Times New Roman"/>
                <w:szCs w:val="18"/>
              </w:rPr>
              <w:t>Y-axis title: Relative probability density</w:t>
            </w:r>
          </w:p>
          <w:p w14:paraId="0F10D8DC" w14:textId="77777777" w:rsidR="006A4B42" w:rsidRPr="00420436" w:rsidRDefault="00F2582D" w:rsidP="00CA2B3F">
            <w:pPr>
              <w:rPr>
                <w:rFonts w:ascii="Times New Roman" w:hAnsi="Times New Roman" w:cs="Times New Roman"/>
                <w:szCs w:val="18"/>
              </w:rPr>
            </w:pPr>
            <w:r w:rsidRPr="00420436">
              <w:rPr>
                <w:rFonts w:ascii="Times New Roman" w:hAnsi="Times New Roman" w:cs="Times New Roman"/>
                <w:szCs w:val="18"/>
              </w:rPr>
              <w:t xml:space="preserve">▪ </w:t>
            </w:r>
            <w:r w:rsidR="006A4B42" w:rsidRPr="00420436">
              <w:rPr>
                <w:rFonts w:ascii="Times New Roman" w:hAnsi="Times New Roman" w:cs="Times New Roman"/>
                <w:szCs w:val="18"/>
              </w:rPr>
              <w:t>X-axis title: [Nutrient] usual intake from food ([nutrient unit])</w:t>
            </w:r>
          </w:p>
        </w:tc>
      </w:tr>
      <w:tr w:rsidR="006A4B42" w:rsidRPr="006137C0" w14:paraId="718B01D9" w14:textId="77777777" w:rsidTr="00CA2B3F">
        <w:tc>
          <w:tcPr>
            <w:tcW w:w="1838" w:type="dxa"/>
          </w:tcPr>
          <w:p w14:paraId="2E596B22" w14:textId="77777777" w:rsidR="006A4B42" w:rsidRPr="00420436" w:rsidRDefault="00F337B7" w:rsidP="00F337B7">
            <w:pPr>
              <w:rPr>
                <w:rFonts w:ascii="Times New Roman" w:hAnsi="Times New Roman" w:cs="Times New Roman"/>
                <w:szCs w:val="18"/>
              </w:rPr>
            </w:pPr>
            <w:r w:rsidRPr="00420436">
              <w:rPr>
                <w:rFonts w:ascii="Times New Roman" w:hAnsi="Times New Roman" w:cs="Times New Roman"/>
                <w:szCs w:val="18"/>
              </w:rPr>
              <w:t>Graph &amp; axis titles - French</w:t>
            </w:r>
          </w:p>
        </w:tc>
        <w:tc>
          <w:tcPr>
            <w:tcW w:w="7512" w:type="dxa"/>
          </w:tcPr>
          <w:p w14:paraId="376FBE62" w14:textId="77777777" w:rsidR="006A4B42" w:rsidRPr="00420436" w:rsidRDefault="00F2582D" w:rsidP="006A4B42">
            <w:pPr>
              <w:rPr>
                <w:rFonts w:ascii="Times New Roman" w:hAnsi="Times New Roman" w:cs="Times New Roman"/>
                <w:szCs w:val="18"/>
                <w:lang w:val="fr-CA"/>
              </w:rPr>
            </w:pPr>
            <w:r w:rsidRPr="00420436">
              <w:rPr>
                <w:rFonts w:ascii="Times New Roman" w:hAnsi="Times New Roman" w:cs="Times New Roman"/>
                <w:szCs w:val="18"/>
                <w:lang w:val="fr-CA"/>
              </w:rPr>
              <w:t xml:space="preserve">▪ </w:t>
            </w:r>
            <w:r w:rsidR="006A4B42" w:rsidRPr="00420436">
              <w:rPr>
                <w:rFonts w:ascii="Times New Roman" w:hAnsi="Times New Roman" w:cs="Times New Roman"/>
                <w:szCs w:val="18"/>
                <w:lang w:val="fr-CA"/>
              </w:rPr>
              <w:t xml:space="preserve">Graph </w:t>
            </w:r>
            <w:proofErr w:type="spellStart"/>
            <w:r w:rsidR="006A4B42" w:rsidRPr="00420436">
              <w:rPr>
                <w:rFonts w:ascii="Times New Roman" w:hAnsi="Times New Roman" w:cs="Times New Roman"/>
                <w:szCs w:val="18"/>
                <w:lang w:val="fr-CA"/>
              </w:rPr>
              <w:t>title</w:t>
            </w:r>
            <w:proofErr w:type="spellEnd"/>
            <w:r w:rsidR="006A4B42" w:rsidRPr="00420436">
              <w:rPr>
                <w:rFonts w:ascii="Times New Roman" w:hAnsi="Times New Roman" w:cs="Times New Roman"/>
                <w:szCs w:val="18"/>
                <w:lang w:val="fr-CA"/>
              </w:rPr>
              <w:t xml:space="preserve">: </w:t>
            </w:r>
            <w:r w:rsidR="00F337B7" w:rsidRPr="00420436">
              <w:rPr>
                <w:rFonts w:ascii="Times New Roman" w:hAnsi="Times New Roman" w:cs="Times New Roman"/>
                <w:szCs w:val="18"/>
                <w:lang w:val="fr-CA"/>
              </w:rPr>
              <w:t>Courbe de distribution de l’apport en [</w:t>
            </w:r>
            <w:r w:rsidR="006A4B42" w:rsidRPr="00420436">
              <w:rPr>
                <w:rFonts w:ascii="Times New Roman" w:hAnsi="Times New Roman" w:cs="Times New Roman"/>
                <w:szCs w:val="18"/>
                <w:lang w:val="fr-CA"/>
              </w:rPr>
              <w:t>Nutri</w:t>
            </w:r>
            <w:r w:rsidR="00F337B7" w:rsidRPr="00420436">
              <w:rPr>
                <w:rFonts w:ascii="Times New Roman" w:hAnsi="Times New Roman" w:cs="Times New Roman"/>
                <w:szCs w:val="18"/>
                <w:lang w:val="fr-CA"/>
              </w:rPr>
              <w:t>m</w:t>
            </w:r>
            <w:r w:rsidR="006A4B42" w:rsidRPr="00420436">
              <w:rPr>
                <w:rFonts w:ascii="Times New Roman" w:hAnsi="Times New Roman" w:cs="Times New Roman"/>
                <w:szCs w:val="18"/>
                <w:lang w:val="fr-CA"/>
              </w:rPr>
              <w:t xml:space="preserve">ent] </w:t>
            </w:r>
            <w:r w:rsidR="00F337B7" w:rsidRPr="00420436">
              <w:rPr>
                <w:rFonts w:ascii="Times New Roman" w:hAnsi="Times New Roman" w:cs="Times New Roman"/>
                <w:szCs w:val="18"/>
                <w:lang w:val="fr-CA"/>
              </w:rPr>
              <w:t>usuel</w:t>
            </w:r>
            <w:r w:rsidR="006A4B42" w:rsidRPr="00420436">
              <w:rPr>
                <w:rFonts w:ascii="Times New Roman" w:hAnsi="Times New Roman" w:cs="Times New Roman"/>
                <w:szCs w:val="18"/>
                <w:lang w:val="fr-CA"/>
              </w:rPr>
              <w:t>, [sex</w:t>
            </w:r>
            <w:r w:rsidR="00F337B7" w:rsidRPr="00420436">
              <w:rPr>
                <w:rFonts w:ascii="Times New Roman" w:hAnsi="Times New Roman" w:cs="Times New Roman"/>
                <w:szCs w:val="18"/>
                <w:lang w:val="fr-CA"/>
              </w:rPr>
              <w:t>e</w:t>
            </w:r>
            <w:r w:rsidR="006A4B42" w:rsidRPr="00420436">
              <w:rPr>
                <w:rFonts w:ascii="Times New Roman" w:hAnsi="Times New Roman" w:cs="Times New Roman"/>
                <w:szCs w:val="18"/>
                <w:lang w:val="fr-CA"/>
              </w:rPr>
              <w:t xml:space="preserve">], </w:t>
            </w:r>
            <w:r w:rsidR="00F337B7" w:rsidRPr="00420436">
              <w:rPr>
                <w:rFonts w:ascii="Times New Roman" w:hAnsi="Times New Roman" w:cs="Times New Roman"/>
                <w:szCs w:val="18"/>
                <w:lang w:val="fr-CA"/>
              </w:rPr>
              <w:t>[â</w:t>
            </w:r>
            <w:r w:rsidR="006A4B42" w:rsidRPr="00420436">
              <w:rPr>
                <w:rFonts w:ascii="Times New Roman" w:hAnsi="Times New Roman" w:cs="Times New Roman"/>
                <w:szCs w:val="18"/>
                <w:lang w:val="fr-CA"/>
              </w:rPr>
              <w:t xml:space="preserve">ge], Canada, 2015 </w:t>
            </w:r>
          </w:p>
          <w:p w14:paraId="54E796EF" w14:textId="77777777" w:rsidR="006A4B42" w:rsidRPr="00420436" w:rsidRDefault="006A4B42" w:rsidP="00F2582D">
            <w:pPr>
              <w:rPr>
                <w:rFonts w:ascii="Times New Roman" w:hAnsi="Times New Roman" w:cs="Times New Roman"/>
                <w:i/>
                <w:szCs w:val="18"/>
                <w:lang w:val="fr-CA"/>
              </w:rPr>
            </w:pPr>
            <w:r w:rsidRPr="00420436">
              <w:rPr>
                <w:rFonts w:ascii="Times New Roman" w:hAnsi="Times New Roman" w:cs="Times New Roman"/>
                <w:i/>
                <w:szCs w:val="18"/>
                <w:lang w:val="fr-CA"/>
              </w:rPr>
              <w:t>Ex</w:t>
            </w:r>
            <w:r w:rsidR="00F337B7" w:rsidRPr="00420436">
              <w:rPr>
                <w:rFonts w:ascii="Times New Roman" w:hAnsi="Times New Roman" w:cs="Times New Roman"/>
                <w:i/>
                <w:szCs w:val="18"/>
                <w:lang w:val="fr-CA"/>
              </w:rPr>
              <w:t>e</w:t>
            </w:r>
            <w:r w:rsidRPr="00420436">
              <w:rPr>
                <w:rFonts w:ascii="Times New Roman" w:hAnsi="Times New Roman" w:cs="Times New Roman"/>
                <w:i/>
                <w:szCs w:val="18"/>
                <w:lang w:val="fr-CA"/>
              </w:rPr>
              <w:t>mple:</w:t>
            </w:r>
            <w:r w:rsidRPr="00420436">
              <w:rPr>
                <w:rFonts w:ascii="Times New Roman" w:hAnsi="Times New Roman" w:cs="Times New Roman"/>
                <w:szCs w:val="18"/>
                <w:lang w:val="fr-CA"/>
              </w:rPr>
              <w:t xml:space="preserve"> </w:t>
            </w:r>
            <w:r w:rsidR="00F337B7" w:rsidRPr="00420436">
              <w:rPr>
                <w:rFonts w:ascii="Times New Roman" w:hAnsi="Times New Roman" w:cs="Times New Roman"/>
                <w:i/>
                <w:szCs w:val="18"/>
                <w:lang w:val="fr-CA"/>
              </w:rPr>
              <w:t>Courbe de distribution de l’apport en sodium usuel</w:t>
            </w:r>
            <w:r w:rsidRPr="00420436">
              <w:rPr>
                <w:rFonts w:ascii="Times New Roman" w:hAnsi="Times New Roman" w:cs="Times New Roman"/>
                <w:i/>
                <w:szCs w:val="18"/>
                <w:lang w:val="fr-CA"/>
              </w:rPr>
              <w:t xml:space="preserve">, </w:t>
            </w:r>
            <w:r w:rsidR="00F337B7" w:rsidRPr="00420436">
              <w:rPr>
                <w:rFonts w:ascii="Times New Roman" w:hAnsi="Times New Roman" w:cs="Times New Roman"/>
                <w:i/>
                <w:szCs w:val="18"/>
                <w:lang w:val="fr-CA"/>
              </w:rPr>
              <w:t>hommes</w:t>
            </w:r>
            <w:r w:rsidRPr="00420436">
              <w:rPr>
                <w:rFonts w:ascii="Times New Roman" w:hAnsi="Times New Roman" w:cs="Times New Roman"/>
                <w:i/>
                <w:szCs w:val="18"/>
                <w:lang w:val="fr-CA"/>
              </w:rPr>
              <w:t>, 19</w:t>
            </w:r>
            <w:r w:rsidR="00F337B7" w:rsidRPr="00420436">
              <w:rPr>
                <w:rFonts w:ascii="Times New Roman" w:hAnsi="Times New Roman" w:cs="Times New Roman"/>
                <w:i/>
                <w:szCs w:val="18"/>
                <w:lang w:val="fr-CA"/>
              </w:rPr>
              <w:t xml:space="preserve"> à 30 ans</w:t>
            </w:r>
            <w:r w:rsidRPr="00420436">
              <w:rPr>
                <w:rFonts w:ascii="Times New Roman" w:hAnsi="Times New Roman" w:cs="Times New Roman"/>
                <w:i/>
                <w:szCs w:val="18"/>
                <w:lang w:val="fr-CA"/>
              </w:rPr>
              <w:t>, Canada, 2015</w:t>
            </w:r>
          </w:p>
          <w:p w14:paraId="539626CA" w14:textId="77777777" w:rsidR="006A4B42" w:rsidRPr="00420436" w:rsidRDefault="006A4B42" w:rsidP="006A4B42">
            <w:pPr>
              <w:rPr>
                <w:rFonts w:ascii="Times New Roman" w:hAnsi="Times New Roman" w:cs="Times New Roman"/>
                <w:i/>
                <w:szCs w:val="18"/>
                <w:lang w:val="fr-CA"/>
              </w:rPr>
            </w:pPr>
          </w:p>
          <w:p w14:paraId="425AF6AA" w14:textId="77777777" w:rsidR="006A4B42" w:rsidRPr="00420436" w:rsidRDefault="00F2582D" w:rsidP="006A4B42">
            <w:pPr>
              <w:rPr>
                <w:rFonts w:ascii="Times New Roman" w:hAnsi="Times New Roman" w:cs="Times New Roman"/>
                <w:szCs w:val="18"/>
                <w:lang w:val="fr-CA"/>
              </w:rPr>
            </w:pPr>
            <w:r w:rsidRPr="00420436">
              <w:rPr>
                <w:rFonts w:ascii="Times New Roman" w:hAnsi="Times New Roman" w:cs="Times New Roman"/>
                <w:szCs w:val="18"/>
                <w:lang w:val="fr-CA"/>
              </w:rPr>
              <w:t xml:space="preserve">▪ </w:t>
            </w:r>
            <w:r w:rsidR="006A4B42" w:rsidRPr="00420436">
              <w:rPr>
                <w:rFonts w:ascii="Times New Roman" w:hAnsi="Times New Roman" w:cs="Times New Roman"/>
                <w:szCs w:val="18"/>
                <w:lang w:val="fr-CA"/>
              </w:rPr>
              <w:t xml:space="preserve">Y-axis </w:t>
            </w:r>
            <w:proofErr w:type="spellStart"/>
            <w:r w:rsidR="006A4B42" w:rsidRPr="00420436">
              <w:rPr>
                <w:rFonts w:ascii="Times New Roman" w:hAnsi="Times New Roman" w:cs="Times New Roman"/>
                <w:szCs w:val="18"/>
                <w:lang w:val="fr-CA"/>
              </w:rPr>
              <w:t>title</w:t>
            </w:r>
            <w:proofErr w:type="spellEnd"/>
            <w:r w:rsidR="006A4B42" w:rsidRPr="00420436">
              <w:rPr>
                <w:rFonts w:ascii="Times New Roman" w:hAnsi="Times New Roman" w:cs="Times New Roman"/>
                <w:szCs w:val="18"/>
                <w:lang w:val="fr-CA"/>
              </w:rPr>
              <w:t>: Densité de probabilité relative</w:t>
            </w:r>
          </w:p>
          <w:p w14:paraId="36B5A516" w14:textId="77777777" w:rsidR="006A4B42" w:rsidRPr="00420436" w:rsidRDefault="00F2582D" w:rsidP="006A4B42">
            <w:pPr>
              <w:rPr>
                <w:rFonts w:ascii="Times New Roman" w:hAnsi="Times New Roman" w:cs="Times New Roman"/>
                <w:i/>
                <w:szCs w:val="18"/>
                <w:lang w:val="fr-CA"/>
              </w:rPr>
            </w:pPr>
            <w:r w:rsidRPr="00420436">
              <w:rPr>
                <w:rFonts w:ascii="Times New Roman" w:hAnsi="Times New Roman" w:cs="Times New Roman"/>
                <w:szCs w:val="18"/>
                <w:lang w:val="fr-CA"/>
              </w:rPr>
              <w:t xml:space="preserve">▪ </w:t>
            </w:r>
            <w:r w:rsidR="006A4B42" w:rsidRPr="00420436">
              <w:rPr>
                <w:rFonts w:ascii="Times New Roman" w:hAnsi="Times New Roman" w:cs="Times New Roman"/>
                <w:szCs w:val="18"/>
                <w:lang w:val="fr-CA"/>
              </w:rPr>
              <w:t xml:space="preserve">X-axis </w:t>
            </w:r>
            <w:proofErr w:type="spellStart"/>
            <w:r w:rsidR="006A4B42" w:rsidRPr="00420436">
              <w:rPr>
                <w:rFonts w:ascii="Times New Roman" w:hAnsi="Times New Roman" w:cs="Times New Roman"/>
                <w:szCs w:val="18"/>
                <w:lang w:val="fr-CA"/>
              </w:rPr>
              <w:t>title</w:t>
            </w:r>
            <w:proofErr w:type="spellEnd"/>
            <w:r w:rsidR="006A4B42" w:rsidRPr="00420436">
              <w:rPr>
                <w:rFonts w:ascii="Times New Roman" w:hAnsi="Times New Roman" w:cs="Times New Roman"/>
                <w:szCs w:val="18"/>
                <w:lang w:val="fr-CA"/>
              </w:rPr>
              <w:t>: Apport usuel en [nutriment] provenant d’aliments ([</w:t>
            </w:r>
            <w:proofErr w:type="spellStart"/>
            <w:r w:rsidR="006A4B42" w:rsidRPr="00420436">
              <w:rPr>
                <w:rFonts w:ascii="Times New Roman" w:hAnsi="Times New Roman" w:cs="Times New Roman"/>
                <w:szCs w:val="18"/>
                <w:lang w:val="fr-CA"/>
              </w:rPr>
              <w:t>nutrient</w:t>
            </w:r>
            <w:proofErr w:type="spellEnd"/>
            <w:r w:rsidR="006A4B42" w:rsidRPr="00420436">
              <w:rPr>
                <w:rFonts w:ascii="Times New Roman" w:hAnsi="Times New Roman" w:cs="Times New Roman"/>
                <w:szCs w:val="18"/>
                <w:lang w:val="fr-CA"/>
              </w:rPr>
              <w:t xml:space="preserve"> unit])</w:t>
            </w:r>
          </w:p>
        </w:tc>
      </w:tr>
      <w:tr w:rsidR="00B845C1" w:rsidRPr="00420436" w14:paraId="1966F5FF" w14:textId="77777777" w:rsidTr="00CA2B3F">
        <w:tc>
          <w:tcPr>
            <w:tcW w:w="1838" w:type="dxa"/>
          </w:tcPr>
          <w:p w14:paraId="0F768C7D" w14:textId="57CFA664"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Graph footnotes - English</w:t>
            </w:r>
          </w:p>
          <w:p w14:paraId="44FC25EE" w14:textId="1004E78C"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 xml:space="preserve">[to be included when people </w:t>
            </w:r>
            <w:r w:rsidRPr="00420436">
              <w:rPr>
                <w:rFonts w:ascii="Times New Roman" w:hAnsi="Times New Roman" w:cs="Times New Roman"/>
                <w:szCs w:val="18"/>
              </w:rPr>
              <w:lastRenderedPageBreak/>
              <w:t xml:space="preserve">download the graph] </w:t>
            </w:r>
          </w:p>
        </w:tc>
        <w:tc>
          <w:tcPr>
            <w:tcW w:w="7512" w:type="dxa"/>
          </w:tcPr>
          <w:p w14:paraId="374EC404" w14:textId="77777777"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lastRenderedPageBreak/>
              <w:t>Data Source: Statistics Canada, 2015 Canadian Community Health Survey - Nutrition, 2015, Share File.</w:t>
            </w:r>
          </w:p>
          <w:p w14:paraId="1847E69E" w14:textId="77777777" w:rsidR="00B845C1" w:rsidRPr="00420436" w:rsidRDefault="00B845C1" w:rsidP="00B845C1">
            <w:pPr>
              <w:rPr>
                <w:rFonts w:ascii="Times New Roman" w:hAnsi="Times New Roman" w:cs="Times New Roman"/>
                <w:szCs w:val="18"/>
              </w:rPr>
            </w:pPr>
          </w:p>
        </w:tc>
      </w:tr>
      <w:tr w:rsidR="00B845C1" w:rsidRPr="006137C0" w14:paraId="3C92F158" w14:textId="77777777" w:rsidTr="00CA2B3F">
        <w:tc>
          <w:tcPr>
            <w:tcW w:w="1838" w:type="dxa"/>
          </w:tcPr>
          <w:p w14:paraId="3F746015" w14:textId="7D9A2F88"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Graph footnotes - French</w:t>
            </w:r>
          </w:p>
          <w:p w14:paraId="6104A1FD" w14:textId="088CBF61"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[to be included when people download the graph]</w:t>
            </w:r>
          </w:p>
        </w:tc>
        <w:tc>
          <w:tcPr>
            <w:tcW w:w="7512" w:type="dxa"/>
          </w:tcPr>
          <w:p w14:paraId="09C74446" w14:textId="63C29CCD" w:rsidR="00B845C1" w:rsidRPr="00420436" w:rsidRDefault="00B845C1" w:rsidP="00B845C1">
            <w:pPr>
              <w:rPr>
                <w:rFonts w:ascii="Times New Roman" w:hAnsi="Times New Roman" w:cs="Times New Roman"/>
                <w:szCs w:val="18"/>
                <w:lang w:val="fr-CA"/>
              </w:rPr>
            </w:pPr>
            <w:r w:rsidRPr="00420436">
              <w:rPr>
                <w:rFonts w:ascii="Times New Roman" w:hAnsi="Times New Roman" w:cs="Times New Roman"/>
                <w:szCs w:val="18"/>
                <w:lang w:val="fr-CA"/>
              </w:rPr>
              <w:t>Source des données: Statistique Canada, Enquête sur la santé dans les collectivités canadiennes (ESCC) - Nutrition , 2015 - Fichier partagé.</w:t>
            </w:r>
          </w:p>
        </w:tc>
      </w:tr>
      <w:tr w:rsidR="00B845C1" w:rsidRPr="00420436" w14:paraId="7E724D67" w14:textId="77777777" w:rsidTr="00CA2B3F">
        <w:tc>
          <w:tcPr>
            <w:tcW w:w="1838" w:type="dxa"/>
          </w:tcPr>
          <w:p w14:paraId="42DCC9BB" w14:textId="2F1EE816"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Summary data table note:</w:t>
            </w:r>
          </w:p>
        </w:tc>
        <w:tc>
          <w:tcPr>
            <w:tcW w:w="7512" w:type="dxa"/>
          </w:tcPr>
          <w:p w14:paraId="42FBA290" w14:textId="7FCF71D0"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 xml:space="preserve">* Because the data points used to create the visualization are less meaningful than the percentiles of usual intakes, the table should display the corresponding mean and percentiles of intake for the selected nutrient and age-sex group as presented in the Data Table in Tab #1. </w:t>
            </w:r>
          </w:p>
          <w:p w14:paraId="2B33D4AA" w14:textId="77777777" w:rsidR="00B845C1" w:rsidRPr="00420436" w:rsidRDefault="00B845C1" w:rsidP="00B845C1">
            <w:pPr>
              <w:rPr>
                <w:rFonts w:ascii="Times New Roman" w:hAnsi="Times New Roman" w:cs="Times New Roman"/>
                <w:szCs w:val="18"/>
              </w:rPr>
            </w:pPr>
          </w:p>
        </w:tc>
      </w:tr>
      <w:tr w:rsidR="00B845C1" w:rsidRPr="00420436" w14:paraId="22D5C9ED" w14:textId="77777777" w:rsidTr="00CA2B3F">
        <w:tc>
          <w:tcPr>
            <w:tcW w:w="1838" w:type="dxa"/>
          </w:tcPr>
          <w:p w14:paraId="7CD2DF42" w14:textId="77777777"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Summary data table* title - English</w:t>
            </w:r>
          </w:p>
        </w:tc>
        <w:tc>
          <w:tcPr>
            <w:tcW w:w="7512" w:type="dxa"/>
          </w:tcPr>
          <w:p w14:paraId="40CBE9E0" w14:textId="77777777"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 xml:space="preserve">Percentiles of [Nutrient] usual intake, [sex], [age], Canada, 2015 </w:t>
            </w:r>
          </w:p>
          <w:p w14:paraId="69D81CCD" w14:textId="77777777" w:rsidR="00B845C1" w:rsidRPr="00420436" w:rsidRDefault="00B845C1" w:rsidP="00B845C1">
            <w:pPr>
              <w:rPr>
                <w:rFonts w:ascii="Times New Roman" w:hAnsi="Times New Roman" w:cs="Times New Roman"/>
                <w:szCs w:val="18"/>
              </w:rPr>
            </w:pPr>
            <w:r w:rsidRPr="00420436">
              <w:rPr>
                <w:rFonts w:ascii="Times New Roman" w:hAnsi="Times New Roman" w:cs="Times New Roman"/>
                <w:i/>
                <w:szCs w:val="18"/>
              </w:rPr>
              <w:t>Example:</w:t>
            </w:r>
            <w:r w:rsidRPr="00420436">
              <w:rPr>
                <w:rFonts w:ascii="Times New Roman" w:hAnsi="Times New Roman" w:cs="Times New Roman"/>
                <w:szCs w:val="18"/>
              </w:rPr>
              <w:t xml:space="preserve"> </w:t>
            </w:r>
            <w:r w:rsidRPr="00420436">
              <w:rPr>
                <w:rFonts w:ascii="Times New Roman" w:hAnsi="Times New Roman" w:cs="Times New Roman"/>
                <w:i/>
                <w:szCs w:val="18"/>
              </w:rPr>
              <w:t>Percentiles of sodium usual intake, males, 19-30 years, Canada, 2015</w:t>
            </w:r>
          </w:p>
        </w:tc>
      </w:tr>
      <w:tr w:rsidR="00B845C1" w:rsidRPr="006137C0" w14:paraId="05C94435" w14:textId="77777777" w:rsidTr="00CA2B3F">
        <w:tc>
          <w:tcPr>
            <w:tcW w:w="1838" w:type="dxa"/>
          </w:tcPr>
          <w:p w14:paraId="7EB060AF" w14:textId="77777777"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Summary data table* title - French</w:t>
            </w:r>
          </w:p>
        </w:tc>
        <w:tc>
          <w:tcPr>
            <w:tcW w:w="7512" w:type="dxa"/>
          </w:tcPr>
          <w:p w14:paraId="4F7A26BD" w14:textId="77777777" w:rsidR="00B845C1" w:rsidRPr="00420436" w:rsidRDefault="00B845C1" w:rsidP="00B845C1">
            <w:pPr>
              <w:rPr>
                <w:rFonts w:ascii="Times New Roman" w:hAnsi="Times New Roman" w:cs="Times New Roman"/>
                <w:szCs w:val="18"/>
                <w:lang w:val="fr-CA"/>
              </w:rPr>
            </w:pPr>
            <w:r w:rsidRPr="00420436">
              <w:rPr>
                <w:rFonts w:ascii="Times New Roman" w:hAnsi="Times New Roman" w:cs="Times New Roman"/>
                <w:szCs w:val="18"/>
                <w:lang w:val="fr-CA"/>
              </w:rPr>
              <w:t>Percentiles de l’apport usuel en [</w:t>
            </w:r>
            <w:proofErr w:type="spellStart"/>
            <w:r w:rsidRPr="00420436">
              <w:rPr>
                <w:rFonts w:ascii="Times New Roman" w:hAnsi="Times New Roman" w:cs="Times New Roman"/>
                <w:szCs w:val="18"/>
                <w:lang w:val="fr-CA"/>
              </w:rPr>
              <w:t>Nutrient</w:t>
            </w:r>
            <w:proofErr w:type="spellEnd"/>
            <w:r w:rsidRPr="00420436">
              <w:rPr>
                <w:rFonts w:ascii="Times New Roman" w:hAnsi="Times New Roman" w:cs="Times New Roman"/>
                <w:szCs w:val="18"/>
                <w:lang w:val="fr-CA"/>
              </w:rPr>
              <w:t>], [sexe], [âge], Canada, 2015</w:t>
            </w:r>
          </w:p>
          <w:p w14:paraId="1C2D0298" w14:textId="77777777" w:rsidR="00B845C1" w:rsidRPr="00420436" w:rsidRDefault="00B845C1" w:rsidP="00B845C1">
            <w:pPr>
              <w:rPr>
                <w:rFonts w:ascii="Times New Roman" w:hAnsi="Times New Roman" w:cs="Times New Roman"/>
                <w:szCs w:val="18"/>
                <w:lang w:val="fr-CA"/>
              </w:rPr>
            </w:pPr>
            <w:r w:rsidRPr="00420436">
              <w:rPr>
                <w:rFonts w:ascii="Times New Roman" w:hAnsi="Times New Roman" w:cs="Times New Roman"/>
                <w:i/>
                <w:szCs w:val="18"/>
                <w:lang w:val="fr-CA"/>
              </w:rPr>
              <w:t>Exemple:</w:t>
            </w:r>
            <w:r w:rsidRPr="00420436">
              <w:rPr>
                <w:rFonts w:ascii="Times New Roman" w:hAnsi="Times New Roman" w:cs="Times New Roman"/>
                <w:szCs w:val="18"/>
                <w:lang w:val="fr-CA"/>
              </w:rPr>
              <w:t xml:space="preserve"> </w:t>
            </w:r>
            <w:r w:rsidRPr="00420436">
              <w:rPr>
                <w:rFonts w:ascii="Times New Roman" w:hAnsi="Times New Roman" w:cs="Times New Roman"/>
                <w:i/>
                <w:szCs w:val="18"/>
                <w:lang w:val="fr-CA"/>
              </w:rPr>
              <w:t>Percentiles de l’apport usuel en sodium, hommes, 19 à 30 ans, Canada, 2015</w:t>
            </w:r>
          </w:p>
        </w:tc>
      </w:tr>
      <w:tr w:rsidR="00B845C1" w:rsidRPr="00420436" w14:paraId="491A1766" w14:textId="77777777" w:rsidTr="00CA2B3F">
        <w:tc>
          <w:tcPr>
            <w:tcW w:w="1838" w:type="dxa"/>
          </w:tcPr>
          <w:p w14:paraId="154A6792" w14:textId="77777777"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Other requirements</w:t>
            </w:r>
          </w:p>
        </w:tc>
        <w:tc>
          <w:tcPr>
            <w:tcW w:w="7512" w:type="dxa"/>
          </w:tcPr>
          <w:p w14:paraId="6273F5FF" w14:textId="77777777"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 xml:space="preserve">▪ To remain compliant with accessibility standards, a text description of the graph as it is displayed will also be provided. </w:t>
            </w:r>
            <w:r w:rsidRPr="00420436">
              <w:rPr>
                <w:rFonts w:ascii="Times New Roman" w:hAnsi="Times New Roman" w:cs="Times New Roman"/>
                <w:szCs w:val="18"/>
                <w:highlight w:val="green"/>
              </w:rPr>
              <w:t>[Julie is working on these]</w:t>
            </w:r>
          </w:p>
          <w:p w14:paraId="15B12D0D" w14:textId="1D01CB94" w:rsidR="00B845C1" w:rsidRPr="00420436" w:rsidRDefault="00B845C1" w:rsidP="00315B4D">
            <w:pPr>
              <w:rPr>
                <w:rFonts w:ascii="Times New Roman" w:hAnsi="Times New Roman" w:cs="Times New Roman"/>
                <w:szCs w:val="18"/>
              </w:rPr>
            </w:pPr>
            <w:r w:rsidRPr="00420436">
              <w:rPr>
                <w:rFonts w:ascii="Times New Roman" w:hAnsi="Times New Roman" w:cs="Times New Roman"/>
                <w:szCs w:val="18"/>
              </w:rPr>
              <w:t xml:space="preserve">▪ </w:t>
            </w:r>
            <w:r w:rsidR="00315B4D">
              <w:rPr>
                <w:rFonts w:ascii="Times New Roman" w:hAnsi="Times New Roman" w:cs="Times New Roman"/>
                <w:szCs w:val="18"/>
              </w:rPr>
              <w:t>D</w:t>
            </w:r>
            <w:r w:rsidRPr="00420436">
              <w:rPr>
                <w:rFonts w:ascii="Times New Roman" w:hAnsi="Times New Roman" w:cs="Times New Roman"/>
                <w:szCs w:val="18"/>
              </w:rPr>
              <w:t xml:space="preserve">ynamic text box </w:t>
            </w:r>
            <w:r w:rsidR="00315B4D">
              <w:rPr>
                <w:rFonts w:ascii="Times New Roman" w:hAnsi="Times New Roman" w:cs="Times New Roman"/>
                <w:szCs w:val="18"/>
              </w:rPr>
              <w:t xml:space="preserve">with </w:t>
            </w:r>
            <w:r w:rsidRPr="00420436">
              <w:rPr>
                <w:rFonts w:ascii="Times New Roman" w:hAnsi="Times New Roman" w:cs="Times New Roman"/>
                <w:szCs w:val="18"/>
              </w:rPr>
              <w:t xml:space="preserve">important nutrient-specific </w:t>
            </w:r>
            <w:r w:rsidR="00315B4D">
              <w:rPr>
                <w:rFonts w:ascii="Times New Roman" w:hAnsi="Times New Roman" w:cs="Times New Roman"/>
                <w:szCs w:val="18"/>
              </w:rPr>
              <w:t>statement</w:t>
            </w:r>
            <w:r w:rsidRPr="00420436">
              <w:rPr>
                <w:rFonts w:ascii="Times New Roman" w:hAnsi="Times New Roman" w:cs="Times New Roman"/>
                <w:szCs w:val="18"/>
              </w:rPr>
              <w:t xml:space="preserve">s. </w:t>
            </w:r>
            <w:r w:rsidR="00315B4D">
              <w:rPr>
                <w:rFonts w:ascii="Times New Roman" w:hAnsi="Times New Roman" w:cs="Times New Roman"/>
                <w:szCs w:val="18"/>
              </w:rPr>
              <w:t>See appendix 1 for list of statements.</w:t>
            </w:r>
            <w:r w:rsidRPr="00420436">
              <w:rPr>
                <w:rFonts w:ascii="Times New Roman" w:hAnsi="Times New Roman" w:cs="Times New Roman"/>
                <w:szCs w:val="18"/>
              </w:rPr>
              <w:t xml:space="preserve">   </w:t>
            </w:r>
          </w:p>
        </w:tc>
      </w:tr>
      <w:tr w:rsidR="00B845C1" w:rsidRPr="00420436" w14:paraId="44661989" w14:textId="77777777" w:rsidTr="00CA2B3F">
        <w:tc>
          <w:tcPr>
            <w:tcW w:w="1838" w:type="dxa"/>
          </w:tcPr>
          <w:p w14:paraId="572EE72C" w14:textId="68C7BCA7"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Notes and Legend - English</w:t>
            </w:r>
          </w:p>
        </w:tc>
        <w:tc>
          <w:tcPr>
            <w:tcW w:w="7512" w:type="dxa"/>
          </w:tcPr>
          <w:p w14:paraId="5339AF16" w14:textId="5810A901" w:rsidR="00983150" w:rsidRDefault="00983150" w:rsidP="00315B4D">
            <w:pPr>
              <w:rPr>
                <w:rFonts w:ascii="Times New Roman" w:hAnsi="Times New Roman" w:cs="Times New Roman"/>
                <w:szCs w:val="18"/>
              </w:rPr>
            </w:pPr>
            <w:r>
              <w:rPr>
                <w:rFonts w:ascii="Times New Roman" w:hAnsi="Times New Roman" w:cs="Times New Roman"/>
                <w:szCs w:val="18"/>
              </w:rPr>
              <w:t>Please refer to the “About the data” tab for detailed notes that apply to all of the tables and graphs in the Usual Intake Data Tool.</w:t>
            </w:r>
          </w:p>
          <w:p w14:paraId="7ED98F74" w14:textId="77777777" w:rsidR="00983150" w:rsidRDefault="00983150" w:rsidP="00315B4D">
            <w:pPr>
              <w:rPr>
                <w:rFonts w:ascii="Times New Roman" w:hAnsi="Times New Roman" w:cs="Times New Roman"/>
                <w:szCs w:val="18"/>
              </w:rPr>
            </w:pPr>
          </w:p>
          <w:p w14:paraId="7B615CFB" w14:textId="76326824" w:rsidR="00983150" w:rsidRDefault="00983150" w:rsidP="00315B4D">
            <w:pPr>
              <w:rPr>
                <w:rFonts w:ascii="Times New Roman" w:hAnsi="Times New Roman" w:cs="Times New Roman"/>
                <w:szCs w:val="18"/>
              </w:rPr>
            </w:pPr>
            <w:r w:rsidRPr="00983150">
              <w:rPr>
                <w:rFonts w:ascii="Times New Roman" w:hAnsi="Times New Roman" w:cs="Times New Roman"/>
                <w:szCs w:val="18"/>
              </w:rPr>
              <w:t>Relative probability density estimates were generated from the percentiles of usual intake data set using a Gaussian Kernel density estimation method.</w:t>
            </w:r>
          </w:p>
          <w:p w14:paraId="66FECD23" w14:textId="77777777" w:rsidR="00983150" w:rsidRDefault="00983150" w:rsidP="00315B4D">
            <w:pPr>
              <w:rPr>
                <w:rFonts w:ascii="Times New Roman" w:hAnsi="Times New Roman" w:cs="Times New Roman"/>
                <w:szCs w:val="18"/>
              </w:rPr>
            </w:pPr>
          </w:p>
          <w:p w14:paraId="5CA58CC7" w14:textId="77777777" w:rsidR="00315B4D" w:rsidRPr="00420436" w:rsidRDefault="00315B4D" w:rsidP="00315B4D">
            <w:pPr>
              <w:rPr>
                <w:rFonts w:ascii="Times New Roman" w:hAnsi="Times New Roman" w:cs="Times New Roman"/>
                <w:szCs w:val="18"/>
              </w:rPr>
            </w:pPr>
            <w:r w:rsidRPr="00420436">
              <w:rPr>
                <w:rFonts w:ascii="Times New Roman" w:hAnsi="Times New Roman" w:cs="Times New Roman"/>
                <w:szCs w:val="18"/>
              </w:rPr>
              <w:t>E: Data with a coefficient of variation (CV) from 16.6% to 33.3%</w:t>
            </w:r>
            <w:proofErr w:type="gramStart"/>
            <w:r w:rsidRPr="00420436">
              <w:rPr>
                <w:rFonts w:ascii="Times New Roman" w:hAnsi="Times New Roman" w:cs="Times New Roman"/>
                <w:szCs w:val="18"/>
              </w:rPr>
              <w:t>;</w:t>
            </w:r>
            <w:proofErr w:type="gramEnd"/>
            <w:r w:rsidRPr="00420436">
              <w:rPr>
                <w:rFonts w:ascii="Times New Roman" w:hAnsi="Times New Roman" w:cs="Times New Roman"/>
                <w:szCs w:val="18"/>
              </w:rPr>
              <w:t xml:space="preserve"> interpret with caution. </w:t>
            </w:r>
          </w:p>
          <w:p w14:paraId="56168AD4" w14:textId="77777777" w:rsidR="00315B4D" w:rsidRPr="00420436" w:rsidRDefault="00315B4D" w:rsidP="00315B4D">
            <w:pPr>
              <w:rPr>
                <w:rFonts w:ascii="Times New Roman" w:hAnsi="Times New Roman" w:cs="Times New Roman"/>
                <w:szCs w:val="18"/>
              </w:rPr>
            </w:pPr>
            <w:r w:rsidRPr="00420436">
              <w:rPr>
                <w:rFonts w:ascii="Times New Roman" w:hAnsi="Times New Roman" w:cs="Times New Roman"/>
                <w:szCs w:val="18"/>
              </w:rPr>
              <w:t>&lt;3: Data with a coefficient of variation (CV) greater than 33.3% with a 95% confidence interval entirely between 0 and 3%; interpret with caution.</w:t>
            </w:r>
          </w:p>
          <w:p w14:paraId="39D8CD5E" w14:textId="77777777" w:rsidR="00315B4D" w:rsidRPr="00420436" w:rsidRDefault="00315B4D" w:rsidP="00315B4D">
            <w:pPr>
              <w:rPr>
                <w:rFonts w:ascii="Times New Roman" w:hAnsi="Times New Roman" w:cs="Times New Roman"/>
                <w:szCs w:val="18"/>
              </w:rPr>
            </w:pPr>
            <w:r w:rsidRPr="00420436">
              <w:rPr>
                <w:rFonts w:ascii="Times New Roman" w:hAnsi="Times New Roman" w:cs="Times New Roman"/>
                <w:szCs w:val="18"/>
              </w:rPr>
              <w:t>F: Data with a coefficient of variation (CV) greater than 33.3% with a 95% confidence interval not entirely between 0 and 3%; suppressed due to extreme sampling variability.</w:t>
            </w:r>
          </w:p>
          <w:p w14:paraId="4D4B6DA2" w14:textId="77777777" w:rsidR="00315B4D" w:rsidRPr="00420436" w:rsidRDefault="00315B4D" w:rsidP="00315B4D">
            <w:pPr>
              <w:rPr>
                <w:rFonts w:ascii="Times New Roman" w:hAnsi="Times New Roman" w:cs="Times New Roman"/>
                <w:szCs w:val="18"/>
              </w:rPr>
            </w:pPr>
            <w:r w:rsidRPr="00420436">
              <w:rPr>
                <w:rFonts w:ascii="Times New Roman" w:hAnsi="Times New Roman" w:cs="Times New Roman"/>
                <w:szCs w:val="18"/>
              </w:rPr>
              <w:t>AI: Adequate Intake</w:t>
            </w:r>
          </w:p>
          <w:p w14:paraId="61B9BB90" w14:textId="77777777" w:rsidR="00315B4D" w:rsidRPr="00420436" w:rsidRDefault="00315B4D" w:rsidP="00315B4D">
            <w:pPr>
              <w:rPr>
                <w:rFonts w:ascii="Times New Roman" w:hAnsi="Times New Roman" w:cs="Times New Roman"/>
                <w:szCs w:val="18"/>
              </w:rPr>
            </w:pPr>
            <w:r w:rsidRPr="00420436">
              <w:rPr>
                <w:rFonts w:ascii="Times New Roman" w:hAnsi="Times New Roman" w:cs="Times New Roman"/>
                <w:szCs w:val="18"/>
              </w:rPr>
              <w:t>AMDR: Acceptable Macronutrient Distribution Range</w:t>
            </w:r>
          </w:p>
          <w:p w14:paraId="2D5D69BE" w14:textId="77777777" w:rsidR="00315B4D" w:rsidRPr="00420436" w:rsidRDefault="00315B4D" w:rsidP="00315B4D">
            <w:pPr>
              <w:rPr>
                <w:rFonts w:ascii="Times New Roman" w:hAnsi="Times New Roman" w:cs="Times New Roman"/>
                <w:szCs w:val="18"/>
              </w:rPr>
            </w:pPr>
            <w:r w:rsidRPr="00420436">
              <w:rPr>
                <w:rFonts w:ascii="Times New Roman" w:hAnsi="Times New Roman" w:cs="Times New Roman"/>
                <w:szCs w:val="18"/>
              </w:rPr>
              <w:t>CDRR : Chronic Disease Risk Reduction Intake Level</w:t>
            </w:r>
          </w:p>
          <w:p w14:paraId="47332D79" w14:textId="68F8894C" w:rsidR="004E630C" w:rsidRDefault="004E630C" w:rsidP="00315B4D">
            <w:pPr>
              <w:rPr>
                <w:rFonts w:ascii="Times New Roman" w:hAnsi="Times New Roman" w:cs="Times New Roman"/>
                <w:szCs w:val="18"/>
              </w:rPr>
            </w:pPr>
            <w:r>
              <w:rPr>
                <w:rFonts w:ascii="Times New Roman" w:hAnsi="Times New Roman" w:cs="Times New Roman"/>
                <w:szCs w:val="18"/>
              </w:rPr>
              <w:t>d: Day</w:t>
            </w:r>
          </w:p>
          <w:p w14:paraId="73AE5D1C" w14:textId="77777777" w:rsidR="00315B4D" w:rsidRDefault="00315B4D" w:rsidP="00315B4D">
            <w:pPr>
              <w:rPr>
                <w:rFonts w:ascii="Times New Roman" w:hAnsi="Times New Roman" w:cs="Times New Roman"/>
                <w:szCs w:val="18"/>
              </w:rPr>
            </w:pPr>
            <w:r>
              <w:rPr>
                <w:rFonts w:ascii="Times New Roman" w:hAnsi="Times New Roman" w:cs="Times New Roman"/>
                <w:szCs w:val="18"/>
              </w:rPr>
              <w:t>DFE: Dietary folate equivalent</w:t>
            </w:r>
          </w:p>
          <w:p w14:paraId="0336F921" w14:textId="77777777" w:rsidR="00315B4D" w:rsidRPr="00420436" w:rsidRDefault="00315B4D" w:rsidP="00315B4D">
            <w:pPr>
              <w:rPr>
                <w:rFonts w:ascii="Times New Roman" w:hAnsi="Times New Roman" w:cs="Times New Roman"/>
                <w:szCs w:val="18"/>
              </w:rPr>
            </w:pPr>
            <w:r w:rsidRPr="00420436">
              <w:rPr>
                <w:rFonts w:ascii="Times New Roman" w:hAnsi="Times New Roman" w:cs="Times New Roman"/>
                <w:szCs w:val="18"/>
              </w:rPr>
              <w:t>DRI: Dietary Reference Intake</w:t>
            </w:r>
          </w:p>
          <w:p w14:paraId="6F002780" w14:textId="77777777" w:rsidR="00315B4D" w:rsidRPr="00420436" w:rsidRDefault="00315B4D" w:rsidP="00315B4D">
            <w:pPr>
              <w:rPr>
                <w:rFonts w:ascii="Times New Roman" w:hAnsi="Times New Roman" w:cs="Times New Roman"/>
                <w:szCs w:val="18"/>
              </w:rPr>
            </w:pPr>
            <w:r w:rsidRPr="00420436">
              <w:rPr>
                <w:rFonts w:ascii="Times New Roman" w:hAnsi="Times New Roman" w:cs="Times New Roman"/>
                <w:szCs w:val="18"/>
              </w:rPr>
              <w:t>EAR: Estimated Average Requirement</w:t>
            </w:r>
          </w:p>
          <w:p w14:paraId="1626B4CA" w14:textId="6397876C" w:rsidR="004E630C" w:rsidRDefault="004E630C" w:rsidP="00315B4D">
            <w:pPr>
              <w:rPr>
                <w:rFonts w:ascii="Times New Roman" w:hAnsi="Times New Roman" w:cs="Times New Roman"/>
                <w:szCs w:val="18"/>
              </w:rPr>
            </w:pPr>
            <w:r>
              <w:rPr>
                <w:rFonts w:ascii="Times New Roman" w:hAnsi="Times New Roman" w:cs="Times New Roman"/>
                <w:szCs w:val="18"/>
              </w:rPr>
              <w:t>g: Gram</w:t>
            </w:r>
          </w:p>
          <w:p w14:paraId="73F84266" w14:textId="77777777" w:rsidR="00315B4D" w:rsidRDefault="00315B4D" w:rsidP="00315B4D">
            <w:pPr>
              <w:rPr>
                <w:rFonts w:ascii="Times New Roman" w:hAnsi="Times New Roman" w:cs="Times New Roman"/>
                <w:szCs w:val="18"/>
              </w:rPr>
            </w:pPr>
            <w:r>
              <w:rPr>
                <w:rFonts w:ascii="Times New Roman" w:hAnsi="Times New Roman" w:cs="Times New Roman"/>
                <w:szCs w:val="18"/>
              </w:rPr>
              <w:t>kcal: Kilocalorie</w:t>
            </w:r>
          </w:p>
          <w:p w14:paraId="3E498DC1" w14:textId="26D00A45" w:rsidR="004E630C" w:rsidRDefault="004E630C" w:rsidP="00315B4D">
            <w:pPr>
              <w:rPr>
                <w:rFonts w:ascii="Times New Roman" w:hAnsi="Times New Roman" w:cs="Times New Roman"/>
                <w:szCs w:val="18"/>
              </w:rPr>
            </w:pPr>
            <w:r>
              <w:rPr>
                <w:rFonts w:ascii="Times New Roman" w:hAnsi="Times New Roman" w:cs="Times New Roman"/>
                <w:szCs w:val="18"/>
              </w:rPr>
              <w:t>mcg: Microgram</w:t>
            </w:r>
          </w:p>
          <w:p w14:paraId="2FD03109" w14:textId="55ABE3A8" w:rsidR="004E630C" w:rsidRDefault="004E630C" w:rsidP="00315B4D">
            <w:pPr>
              <w:rPr>
                <w:rFonts w:ascii="Times New Roman" w:hAnsi="Times New Roman" w:cs="Times New Roman"/>
                <w:szCs w:val="18"/>
              </w:rPr>
            </w:pPr>
            <w:r>
              <w:rPr>
                <w:rFonts w:ascii="Times New Roman" w:hAnsi="Times New Roman" w:cs="Times New Roman"/>
                <w:szCs w:val="18"/>
              </w:rPr>
              <w:t>mg: Milligram</w:t>
            </w:r>
          </w:p>
          <w:p w14:paraId="16183F5D" w14:textId="77777777" w:rsidR="00315B4D" w:rsidRDefault="00315B4D" w:rsidP="00315B4D">
            <w:pPr>
              <w:rPr>
                <w:rFonts w:ascii="Times New Roman" w:hAnsi="Times New Roman" w:cs="Times New Roman"/>
                <w:szCs w:val="18"/>
              </w:rPr>
            </w:pPr>
            <w:r>
              <w:rPr>
                <w:rFonts w:ascii="Times New Roman" w:hAnsi="Times New Roman" w:cs="Times New Roman"/>
                <w:szCs w:val="18"/>
              </w:rPr>
              <w:t>NE: Niacin equivalent</w:t>
            </w:r>
          </w:p>
          <w:p w14:paraId="3B439373" w14:textId="77777777" w:rsidR="00315B4D" w:rsidRPr="00420436" w:rsidRDefault="00315B4D" w:rsidP="00315B4D">
            <w:pPr>
              <w:rPr>
                <w:rFonts w:ascii="Times New Roman" w:hAnsi="Times New Roman" w:cs="Times New Roman"/>
                <w:szCs w:val="18"/>
              </w:rPr>
            </w:pPr>
            <w:r w:rsidRPr="00420436">
              <w:rPr>
                <w:rFonts w:ascii="Times New Roman" w:hAnsi="Times New Roman" w:cs="Times New Roman"/>
                <w:szCs w:val="18"/>
              </w:rPr>
              <w:t>P: Percentile, e.g. 'P95' describes the 95th percentile.</w:t>
            </w:r>
          </w:p>
          <w:p w14:paraId="2A7C7341" w14:textId="77777777" w:rsidR="00315B4D" w:rsidRDefault="00315B4D" w:rsidP="00315B4D">
            <w:pPr>
              <w:rPr>
                <w:rFonts w:ascii="Times New Roman" w:hAnsi="Times New Roman" w:cs="Times New Roman"/>
                <w:szCs w:val="18"/>
              </w:rPr>
            </w:pPr>
            <w:r>
              <w:rPr>
                <w:rFonts w:ascii="Times New Roman" w:hAnsi="Times New Roman" w:cs="Times New Roman"/>
                <w:szCs w:val="18"/>
              </w:rPr>
              <w:t>RAE: Retinol activity equivalent</w:t>
            </w:r>
          </w:p>
          <w:p w14:paraId="035E3B3D" w14:textId="77777777" w:rsidR="00315B4D" w:rsidRPr="00420436" w:rsidRDefault="00315B4D" w:rsidP="00315B4D">
            <w:pPr>
              <w:rPr>
                <w:rFonts w:ascii="Times New Roman" w:hAnsi="Times New Roman" w:cs="Times New Roman"/>
                <w:szCs w:val="18"/>
              </w:rPr>
            </w:pPr>
            <w:r w:rsidRPr="00420436">
              <w:rPr>
                <w:rFonts w:ascii="Times New Roman" w:hAnsi="Times New Roman" w:cs="Times New Roman"/>
                <w:szCs w:val="18"/>
              </w:rPr>
              <w:lastRenderedPageBreak/>
              <w:t>SE: Standard Error</w:t>
            </w:r>
          </w:p>
          <w:p w14:paraId="3D6770FB" w14:textId="51135698" w:rsidR="00B845C1" w:rsidRPr="00420436" w:rsidRDefault="00315B4D" w:rsidP="00315B4D">
            <w:pPr>
              <w:rPr>
                <w:rFonts w:ascii="Times New Roman" w:hAnsi="Times New Roman" w:cs="Times New Roman"/>
                <w:szCs w:val="18"/>
              </w:rPr>
            </w:pPr>
            <w:r w:rsidRPr="00420436">
              <w:rPr>
                <w:rFonts w:ascii="Times New Roman" w:hAnsi="Times New Roman" w:cs="Times New Roman"/>
                <w:szCs w:val="18"/>
              </w:rPr>
              <w:t>UL: Tolerable Upper Intake Level</w:t>
            </w:r>
          </w:p>
        </w:tc>
      </w:tr>
      <w:tr w:rsidR="00B845C1" w:rsidRPr="006137C0" w14:paraId="5379529C" w14:textId="77777777" w:rsidTr="00CA2B3F">
        <w:tc>
          <w:tcPr>
            <w:tcW w:w="1838" w:type="dxa"/>
          </w:tcPr>
          <w:p w14:paraId="74C23BAD" w14:textId="60F5EDAD"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lastRenderedPageBreak/>
              <w:t>Notes and Legend - French</w:t>
            </w:r>
          </w:p>
        </w:tc>
        <w:tc>
          <w:tcPr>
            <w:tcW w:w="7512" w:type="dxa"/>
          </w:tcPr>
          <w:p w14:paraId="1122CB2F" w14:textId="77777777" w:rsidR="00983150" w:rsidRDefault="00983150" w:rsidP="00983150">
            <w:pPr>
              <w:rPr>
                <w:rFonts w:ascii="Times New Roman" w:hAnsi="Times New Roman" w:cs="Times New Roman"/>
                <w:szCs w:val="18"/>
                <w:lang w:val="fr-CA"/>
              </w:rPr>
            </w:pPr>
            <w:r w:rsidRPr="005F4C7D">
              <w:rPr>
                <w:rFonts w:ascii="Times New Roman" w:hAnsi="Times New Roman" w:cs="Times New Roman"/>
                <w:szCs w:val="18"/>
                <w:lang w:val="fr-CA"/>
              </w:rPr>
              <w:t>Ve</w:t>
            </w:r>
            <w:r>
              <w:rPr>
                <w:rFonts w:ascii="Times New Roman" w:hAnsi="Times New Roman" w:cs="Times New Roman"/>
                <w:szCs w:val="18"/>
                <w:lang w:val="fr-CA"/>
              </w:rPr>
              <w:t>uillez référer à l'onglet « A propos des données »</w:t>
            </w:r>
            <w:r w:rsidRPr="005F4C7D">
              <w:rPr>
                <w:rFonts w:ascii="Times New Roman" w:hAnsi="Times New Roman" w:cs="Times New Roman"/>
                <w:szCs w:val="18"/>
                <w:lang w:val="fr-CA"/>
              </w:rPr>
              <w:t xml:space="preserve"> pour des notes détaillées qui s'appliquent à tous les tableaux et graphiques de l'outil de données sur les apports </w:t>
            </w:r>
            <w:r>
              <w:rPr>
                <w:rFonts w:ascii="Times New Roman" w:hAnsi="Times New Roman" w:cs="Times New Roman"/>
                <w:szCs w:val="18"/>
                <w:lang w:val="fr-CA"/>
              </w:rPr>
              <w:t>usuels</w:t>
            </w:r>
            <w:r w:rsidRPr="005F4C7D">
              <w:rPr>
                <w:rFonts w:ascii="Times New Roman" w:hAnsi="Times New Roman" w:cs="Times New Roman"/>
                <w:szCs w:val="18"/>
                <w:lang w:val="fr-CA"/>
              </w:rPr>
              <w:t>.</w:t>
            </w:r>
          </w:p>
          <w:p w14:paraId="288F12D7" w14:textId="77777777" w:rsidR="00983150" w:rsidRDefault="00983150" w:rsidP="00315B4D">
            <w:pPr>
              <w:rPr>
                <w:rFonts w:ascii="Times New Roman" w:hAnsi="Times New Roman" w:cs="Times New Roman"/>
                <w:szCs w:val="18"/>
                <w:lang w:val="fr-CA"/>
              </w:rPr>
            </w:pPr>
          </w:p>
          <w:p w14:paraId="13D29820" w14:textId="77777777" w:rsidR="00983150" w:rsidRDefault="00983150" w:rsidP="00315B4D">
            <w:pPr>
              <w:rPr>
                <w:rFonts w:ascii="Times New Roman" w:hAnsi="Times New Roman" w:cs="Times New Roman"/>
                <w:szCs w:val="18"/>
                <w:lang w:val="fr-CA"/>
              </w:rPr>
            </w:pPr>
          </w:p>
          <w:p w14:paraId="3439F43F" w14:textId="77777777" w:rsidR="00315B4D" w:rsidRPr="00420436" w:rsidRDefault="00315B4D" w:rsidP="00315B4D">
            <w:pPr>
              <w:rPr>
                <w:rFonts w:ascii="Times New Roman" w:hAnsi="Times New Roman" w:cs="Times New Roman"/>
                <w:szCs w:val="18"/>
                <w:lang w:val="fr-CA"/>
              </w:rPr>
            </w:pPr>
            <w:r w:rsidRPr="00420436">
              <w:rPr>
                <w:rFonts w:ascii="Times New Roman" w:hAnsi="Times New Roman" w:cs="Times New Roman"/>
                <w:szCs w:val="18"/>
                <w:lang w:val="fr-CA"/>
              </w:rPr>
              <w:t>E: Données dont le coefficient de variation (CV) se situe entre 16,6% et 33,3%; utiliser avec prudence.</w:t>
            </w:r>
          </w:p>
          <w:p w14:paraId="2E5BF4DF" w14:textId="77777777" w:rsidR="00315B4D" w:rsidRPr="00420436" w:rsidRDefault="00315B4D" w:rsidP="00315B4D">
            <w:pPr>
              <w:rPr>
                <w:rFonts w:ascii="Times New Roman" w:hAnsi="Times New Roman" w:cs="Times New Roman"/>
                <w:szCs w:val="18"/>
                <w:lang w:val="fr-CA"/>
              </w:rPr>
            </w:pPr>
            <w:r w:rsidRPr="00420436">
              <w:rPr>
                <w:rFonts w:ascii="Times New Roman" w:hAnsi="Times New Roman" w:cs="Times New Roman"/>
                <w:szCs w:val="18"/>
                <w:lang w:val="fr-CA"/>
              </w:rPr>
              <w:t>&lt;3 : Données dont le coefficient de variation (CV) est supérieur à 33,3%, avec un intervalle de confiance de 95% entièrement compris entre 0 et 3%; utiliser avec prudence.</w:t>
            </w:r>
          </w:p>
          <w:p w14:paraId="18CDDCA4" w14:textId="77777777" w:rsidR="00315B4D" w:rsidRPr="00420436" w:rsidRDefault="00315B4D" w:rsidP="00315B4D">
            <w:pPr>
              <w:rPr>
                <w:rFonts w:ascii="Times New Roman" w:hAnsi="Times New Roman" w:cs="Times New Roman"/>
                <w:szCs w:val="18"/>
                <w:lang w:val="fr-CA"/>
              </w:rPr>
            </w:pPr>
            <w:r w:rsidRPr="00420436">
              <w:rPr>
                <w:rFonts w:ascii="Times New Roman" w:hAnsi="Times New Roman" w:cs="Times New Roman"/>
                <w:szCs w:val="18"/>
                <w:lang w:val="fr-CA"/>
              </w:rPr>
              <w:t>F : Données dont le coefficient de variation (CV) est supérieur à 33,3%, avec un intervalle de confiance de 95% pas entièrement compris entre 0 et 3%; supprimées en raison de l'extrême variabilité d'échantillonnage.</w:t>
            </w:r>
          </w:p>
          <w:p w14:paraId="2C9639F3" w14:textId="77777777" w:rsidR="00315B4D" w:rsidRPr="00420436" w:rsidRDefault="00315B4D" w:rsidP="00315B4D">
            <w:pPr>
              <w:rPr>
                <w:rFonts w:ascii="Times New Roman" w:hAnsi="Times New Roman" w:cs="Times New Roman"/>
                <w:szCs w:val="18"/>
                <w:lang w:val="fr-CA"/>
              </w:rPr>
            </w:pPr>
            <w:r w:rsidRPr="00420436">
              <w:rPr>
                <w:rFonts w:ascii="Times New Roman" w:hAnsi="Times New Roman" w:cs="Times New Roman"/>
                <w:szCs w:val="18"/>
                <w:lang w:val="fr-CA"/>
              </w:rPr>
              <w:t>AMT : Apport maximal tolérable</w:t>
            </w:r>
          </w:p>
          <w:p w14:paraId="1A39E5DD" w14:textId="77777777" w:rsidR="00315B4D" w:rsidRPr="00420436" w:rsidRDefault="00315B4D" w:rsidP="00315B4D">
            <w:pPr>
              <w:rPr>
                <w:rFonts w:ascii="Times New Roman" w:hAnsi="Times New Roman" w:cs="Times New Roman"/>
                <w:szCs w:val="18"/>
                <w:lang w:val="fr-CA"/>
              </w:rPr>
            </w:pPr>
            <w:r w:rsidRPr="00420436">
              <w:rPr>
                <w:rFonts w:ascii="Times New Roman" w:hAnsi="Times New Roman" w:cs="Times New Roman"/>
                <w:szCs w:val="18"/>
                <w:lang w:val="fr-CA"/>
              </w:rPr>
              <w:t>ANREF : Apports nutritionnels de référence</w:t>
            </w:r>
          </w:p>
          <w:p w14:paraId="3A3406CF" w14:textId="77777777" w:rsidR="00315B4D" w:rsidRPr="00420436" w:rsidRDefault="00315B4D" w:rsidP="00315B4D">
            <w:pPr>
              <w:rPr>
                <w:rFonts w:ascii="Times New Roman" w:hAnsi="Times New Roman" w:cs="Times New Roman"/>
                <w:szCs w:val="18"/>
                <w:lang w:val="fr-CA"/>
              </w:rPr>
            </w:pPr>
            <w:r w:rsidRPr="00420436">
              <w:rPr>
                <w:rFonts w:ascii="Times New Roman" w:hAnsi="Times New Roman" w:cs="Times New Roman"/>
                <w:szCs w:val="18"/>
                <w:lang w:val="fr-CA"/>
              </w:rPr>
              <w:t>AS : Apport suffisant</w:t>
            </w:r>
          </w:p>
          <w:p w14:paraId="78F5FD86" w14:textId="77777777" w:rsidR="00315B4D" w:rsidRPr="00420436" w:rsidRDefault="00315B4D" w:rsidP="00315B4D">
            <w:pPr>
              <w:rPr>
                <w:rFonts w:ascii="Times New Roman" w:hAnsi="Times New Roman" w:cs="Times New Roman"/>
                <w:szCs w:val="18"/>
                <w:lang w:val="fr-CA"/>
              </w:rPr>
            </w:pPr>
            <w:r w:rsidRPr="00420436">
              <w:rPr>
                <w:rFonts w:ascii="Times New Roman" w:hAnsi="Times New Roman" w:cs="Times New Roman"/>
                <w:szCs w:val="18"/>
                <w:lang w:val="fr-CA"/>
              </w:rPr>
              <w:t>BME : Besoin moyen estimatif</w:t>
            </w:r>
          </w:p>
          <w:p w14:paraId="100C0514" w14:textId="77777777" w:rsidR="00315B4D" w:rsidRDefault="00315B4D" w:rsidP="00315B4D">
            <w:pPr>
              <w:rPr>
                <w:rFonts w:ascii="Times New Roman" w:hAnsi="Times New Roman" w:cs="Times New Roman"/>
                <w:szCs w:val="18"/>
                <w:lang w:val="fr-CA"/>
              </w:rPr>
            </w:pPr>
            <w:r w:rsidRPr="00315B4D">
              <w:rPr>
                <w:rFonts w:ascii="Times New Roman" w:hAnsi="Times New Roman" w:cs="Times New Roman"/>
                <w:szCs w:val="18"/>
                <w:lang w:val="fr-CA"/>
              </w:rPr>
              <w:t>ÉAR: Éq</w:t>
            </w:r>
            <w:r>
              <w:rPr>
                <w:rFonts w:ascii="Times New Roman" w:hAnsi="Times New Roman" w:cs="Times New Roman"/>
                <w:szCs w:val="18"/>
                <w:lang w:val="fr-CA"/>
              </w:rPr>
              <w:t>uivalent d’activité du rétinol</w:t>
            </w:r>
          </w:p>
          <w:p w14:paraId="382B8C6F" w14:textId="77777777" w:rsidR="00315B4D" w:rsidRDefault="00315B4D" w:rsidP="00315B4D">
            <w:pPr>
              <w:rPr>
                <w:rFonts w:ascii="Times New Roman" w:hAnsi="Times New Roman" w:cs="Times New Roman"/>
                <w:szCs w:val="18"/>
                <w:lang w:val="fr-CA"/>
              </w:rPr>
            </w:pPr>
            <w:r w:rsidRPr="00315B4D">
              <w:rPr>
                <w:rFonts w:ascii="Times New Roman" w:hAnsi="Times New Roman" w:cs="Times New Roman"/>
                <w:szCs w:val="18"/>
                <w:lang w:val="fr-CA"/>
              </w:rPr>
              <w:t>ÉFA: Éq</w:t>
            </w:r>
            <w:r>
              <w:rPr>
                <w:rFonts w:ascii="Times New Roman" w:hAnsi="Times New Roman" w:cs="Times New Roman"/>
                <w:szCs w:val="18"/>
                <w:lang w:val="fr-CA"/>
              </w:rPr>
              <w:t>uivalent de folate alimentaire</w:t>
            </w:r>
          </w:p>
          <w:p w14:paraId="79B752B1" w14:textId="77777777" w:rsidR="00315B4D" w:rsidRDefault="00315B4D" w:rsidP="00315B4D">
            <w:pPr>
              <w:rPr>
                <w:rFonts w:ascii="Times New Roman" w:hAnsi="Times New Roman" w:cs="Times New Roman"/>
                <w:szCs w:val="18"/>
                <w:lang w:val="fr-CA"/>
              </w:rPr>
            </w:pPr>
            <w:r w:rsidRPr="00315B4D">
              <w:rPr>
                <w:rFonts w:ascii="Times New Roman" w:hAnsi="Times New Roman" w:cs="Times New Roman"/>
                <w:szCs w:val="18"/>
                <w:lang w:val="fr-CA"/>
              </w:rPr>
              <w:t>ÉN: Équivalent de niacine</w:t>
            </w:r>
          </w:p>
          <w:p w14:paraId="08EC3E60" w14:textId="77777777" w:rsidR="00315B4D" w:rsidRPr="00420436" w:rsidRDefault="00315B4D" w:rsidP="00315B4D">
            <w:pPr>
              <w:rPr>
                <w:rFonts w:ascii="Times New Roman" w:hAnsi="Times New Roman" w:cs="Times New Roman"/>
                <w:szCs w:val="18"/>
                <w:lang w:val="fr-CA"/>
              </w:rPr>
            </w:pPr>
            <w:r w:rsidRPr="00420436">
              <w:rPr>
                <w:rFonts w:ascii="Times New Roman" w:hAnsi="Times New Roman" w:cs="Times New Roman"/>
                <w:szCs w:val="18"/>
                <w:lang w:val="fr-CA"/>
              </w:rPr>
              <w:t>ET : Erreur type</w:t>
            </w:r>
          </w:p>
          <w:p w14:paraId="6A2195E8" w14:textId="77777777" w:rsidR="00315B4D" w:rsidRPr="00420436" w:rsidRDefault="00315B4D" w:rsidP="00315B4D">
            <w:pPr>
              <w:rPr>
                <w:rFonts w:ascii="Times New Roman" w:hAnsi="Times New Roman" w:cs="Times New Roman"/>
                <w:szCs w:val="18"/>
                <w:lang w:val="fr-CA"/>
              </w:rPr>
            </w:pPr>
            <w:r w:rsidRPr="00420436">
              <w:rPr>
                <w:rFonts w:ascii="Times New Roman" w:hAnsi="Times New Roman" w:cs="Times New Roman"/>
                <w:szCs w:val="18"/>
                <w:lang w:val="fr-CA"/>
              </w:rPr>
              <w:t>ÉVAM : Étendue des valeurs acceptables pour les macronutriments</w:t>
            </w:r>
          </w:p>
          <w:p w14:paraId="21B81808" w14:textId="2BC02575" w:rsidR="004E630C" w:rsidRDefault="004E630C" w:rsidP="00315B4D">
            <w:pPr>
              <w:rPr>
                <w:rFonts w:ascii="Times New Roman" w:hAnsi="Times New Roman" w:cs="Times New Roman"/>
                <w:szCs w:val="18"/>
                <w:lang w:val="fr-CA"/>
              </w:rPr>
            </w:pPr>
            <w:proofErr w:type="gramStart"/>
            <w:r>
              <w:rPr>
                <w:rFonts w:ascii="Times New Roman" w:hAnsi="Times New Roman" w:cs="Times New Roman"/>
                <w:szCs w:val="18"/>
                <w:lang w:val="fr-CA"/>
              </w:rPr>
              <w:t>g</w:t>
            </w:r>
            <w:proofErr w:type="gramEnd"/>
            <w:r>
              <w:rPr>
                <w:rFonts w:ascii="Times New Roman" w:hAnsi="Times New Roman" w:cs="Times New Roman"/>
                <w:szCs w:val="18"/>
                <w:lang w:val="fr-CA"/>
              </w:rPr>
              <w:t>: Gramme</w:t>
            </w:r>
          </w:p>
          <w:p w14:paraId="793EB7FA" w14:textId="6F0E4B09" w:rsidR="004E630C" w:rsidRDefault="004E630C" w:rsidP="00315B4D">
            <w:pPr>
              <w:rPr>
                <w:rFonts w:ascii="Times New Roman" w:hAnsi="Times New Roman" w:cs="Times New Roman"/>
                <w:szCs w:val="18"/>
                <w:lang w:val="fr-CA"/>
              </w:rPr>
            </w:pPr>
            <w:proofErr w:type="gramStart"/>
            <w:r>
              <w:rPr>
                <w:rFonts w:ascii="Times New Roman" w:hAnsi="Times New Roman" w:cs="Times New Roman"/>
                <w:szCs w:val="18"/>
                <w:lang w:val="fr-CA"/>
              </w:rPr>
              <w:t>j</w:t>
            </w:r>
            <w:proofErr w:type="gramEnd"/>
            <w:r>
              <w:rPr>
                <w:rFonts w:ascii="Times New Roman" w:hAnsi="Times New Roman" w:cs="Times New Roman"/>
                <w:szCs w:val="18"/>
                <w:lang w:val="fr-CA"/>
              </w:rPr>
              <w:t> : Jour</w:t>
            </w:r>
          </w:p>
          <w:p w14:paraId="2580C57E" w14:textId="77777777" w:rsidR="00315B4D" w:rsidRDefault="00315B4D" w:rsidP="00315B4D">
            <w:pPr>
              <w:rPr>
                <w:rFonts w:ascii="Times New Roman" w:hAnsi="Times New Roman" w:cs="Times New Roman"/>
                <w:szCs w:val="18"/>
                <w:lang w:val="fr-CA"/>
              </w:rPr>
            </w:pPr>
            <w:proofErr w:type="gramStart"/>
            <w:r w:rsidRPr="00315B4D">
              <w:rPr>
                <w:rFonts w:ascii="Times New Roman" w:hAnsi="Times New Roman" w:cs="Times New Roman"/>
                <w:szCs w:val="18"/>
                <w:lang w:val="fr-CA"/>
              </w:rPr>
              <w:t>kcal</w:t>
            </w:r>
            <w:proofErr w:type="gramEnd"/>
            <w:r w:rsidRPr="00315B4D">
              <w:rPr>
                <w:rFonts w:ascii="Times New Roman" w:hAnsi="Times New Roman" w:cs="Times New Roman"/>
                <w:szCs w:val="18"/>
                <w:lang w:val="fr-CA"/>
              </w:rPr>
              <w:t xml:space="preserve">: </w:t>
            </w:r>
            <w:r>
              <w:rPr>
                <w:rFonts w:ascii="Times New Roman" w:hAnsi="Times New Roman" w:cs="Times New Roman"/>
                <w:szCs w:val="18"/>
                <w:lang w:val="fr-CA"/>
              </w:rPr>
              <w:t>K</w:t>
            </w:r>
            <w:r w:rsidRPr="00315B4D">
              <w:rPr>
                <w:rFonts w:ascii="Times New Roman" w:hAnsi="Times New Roman" w:cs="Times New Roman"/>
                <w:szCs w:val="18"/>
                <w:lang w:val="fr-CA"/>
              </w:rPr>
              <w:t>ilocalorie</w:t>
            </w:r>
          </w:p>
          <w:p w14:paraId="78D2459A" w14:textId="28F9264A" w:rsidR="004E630C" w:rsidRDefault="004E630C" w:rsidP="00315B4D">
            <w:pPr>
              <w:rPr>
                <w:rFonts w:ascii="Times New Roman" w:hAnsi="Times New Roman" w:cs="Times New Roman"/>
                <w:szCs w:val="18"/>
                <w:lang w:val="fr-CA"/>
              </w:rPr>
            </w:pPr>
            <w:proofErr w:type="spellStart"/>
            <w:proofErr w:type="gramStart"/>
            <w:r>
              <w:rPr>
                <w:rFonts w:ascii="Times New Roman" w:hAnsi="Times New Roman" w:cs="Times New Roman"/>
                <w:szCs w:val="18"/>
                <w:lang w:val="fr-CA"/>
              </w:rPr>
              <w:t>mcg</w:t>
            </w:r>
            <w:proofErr w:type="spellEnd"/>
            <w:proofErr w:type="gramEnd"/>
            <w:r>
              <w:rPr>
                <w:rFonts w:ascii="Times New Roman" w:hAnsi="Times New Roman" w:cs="Times New Roman"/>
                <w:szCs w:val="18"/>
                <w:lang w:val="fr-CA"/>
              </w:rPr>
              <w:t> : Microgramme</w:t>
            </w:r>
          </w:p>
          <w:p w14:paraId="0569D1EC" w14:textId="31392878" w:rsidR="004E630C" w:rsidRDefault="004E630C" w:rsidP="00315B4D">
            <w:pPr>
              <w:rPr>
                <w:rFonts w:ascii="Times New Roman" w:hAnsi="Times New Roman" w:cs="Times New Roman"/>
                <w:szCs w:val="18"/>
                <w:lang w:val="fr-CA"/>
              </w:rPr>
            </w:pPr>
            <w:proofErr w:type="gramStart"/>
            <w:r>
              <w:rPr>
                <w:rFonts w:ascii="Times New Roman" w:hAnsi="Times New Roman" w:cs="Times New Roman"/>
                <w:szCs w:val="18"/>
                <w:lang w:val="fr-CA"/>
              </w:rPr>
              <w:t>mg</w:t>
            </w:r>
            <w:proofErr w:type="gramEnd"/>
            <w:r>
              <w:rPr>
                <w:rFonts w:ascii="Times New Roman" w:hAnsi="Times New Roman" w:cs="Times New Roman"/>
                <w:szCs w:val="18"/>
                <w:lang w:val="fr-CA"/>
              </w:rPr>
              <w:t> : Milligramme</w:t>
            </w:r>
          </w:p>
          <w:p w14:paraId="58252EF1" w14:textId="77777777" w:rsidR="00315B4D" w:rsidRPr="00420436" w:rsidRDefault="00315B4D" w:rsidP="00315B4D">
            <w:pPr>
              <w:rPr>
                <w:rFonts w:ascii="Times New Roman" w:hAnsi="Times New Roman" w:cs="Times New Roman"/>
                <w:szCs w:val="18"/>
                <w:lang w:val="fr-CA"/>
              </w:rPr>
            </w:pPr>
            <w:r w:rsidRPr="00420436">
              <w:rPr>
                <w:rFonts w:ascii="Times New Roman" w:hAnsi="Times New Roman" w:cs="Times New Roman"/>
                <w:szCs w:val="18"/>
                <w:lang w:val="fr-CA"/>
              </w:rPr>
              <w:t xml:space="preserve">P : Percentile, p. ex. “P95” </w:t>
            </w:r>
            <w:proofErr w:type="spellStart"/>
            <w:r w:rsidRPr="00420436">
              <w:rPr>
                <w:rFonts w:ascii="Times New Roman" w:hAnsi="Times New Roman" w:cs="Times New Roman"/>
                <w:szCs w:val="18"/>
                <w:lang w:val="fr-CA"/>
              </w:rPr>
              <w:t>decrit</w:t>
            </w:r>
            <w:proofErr w:type="spellEnd"/>
            <w:r w:rsidRPr="00420436">
              <w:rPr>
                <w:rFonts w:ascii="Times New Roman" w:hAnsi="Times New Roman" w:cs="Times New Roman"/>
                <w:szCs w:val="18"/>
                <w:lang w:val="fr-CA"/>
              </w:rPr>
              <w:t xml:space="preserve"> le 95e percentile.</w:t>
            </w:r>
          </w:p>
          <w:p w14:paraId="5A784845" w14:textId="2586A7EC" w:rsidR="00B845C1" w:rsidRPr="00420436" w:rsidRDefault="00315B4D" w:rsidP="00315B4D">
            <w:pPr>
              <w:rPr>
                <w:rFonts w:ascii="Times New Roman" w:hAnsi="Times New Roman" w:cs="Times New Roman"/>
                <w:szCs w:val="18"/>
                <w:lang w:val="fr-CA"/>
              </w:rPr>
            </w:pPr>
            <w:r w:rsidRPr="00420436">
              <w:rPr>
                <w:rFonts w:ascii="Times New Roman" w:hAnsi="Times New Roman" w:cs="Times New Roman"/>
                <w:szCs w:val="18"/>
                <w:lang w:val="fr-CA"/>
              </w:rPr>
              <w:t>RRMC : Apport relié à un risque réduit de maladie chronique</w:t>
            </w:r>
          </w:p>
        </w:tc>
      </w:tr>
      <w:tr w:rsidR="00B845C1" w:rsidRPr="00420436" w14:paraId="1EB1AF7A" w14:textId="77777777" w:rsidTr="00CA2B3F">
        <w:tc>
          <w:tcPr>
            <w:tcW w:w="1838" w:type="dxa"/>
          </w:tcPr>
          <w:p w14:paraId="5373922D" w14:textId="4A5A4900"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Download options</w:t>
            </w:r>
          </w:p>
        </w:tc>
        <w:tc>
          <w:tcPr>
            <w:tcW w:w="7512" w:type="dxa"/>
          </w:tcPr>
          <w:p w14:paraId="12A22962" w14:textId="6C236BE6"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 Download graph</w:t>
            </w:r>
          </w:p>
          <w:p w14:paraId="04AF6044" w14:textId="530F1E84"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 Download table as displayed</w:t>
            </w:r>
          </w:p>
          <w:p w14:paraId="13BB978D" w14:textId="570CCD52"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 Download full dataset</w:t>
            </w:r>
          </w:p>
        </w:tc>
      </w:tr>
    </w:tbl>
    <w:p w14:paraId="758B2D99" w14:textId="5F2936AD" w:rsidR="00F420FB" w:rsidRPr="00420436" w:rsidRDefault="00F420FB" w:rsidP="00F420FB">
      <w:pPr>
        <w:spacing w:after="0"/>
        <w:rPr>
          <w:rFonts w:ascii="Times New Roman" w:hAnsi="Times New Roman" w:cs="Times New Roman"/>
          <w:szCs w:val="18"/>
        </w:rPr>
      </w:pPr>
    </w:p>
    <w:p w14:paraId="039563C6" w14:textId="5DE1E7C9" w:rsidR="00EE1229" w:rsidRPr="00420436" w:rsidRDefault="00E47C48" w:rsidP="00EE1229">
      <w:pPr>
        <w:spacing w:after="0"/>
        <w:rPr>
          <w:rFonts w:ascii="Times New Roman" w:hAnsi="Times New Roman" w:cs="Times New Roman"/>
          <w:szCs w:val="18"/>
        </w:rPr>
      </w:pPr>
      <w:r w:rsidRPr="00420436">
        <w:rPr>
          <w:rFonts w:ascii="Times New Roman" w:hAnsi="Times New Roman" w:cs="Times New Roman"/>
          <w:szCs w:val="18"/>
          <w:u w:val="single"/>
        </w:rPr>
        <w:t>Tab</w:t>
      </w:r>
      <w:r w:rsidR="00EE1229" w:rsidRPr="00420436">
        <w:rPr>
          <w:rFonts w:ascii="Times New Roman" w:hAnsi="Times New Roman" w:cs="Times New Roman"/>
          <w:szCs w:val="18"/>
          <w:u w:val="single"/>
        </w:rPr>
        <w:t xml:space="preserve"> #</w:t>
      </w:r>
      <w:r w:rsidR="00D3397A">
        <w:rPr>
          <w:rFonts w:ascii="Times New Roman" w:hAnsi="Times New Roman" w:cs="Times New Roman"/>
          <w:szCs w:val="18"/>
          <w:u w:val="single"/>
        </w:rPr>
        <w:t>4</w:t>
      </w:r>
      <w:r w:rsidR="00EE1229" w:rsidRPr="00420436">
        <w:rPr>
          <w:rFonts w:ascii="Times New Roman" w:hAnsi="Times New Roman" w:cs="Times New Roman"/>
          <w:szCs w:val="18"/>
          <w:u w:val="single"/>
        </w:rPr>
        <w:t xml:space="preserve"> – </w:t>
      </w:r>
      <w:r w:rsidRPr="00420436">
        <w:rPr>
          <w:rFonts w:ascii="Times New Roman" w:hAnsi="Times New Roman" w:cs="Times New Roman"/>
          <w:szCs w:val="18"/>
          <w:u w:val="single"/>
        </w:rPr>
        <w:t>Geographic comparisons</w:t>
      </w:r>
      <w:r w:rsidR="00B845C1" w:rsidRPr="00420436">
        <w:rPr>
          <w:rFonts w:ascii="Times New Roman" w:hAnsi="Times New Roman" w:cs="Times New Roman"/>
          <w:szCs w:val="18"/>
          <w:u w:val="single"/>
        </w:rPr>
        <w:t>:</w:t>
      </w:r>
      <w:r w:rsidR="00B845C1" w:rsidRPr="00420436">
        <w:rPr>
          <w:rFonts w:ascii="Times New Roman" w:hAnsi="Times New Roman" w:cs="Times New Roman"/>
          <w:szCs w:val="18"/>
        </w:rPr>
        <w:t xml:space="preserve"> </w:t>
      </w:r>
      <w:r w:rsidR="00EE1229" w:rsidRPr="00420436">
        <w:rPr>
          <w:rFonts w:ascii="Times New Roman" w:hAnsi="Times New Roman" w:cs="Times New Roman"/>
          <w:szCs w:val="18"/>
        </w:rPr>
        <w:t xml:space="preserve">The goal of this tool is to </w:t>
      </w:r>
      <w:r w:rsidR="00B845C1" w:rsidRPr="00420436">
        <w:rPr>
          <w:rFonts w:ascii="Times New Roman" w:hAnsi="Times New Roman" w:cs="Times New Roman"/>
          <w:szCs w:val="18"/>
        </w:rPr>
        <w:t xml:space="preserve">enable </w:t>
      </w:r>
      <w:r w:rsidR="00EE1229" w:rsidRPr="00420436">
        <w:rPr>
          <w:rFonts w:ascii="Times New Roman" w:hAnsi="Times New Roman" w:cs="Times New Roman"/>
          <w:szCs w:val="18"/>
        </w:rPr>
        <w:t>users</w:t>
      </w:r>
      <w:r w:rsidR="00B845C1" w:rsidRPr="00420436">
        <w:rPr>
          <w:rFonts w:ascii="Times New Roman" w:hAnsi="Times New Roman" w:cs="Times New Roman"/>
          <w:szCs w:val="18"/>
        </w:rPr>
        <w:t xml:space="preserve"> to</w:t>
      </w:r>
      <w:r w:rsidR="00EE1229" w:rsidRPr="00420436">
        <w:rPr>
          <w:rFonts w:ascii="Times New Roman" w:hAnsi="Times New Roman" w:cs="Times New Roman"/>
          <w:szCs w:val="18"/>
        </w:rPr>
        <w:t xml:space="preserve"> </w:t>
      </w:r>
      <w:r w:rsidR="00D25C78" w:rsidRPr="00420436">
        <w:rPr>
          <w:rFonts w:ascii="Times New Roman" w:hAnsi="Times New Roman" w:cs="Times New Roman"/>
          <w:szCs w:val="18"/>
        </w:rPr>
        <w:t>see whether Canadians are consuming inadequate or excessive amounts of nutrients of public health concern and if this differs across the provinces. This is an update to the maps presented in the Nutrition and Health Atlas. An example figure is presented below:</w:t>
      </w:r>
    </w:p>
    <w:p w14:paraId="4D277CE0" w14:textId="70523FD6" w:rsidR="00B845C1" w:rsidRPr="00420436" w:rsidRDefault="00B845C1" w:rsidP="00B845C1">
      <w:pPr>
        <w:spacing w:after="0"/>
        <w:jc w:val="center"/>
        <w:rPr>
          <w:rFonts w:ascii="Times New Roman" w:hAnsi="Times New Roman" w:cs="Times New Roman"/>
          <w:szCs w:val="18"/>
        </w:rPr>
      </w:pPr>
      <w:r w:rsidRPr="00420436">
        <w:rPr>
          <w:noProof/>
          <w:sz w:val="28"/>
          <w:lang w:eastAsia="en-CA"/>
        </w:rPr>
        <w:lastRenderedPageBreak/>
        <w:drawing>
          <wp:inline distT="0" distB="0" distL="0" distR="0" wp14:anchorId="1E67E97C" wp14:editId="1374ED87">
            <wp:extent cx="3634550" cy="28215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43445" cy="2828465"/>
                    </a:xfrm>
                    <a:prstGeom prst="rect">
                      <a:avLst/>
                    </a:prstGeom>
                  </pic:spPr>
                </pic:pic>
              </a:graphicData>
            </a:graphic>
          </wp:inline>
        </w:drawing>
      </w:r>
    </w:p>
    <w:p w14:paraId="1521506A" w14:textId="77777777" w:rsidR="00585289" w:rsidRPr="00420436" w:rsidRDefault="00585289" w:rsidP="00EE1229">
      <w:pPr>
        <w:spacing w:after="0"/>
        <w:rPr>
          <w:rFonts w:ascii="Times New Roman" w:hAnsi="Times New Roman" w:cs="Times New Roman"/>
          <w:szCs w:val="18"/>
        </w:rPr>
      </w:pPr>
    </w:p>
    <w:tbl>
      <w:tblPr>
        <w:tblStyle w:val="TableGrid"/>
        <w:tblW w:w="0" w:type="auto"/>
        <w:tblLook w:val="04A0" w:firstRow="1" w:lastRow="0" w:firstColumn="1" w:lastColumn="0" w:noHBand="0" w:noVBand="1"/>
      </w:tblPr>
      <w:tblGrid>
        <w:gridCol w:w="1838"/>
        <w:gridCol w:w="7512"/>
      </w:tblGrid>
      <w:tr w:rsidR="00585289" w:rsidRPr="00420436" w14:paraId="5B341B69" w14:textId="77777777" w:rsidTr="00CA2B3F">
        <w:tc>
          <w:tcPr>
            <w:tcW w:w="1838" w:type="dxa"/>
          </w:tcPr>
          <w:p w14:paraId="3A16AFCD" w14:textId="66DB4953" w:rsidR="00585289" w:rsidRPr="00420436" w:rsidRDefault="00B845C1" w:rsidP="00CA2B3F">
            <w:pPr>
              <w:rPr>
                <w:rFonts w:ascii="Times New Roman" w:hAnsi="Times New Roman" w:cs="Times New Roman"/>
                <w:szCs w:val="18"/>
              </w:rPr>
            </w:pPr>
            <w:r w:rsidRPr="00420436">
              <w:rPr>
                <w:rFonts w:ascii="Times New Roman" w:hAnsi="Times New Roman" w:cs="Times New Roman"/>
                <w:szCs w:val="18"/>
              </w:rPr>
              <w:t>Data file</w:t>
            </w:r>
          </w:p>
        </w:tc>
        <w:tc>
          <w:tcPr>
            <w:tcW w:w="7512" w:type="dxa"/>
          </w:tcPr>
          <w:p w14:paraId="13631548" w14:textId="40541DC3" w:rsidR="00585289" w:rsidRPr="00420436" w:rsidRDefault="00B845C1" w:rsidP="00585289">
            <w:pPr>
              <w:rPr>
                <w:rFonts w:ascii="Times New Roman" w:hAnsi="Times New Roman" w:cs="Times New Roman"/>
                <w:szCs w:val="18"/>
              </w:rPr>
            </w:pPr>
            <w:r w:rsidRPr="00420436">
              <w:rPr>
                <w:rFonts w:ascii="Times New Roman" w:hAnsi="Times New Roman" w:cs="Times New Roman"/>
                <w:szCs w:val="18"/>
              </w:rPr>
              <w:t>Y:\HC\HPFB\FD\BFSSI\HEALTH RISK PROTECTION HC6\SURVEILLANCE\2015 CCHS Nutrition\Dissemination\</w:t>
            </w:r>
            <w:proofErr w:type="spellStart"/>
            <w:r w:rsidRPr="00420436">
              <w:rPr>
                <w:rFonts w:ascii="Times New Roman" w:hAnsi="Times New Roman" w:cs="Times New Roman"/>
                <w:szCs w:val="18"/>
              </w:rPr>
              <w:t>Infobase</w:t>
            </w:r>
            <w:proofErr w:type="spellEnd"/>
            <w:r w:rsidRPr="00420436">
              <w:rPr>
                <w:rFonts w:ascii="Times New Roman" w:hAnsi="Times New Roman" w:cs="Times New Roman"/>
                <w:szCs w:val="18"/>
              </w:rPr>
              <w:t>\Data files\Percent Below EAR with SE from Cunye</w:t>
            </w:r>
          </w:p>
        </w:tc>
      </w:tr>
      <w:tr w:rsidR="00B845C1" w:rsidRPr="00420436" w14:paraId="6327D9A4" w14:textId="77777777" w:rsidTr="00CA2B3F">
        <w:tc>
          <w:tcPr>
            <w:tcW w:w="1838" w:type="dxa"/>
          </w:tcPr>
          <w:p w14:paraId="1DE007C8" w14:textId="4AD135C9" w:rsidR="00B845C1" w:rsidRPr="00420436" w:rsidRDefault="00B845C1" w:rsidP="00CA2B3F">
            <w:pPr>
              <w:rPr>
                <w:rFonts w:ascii="Times New Roman" w:hAnsi="Times New Roman" w:cs="Times New Roman"/>
                <w:szCs w:val="18"/>
              </w:rPr>
            </w:pPr>
            <w:r w:rsidRPr="00420436">
              <w:rPr>
                <w:rFonts w:ascii="Times New Roman" w:hAnsi="Times New Roman" w:cs="Times New Roman"/>
                <w:szCs w:val="18"/>
              </w:rPr>
              <w:t>Notes about the data</w:t>
            </w:r>
          </w:p>
        </w:tc>
        <w:tc>
          <w:tcPr>
            <w:tcW w:w="7512" w:type="dxa"/>
          </w:tcPr>
          <w:p w14:paraId="36973DBA" w14:textId="04722DAF" w:rsidR="00B845C1" w:rsidRPr="00420436" w:rsidRDefault="00B845C1" w:rsidP="00585289">
            <w:pPr>
              <w:rPr>
                <w:rFonts w:ascii="Times New Roman" w:hAnsi="Times New Roman" w:cs="Times New Roman"/>
                <w:szCs w:val="18"/>
              </w:rPr>
            </w:pPr>
            <w:r w:rsidRPr="00420436">
              <w:rPr>
                <w:rFonts w:ascii="Times New Roman" w:hAnsi="Times New Roman" w:cs="Times New Roman"/>
                <w:szCs w:val="18"/>
              </w:rPr>
              <w:t xml:space="preserve">Some nutrients only have data for males and females combined </w:t>
            </w:r>
          </w:p>
        </w:tc>
      </w:tr>
      <w:tr w:rsidR="005D2A2E" w:rsidRPr="00420436" w14:paraId="467611E8" w14:textId="77777777" w:rsidTr="00CA2B3F">
        <w:tc>
          <w:tcPr>
            <w:tcW w:w="1838" w:type="dxa"/>
          </w:tcPr>
          <w:p w14:paraId="790C6415" w14:textId="77777777" w:rsidR="005D2A2E" w:rsidRPr="00420436" w:rsidRDefault="005D2A2E" w:rsidP="00CA2B3F">
            <w:pPr>
              <w:rPr>
                <w:rFonts w:ascii="Times New Roman" w:hAnsi="Times New Roman" w:cs="Times New Roman"/>
                <w:szCs w:val="18"/>
              </w:rPr>
            </w:pPr>
            <w:r w:rsidRPr="00420436">
              <w:rPr>
                <w:rFonts w:ascii="Times New Roman" w:hAnsi="Times New Roman" w:cs="Times New Roman"/>
                <w:szCs w:val="18"/>
              </w:rPr>
              <w:t>Tab title</w:t>
            </w:r>
          </w:p>
        </w:tc>
        <w:tc>
          <w:tcPr>
            <w:tcW w:w="7512" w:type="dxa"/>
          </w:tcPr>
          <w:p w14:paraId="6B686AC5" w14:textId="77777777" w:rsidR="005D2A2E" w:rsidRPr="00420436" w:rsidRDefault="005D2A2E" w:rsidP="00585289">
            <w:pPr>
              <w:rPr>
                <w:rFonts w:ascii="Times New Roman" w:hAnsi="Times New Roman" w:cs="Times New Roman"/>
                <w:szCs w:val="18"/>
              </w:rPr>
            </w:pPr>
            <w:r w:rsidRPr="00420436">
              <w:rPr>
                <w:rFonts w:ascii="Times New Roman" w:hAnsi="Times New Roman" w:cs="Times New Roman"/>
                <w:szCs w:val="18"/>
              </w:rPr>
              <w:t>ENGLISH: Geographic comparison</w:t>
            </w:r>
          </w:p>
          <w:p w14:paraId="1FD4EC33" w14:textId="77777777" w:rsidR="005D2A2E" w:rsidRPr="00420436" w:rsidRDefault="005D2A2E" w:rsidP="00585289">
            <w:pPr>
              <w:rPr>
                <w:rFonts w:ascii="Times New Roman" w:hAnsi="Times New Roman" w:cs="Times New Roman"/>
                <w:szCs w:val="18"/>
              </w:rPr>
            </w:pPr>
            <w:r w:rsidRPr="00420436">
              <w:rPr>
                <w:rFonts w:ascii="Times New Roman" w:hAnsi="Times New Roman" w:cs="Times New Roman"/>
                <w:szCs w:val="18"/>
              </w:rPr>
              <w:t xml:space="preserve">FRENCH: </w:t>
            </w:r>
            <w:proofErr w:type="spellStart"/>
            <w:r w:rsidRPr="00420436">
              <w:rPr>
                <w:rFonts w:ascii="Times New Roman" w:hAnsi="Times New Roman" w:cs="Times New Roman"/>
                <w:szCs w:val="18"/>
              </w:rPr>
              <w:t>Comparaison</w:t>
            </w:r>
            <w:proofErr w:type="spellEnd"/>
            <w:r w:rsidRPr="00420436">
              <w:rPr>
                <w:rFonts w:ascii="Times New Roman" w:hAnsi="Times New Roman" w:cs="Times New Roman"/>
                <w:szCs w:val="18"/>
              </w:rPr>
              <w:t xml:space="preserve"> </w:t>
            </w:r>
            <w:proofErr w:type="spellStart"/>
            <w:r w:rsidRPr="00420436">
              <w:rPr>
                <w:rFonts w:ascii="Times New Roman" w:hAnsi="Times New Roman" w:cs="Times New Roman"/>
                <w:szCs w:val="18"/>
              </w:rPr>
              <w:t>géographique</w:t>
            </w:r>
            <w:proofErr w:type="spellEnd"/>
          </w:p>
        </w:tc>
      </w:tr>
      <w:tr w:rsidR="00585289" w:rsidRPr="00420436" w14:paraId="2296A1F2" w14:textId="77777777" w:rsidTr="00CA2B3F">
        <w:tc>
          <w:tcPr>
            <w:tcW w:w="1838" w:type="dxa"/>
          </w:tcPr>
          <w:p w14:paraId="3A99BFA8" w14:textId="77777777" w:rsidR="00585289" w:rsidRPr="00420436" w:rsidRDefault="00585289" w:rsidP="00CA2B3F">
            <w:pPr>
              <w:rPr>
                <w:rFonts w:ascii="Times New Roman" w:hAnsi="Times New Roman" w:cs="Times New Roman"/>
                <w:szCs w:val="18"/>
              </w:rPr>
            </w:pPr>
            <w:r w:rsidRPr="00420436">
              <w:rPr>
                <w:rFonts w:ascii="Times New Roman" w:hAnsi="Times New Roman" w:cs="Times New Roman"/>
                <w:szCs w:val="18"/>
              </w:rPr>
              <w:t>Selectable fields</w:t>
            </w:r>
          </w:p>
        </w:tc>
        <w:tc>
          <w:tcPr>
            <w:tcW w:w="7512" w:type="dxa"/>
          </w:tcPr>
          <w:p w14:paraId="2EAFEA42" w14:textId="77777777"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 xml:space="preserve">▪ Nutrient </w:t>
            </w:r>
            <w:r w:rsidRPr="00420436">
              <w:rPr>
                <w:rFonts w:ascii="Times New Roman" w:hAnsi="Times New Roman" w:cs="Times New Roman"/>
                <w:szCs w:val="18"/>
              </w:rPr>
              <w:sym w:font="Wingdings" w:char="F0E0"/>
            </w:r>
            <w:r w:rsidRPr="00420436">
              <w:rPr>
                <w:rFonts w:ascii="Times New Roman" w:hAnsi="Times New Roman" w:cs="Times New Roman"/>
                <w:szCs w:val="18"/>
              </w:rPr>
              <w:t xml:space="preserve"> limited to selecting only one</w:t>
            </w:r>
          </w:p>
          <w:p w14:paraId="375A69B9" w14:textId="6DF66245" w:rsidR="00585289" w:rsidRPr="00420436" w:rsidRDefault="00B845C1" w:rsidP="00585289">
            <w:pPr>
              <w:rPr>
                <w:rFonts w:ascii="Times New Roman" w:hAnsi="Times New Roman" w:cs="Times New Roman"/>
                <w:szCs w:val="18"/>
              </w:rPr>
            </w:pPr>
            <w:r w:rsidRPr="00420436">
              <w:rPr>
                <w:rFonts w:ascii="Times New Roman" w:hAnsi="Times New Roman" w:cs="Times New Roman"/>
                <w:szCs w:val="18"/>
              </w:rPr>
              <w:t xml:space="preserve">▪ Sex </w:t>
            </w:r>
            <w:r w:rsidRPr="00420436">
              <w:rPr>
                <w:rFonts w:ascii="Times New Roman" w:hAnsi="Times New Roman" w:cs="Times New Roman"/>
                <w:szCs w:val="18"/>
              </w:rPr>
              <w:sym w:font="Wingdings" w:char="F0E0"/>
            </w:r>
            <w:r w:rsidRPr="00420436">
              <w:rPr>
                <w:rFonts w:ascii="Times New Roman" w:hAnsi="Times New Roman" w:cs="Times New Roman"/>
                <w:szCs w:val="18"/>
              </w:rPr>
              <w:t xml:space="preserve"> limited to selecting only one </w:t>
            </w:r>
          </w:p>
        </w:tc>
      </w:tr>
      <w:tr w:rsidR="00585289" w:rsidRPr="00420436" w14:paraId="37DBC805" w14:textId="77777777" w:rsidTr="00CA2B3F">
        <w:tc>
          <w:tcPr>
            <w:tcW w:w="1838" w:type="dxa"/>
          </w:tcPr>
          <w:p w14:paraId="07CF7C30" w14:textId="77777777" w:rsidR="00585289" w:rsidRPr="00420436" w:rsidRDefault="00585289" w:rsidP="00CA2B3F">
            <w:pPr>
              <w:rPr>
                <w:rFonts w:ascii="Times New Roman" w:hAnsi="Times New Roman" w:cs="Times New Roman"/>
                <w:szCs w:val="18"/>
              </w:rPr>
            </w:pPr>
            <w:r w:rsidRPr="00420436">
              <w:rPr>
                <w:rFonts w:ascii="Times New Roman" w:hAnsi="Times New Roman" w:cs="Times New Roman"/>
                <w:szCs w:val="18"/>
              </w:rPr>
              <w:t>Default selection</w:t>
            </w:r>
          </w:p>
        </w:tc>
        <w:tc>
          <w:tcPr>
            <w:tcW w:w="7512" w:type="dxa"/>
          </w:tcPr>
          <w:p w14:paraId="2024F05F" w14:textId="77777777" w:rsidR="00585289" w:rsidRPr="00420436" w:rsidRDefault="00585289" w:rsidP="00585289">
            <w:pPr>
              <w:rPr>
                <w:rFonts w:ascii="Times New Roman" w:hAnsi="Times New Roman" w:cs="Times New Roman"/>
                <w:szCs w:val="18"/>
              </w:rPr>
            </w:pPr>
            <w:r w:rsidRPr="00420436">
              <w:rPr>
                <w:rFonts w:ascii="Times New Roman" w:hAnsi="Times New Roman" w:cs="Times New Roman"/>
                <w:szCs w:val="18"/>
              </w:rPr>
              <w:t>▪ Nutrient: sodium</w:t>
            </w:r>
          </w:p>
          <w:p w14:paraId="3DDBE48D" w14:textId="055084FC"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 Sex: Both</w:t>
            </w:r>
          </w:p>
        </w:tc>
      </w:tr>
      <w:tr w:rsidR="00585289" w:rsidRPr="00420436" w14:paraId="2608B614" w14:textId="77777777" w:rsidTr="00CA2B3F">
        <w:tc>
          <w:tcPr>
            <w:tcW w:w="1838" w:type="dxa"/>
          </w:tcPr>
          <w:p w14:paraId="059536A5" w14:textId="77777777" w:rsidR="00585289" w:rsidRPr="00420436" w:rsidRDefault="00585289" w:rsidP="00585289">
            <w:pPr>
              <w:rPr>
                <w:rFonts w:ascii="Times New Roman" w:hAnsi="Times New Roman" w:cs="Times New Roman"/>
                <w:szCs w:val="18"/>
              </w:rPr>
            </w:pPr>
            <w:r w:rsidRPr="00420436">
              <w:rPr>
                <w:rFonts w:ascii="Times New Roman" w:hAnsi="Times New Roman" w:cs="Times New Roman"/>
                <w:szCs w:val="18"/>
              </w:rPr>
              <w:t xml:space="preserve">Graph </w:t>
            </w:r>
            <w:r w:rsidR="009C2727" w:rsidRPr="00420436">
              <w:rPr>
                <w:rFonts w:ascii="Times New Roman" w:hAnsi="Times New Roman" w:cs="Times New Roman"/>
                <w:szCs w:val="18"/>
              </w:rPr>
              <w:t xml:space="preserve">and summary data table </w:t>
            </w:r>
            <w:r w:rsidRPr="00420436">
              <w:rPr>
                <w:rFonts w:ascii="Times New Roman" w:hAnsi="Times New Roman" w:cs="Times New Roman"/>
                <w:szCs w:val="18"/>
              </w:rPr>
              <w:t>title - English</w:t>
            </w:r>
          </w:p>
        </w:tc>
        <w:tc>
          <w:tcPr>
            <w:tcW w:w="7512" w:type="dxa"/>
          </w:tcPr>
          <w:p w14:paraId="485E0EB7" w14:textId="14D7E488" w:rsidR="00585289" w:rsidRPr="00420436" w:rsidRDefault="00585289" w:rsidP="00585289">
            <w:pPr>
              <w:rPr>
                <w:rFonts w:ascii="Times New Roman" w:hAnsi="Times New Roman" w:cs="Times New Roman"/>
                <w:szCs w:val="18"/>
              </w:rPr>
            </w:pPr>
            <w:r w:rsidRPr="00420436">
              <w:rPr>
                <w:rFonts w:ascii="Times New Roman" w:hAnsi="Times New Roman" w:cs="Times New Roman"/>
                <w:szCs w:val="18"/>
              </w:rPr>
              <w:t>▪ Graph title: Percentage of adults age 19 and over with a usual intake of [</w:t>
            </w:r>
            <w:r w:rsidR="005D2A2E" w:rsidRPr="00420436">
              <w:rPr>
                <w:rFonts w:ascii="Times New Roman" w:hAnsi="Times New Roman" w:cs="Times New Roman"/>
                <w:szCs w:val="18"/>
              </w:rPr>
              <w:t>Nutrient/Item</w:t>
            </w:r>
            <w:r w:rsidRPr="00420436">
              <w:rPr>
                <w:rFonts w:ascii="Times New Roman" w:hAnsi="Times New Roman" w:cs="Times New Roman"/>
                <w:szCs w:val="18"/>
              </w:rPr>
              <w:t>]</w:t>
            </w:r>
            <w:r w:rsidR="005D2A2E" w:rsidRPr="00420436">
              <w:rPr>
                <w:rFonts w:ascii="Times New Roman" w:hAnsi="Times New Roman" w:cs="Times New Roman"/>
                <w:szCs w:val="18"/>
              </w:rPr>
              <w:t xml:space="preserve"> [Prefix-EN] the [DRI type],</w:t>
            </w:r>
            <w:r w:rsidR="00B845C1" w:rsidRPr="00420436">
              <w:rPr>
                <w:rFonts w:ascii="Times New Roman" w:hAnsi="Times New Roman" w:cs="Times New Roman"/>
                <w:szCs w:val="18"/>
              </w:rPr>
              <w:t xml:space="preserve"> [Sex],</w:t>
            </w:r>
            <w:r w:rsidR="005D2A2E" w:rsidRPr="00420436">
              <w:rPr>
                <w:rFonts w:ascii="Times New Roman" w:hAnsi="Times New Roman" w:cs="Times New Roman"/>
                <w:szCs w:val="18"/>
              </w:rPr>
              <w:t xml:space="preserve"> Canada, 2015</w:t>
            </w:r>
          </w:p>
          <w:p w14:paraId="5B6753DA" w14:textId="77777777" w:rsidR="005D2A2E" w:rsidRPr="00420436" w:rsidRDefault="005D2A2E" w:rsidP="00585289">
            <w:pPr>
              <w:rPr>
                <w:rFonts w:ascii="Times New Roman" w:hAnsi="Times New Roman" w:cs="Times New Roman"/>
                <w:i/>
                <w:szCs w:val="18"/>
              </w:rPr>
            </w:pPr>
            <w:r w:rsidRPr="00420436">
              <w:rPr>
                <w:rFonts w:ascii="Times New Roman" w:hAnsi="Times New Roman" w:cs="Times New Roman"/>
                <w:i/>
                <w:szCs w:val="18"/>
              </w:rPr>
              <w:t>Example: Percentage of adults age 19 and over with a usual intake of calcium below the Estimated Average Requirement, Canada, 2015</w:t>
            </w:r>
          </w:p>
        </w:tc>
      </w:tr>
      <w:tr w:rsidR="00585289" w:rsidRPr="006137C0" w14:paraId="00711C7F" w14:textId="77777777" w:rsidTr="00CA2B3F">
        <w:tc>
          <w:tcPr>
            <w:tcW w:w="1838" w:type="dxa"/>
          </w:tcPr>
          <w:p w14:paraId="373DD59D" w14:textId="77777777" w:rsidR="00585289" w:rsidRPr="00420436" w:rsidRDefault="009C2727" w:rsidP="00CA2B3F">
            <w:pPr>
              <w:rPr>
                <w:rFonts w:ascii="Times New Roman" w:hAnsi="Times New Roman" w:cs="Times New Roman"/>
                <w:szCs w:val="18"/>
              </w:rPr>
            </w:pPr>
            <w:r w:rsidRPr="00420436">
              <w:rPr>
                <w:rFonts w:ascii="Times New Roman" w:hAnsi="Times New Roman" w:cs="Times New Roman"/>
                <w:szCs w:val="18"/>
              </w:rPr>
              <w:t xml:space="preserve">Graph and summary data table title - </w:t>
            </w:r>
            <w:r w:rsidR="00585289" w:rsidRPr="00420436">
              <w:rPr>
                <w:rFonts w:ascii="Times New Roman" w:hAnsi="Times New Roman" w:cs="Times New Roman"/>
                <w:szCs w:val="18"/>
              </w:rPr>
              <w:t>French</w:t>
            </w:r>
          </w:p>
        </w:tc>
        <w:tc>
          <w:tcPr>
            <w:tcW w:w="7512" w:type="dxa"/>
          </w:tcPr>
          <w:p w14:paraId="5A38B24A" w14:textId="2F876058" w:rsidR="005D2A2E" w:rsidRPr="00420436" w:rsidRDefault="00585289" w:rsidP="00CA2B3F">
            <w:pPr>
              <w:rPr>
                <w:rFonts w:ascii="Times New Roman" w:hAnsi="Times New Roman" w:cs="Times New Roman"/>
                <w:szCs w:val="18"/>
                <w:lang w:val="fr-CA"/>
              </w:rPr>
            </w:pPr>
            <w:r w:rsidRPr="00420436">
              <w:rPr>
                <w:rFonts w:ascii="Times New Roman" w:hAnsi="Times New Roman" w:cs="Times New Roman"/>
                <w:szCs w:val="18"/>
                <w:lang w:val="fr-CA"/>
              </w:rPr>
              <w:t xml:space="preserve">▪ Graph </w:t>
            </w:r>
            <w:proofErr w:type="spellStart"/>
            <w:r w:rsidRPr="00420436">
              <w:rPr>
                <w:rFonts w:ascii="Times New Roman" w:hAnsi="Times New Roman" w:cs="Times New Roman"/>
                <w:szCs w:val="18"/>
                <w:lang w:val="fr-CA"/>
              </w:rPr>
              <w:t>title</w:t>
            </w:r>
            <w:proofErr w:type="spellEnd"/>
            <w:r w:rsidRPr="00420436">
              <w:rPr>
                <w:rFonts w:ascii="Times New Roman" w:hAnsi="Times New Roman" w:cs="Times New Roman"/>
                <w:szCs w:val="18"/>
                <w:lang w:val="fr-CA"/>
              </w:rPr>
              <w:t xml:space="preserve">: </w:t>
            </w:r>
            <w:r w:rsidR="005D2A2E" w:rsidRPr="00420436">
              <w:rPr>
                <w:rFonts w:ascii="Times New Roman" w:hAnsi="Times New Roman" w:cs="Times New Roman"/>
                <w:szCs w:val="18"/>
                <w:lang w:val="fr-CA"/>
              </w:rPr>
              <w:t>Pourcentage d'adultes de 19 ans et plus dont l'apport usuel en [Nutriment/Item]</w:t>
            </w:r>
            <w:r w:rsidR="009C2727" w:rsidRPr="00420436">
              <w:rPr>
                <w:rFonts w:ascii="Times New Roman" w:hAnsi="Times New Roman" w:cs="Times New Roman"/>
                <w:szCs w:val="18"/>
                <w:lang w:val="fr-CA"/>
              </w:rPr>
              <w:t xml:space="preserve"> est [</w:t>
            </w:r>
            <w:proofErr w:type="spellStart"/>
            <w:r w:rsidR="009C2727" w:rsidRPr="00420436">
              <w:rPr>
                <w:rFonts w:ascii="Times New Roman" w:hAnsi="Times New Roman" w:cs="Times New Roman"/>
                <w:szCs w:val="18"/>
                <w:lang w:val="fr-CA"/>
              </w:rPr>
              <w:t>Prefix</w:t>
            </w:r>
            <w:proofErr w:type="spellEnd"/>
            <w:r w:rsidR="009C2727" w:rsidRPr="00420436">
              <w:rPr>
                <w:rFonts w:ascii="Times New Roman" w:hAnsi="Times New Roman" w:cs="Times New Roman"/>
                <w:szCs w:val="18"/>
                <w:lang w:val="fr-CA"/>
              </w:rPr>
              <w:t>-FR] [Type de ANREF],</w:t>
            </w:r>
            <w:r w:rsidR="00B845C1" w:rsidRPr="00420436">
              <w:rPr>
                <w:rFonts w:ascii="Times New Roman" w:hAnsi="Times New Roman" w:cs="Times New Roman"/>
                <w:szCs w:val="18"/>
                <w:lang w:val="fr-CA"/>
              </w:rPr>
              <w:t xml:space="preserve"> [</w:t>
            </w:r>
            <w:proofErr w:type="spellStart"/>
            <w:r w:rsidR="00B845C1" w:rsidRPr="00420436">
              <w:rPr>
                <w:rFonts w:ascii="Times New Roman" w:hAnsi="Times New Roman" w:cs="Times New Roman"/>
                <w:szCs w:val="18"/>
                <w:lang w:val="fr-CA"/>
              </w:rPr>
              <w:t>Sex</w:t>
            </w:r>
            <w:proofErr w:type="spellEnd"/>
            <w:r w:rsidR="00B845C1" w:rsidRPr="00420436">
              <w:rPr>
                <w:rFonts w:ascii="Times New Roman" w:hAnsi="Times New Roman" w:cs="Times New Roman"/>
                <w:szCs w:val="18"/>
                <w:lang w:val="fr-CA"/>
              </w:rPr>
              <w:t>],</w:t>
            </w:r>
            <w:r w:rsidR="009C2727" w:rsidRPr="00420436">
              <w:rPr>
                <w:rFonts w:ascii="Times New Roman" w:hAnsi="Times New Roman" w:cs="Times New Roman"/>
                <w:szCs w:val="18"/>
                <w:lang w:val="fr-CA"/>
              </w:rPr>
              <w:t xml:space="preserve"> Canada, 2015</w:t>
            </w:r>
          </w:p>
          <w:p w14:paraId="4C1C9AF2" w14:textId="77777777" w:rsidR="00585289" w:rsidRPr="00420436" w:rsidRDefault="005D2A2E" w:rsidP="00CA2B3F">
            <w:pPr>
              <w:rPr>
                <w:rFonts w:ascii="Times New Roman" w:hAnsi="Times New Roman" w:cs="Times New Roman"/>
                <w:i/>
                <w:szCs w:val="18"/>
                <w:lang w:val="fr-CA"/>
              </w:rPr>
            </w:pPr>
            <w:r w:rsidRPr="00420436">
              <w:rPr>
                <w:rFonts w:ascii="Times New Roman" w:hAnsi="Times New Roman" w:cs="Times New Roman"/>
                <w:i/>
                <w:szCs w:val="18"/>
                <w:lang w:val="fr-CA"/>
              </w:rPr>
              <w:t>Exemple : Pourcentage d'adultes de 19 ans et plus dont l'apport usuel en calcium est inférieur au besoin moyen estimatif, Canada, 2015</w:t>
            </w:r>
          </w:p>
        </w:tc>
      </w:tr>
      <w:tr w:rsidR="00B845C1" w:rsidRPr="00420436" w14:paraId="2E435BDA" w14:textId="77777777" w:rsidTr="00CA2B3F">
        <w:tc>
          <w:tcPr>
            <w:tcW w:w="1838" w:type="dxa"/>
          </w:tcPr>
          <w:p w14:paraId="7A756549" w14:textId="33CDAFB2" w:rsidR="00B845C1" w:rsidRPr="00420436" w:rsidRDefault="00B845C1" w:rsidP="00CA2B3F">
            <w:pPr>
              <w:rPr>
                <w:rFonts w:ascii="Times New Roman" w:hAnsi="Times New Roman" w:cs="Times New Roman"/>
                <w:szCs w:val="18"/>
              </w:rPr>
            </w:pPr>
            <w:r w:rsidRPr="00420436">
              <w:rPr>
                <w:rFonts w:ascii="Times New Roman" w:hAnsi="Times New Roman" w:cs="Times New Roman"/>
                <w:szCs w:val="18"/>
              </w:rPr>
              <w:t>Summary data table note:</w:t>
            </w:r>
          </w:p>
        </w:tc>
        <w:tc>
          <w:tcPr>
            <w:tcW w:w="7512" w:type="dxa"/>
          </w:tcPr>
          <w:p w14:paraId="04BBA8B2" w14:textId="173913FD" w:rsidR="00B845C1" w:rsidRPr="00420436" w:rsidRDefault="00B845C1" w:rsidP="00CA2B3F">
            <w:pPr>
              <w:rPr>
                <w:rFonts w:ascii="Times New Roman" w:hAnsi="Times New Roman" w:cs="Times New Roman"/>
                <w:szCs w:val="18"/>
              </w:rPr>
            </w:pPr>
            <w:r w:rsidRPr="00420436">
              <w:rPr>
                <w:rFonts w:ascii="Times New Roman" w:hAnsi="Times New Roman" w:cs="Times New Roman"/>
                <w:szCs w:val="18"/>
              </w:rPr>
              <w:t xml:space="preserve">The summary data table can reflect the data as presented in the graph. </w:t>
            </w:r>
          </w:p>
        </w:tc>
      </w:tr>
      <w:tr w:rsidR="00B845C1" w:rsidRPr="00420436" w14:paraId="6571A057" w14:textId="77777777" w:rsidTr="00CA2B3F">
        <w:tc>
          <w:tcPr>
            <w:tcW w:w="1838" w:type="dxa"/>
          </w:tcPr>
          <w:p w14:paraId="36591DEB" w14:textId="77777777"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Graph footnotes - English</w:t>
            </w:r>
          </w:p>
          <w:p w14:paraId="0E5EDACE" w14:textId="13DD8B3A"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 xml:space="preserve">[to be included when people download the graph] </w:t>
            </w:r>
          </w:p>
        </w:tc>
        <w:tc>
          <w:tcPr>
            <w:tcW w:w="7512" w:type="dxa"/>
          </w:tcPr>
          <w:p w14:paraId="3532F528" w14:textId="77777777"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Data Source: Statistics Canada, 2015 Canadian Community Health Survey - Nutrition, 2015, Share File.</w:t>
            </w:r>
          </w:p>
          <w:p w14:paraId="67FCB9D2" w14:textId="77777777" w:rsidR="00B845C1" w:rsidRPr="00420436" w:rsidRDefault="00B845C1" w:rsidP="00B845C1">
            <w:pPr>
              <w:rPr>
                <w:rFonts w:ascii="Times New Roman" w:hAnsi="Times New Roman" w:cs="Times New Roman"/>
                <w:szCs w:val="18"/>
              </w:rPr>
            </w:pPr>
          </w:p>
        </w:tc>
      </w:tr>
      <w:tr w:rsidR="00B845C1" w:rsidRPr="006137C0" w14:paraId="1F07AA23" w14:textId="77777777" w:rsidTr="00CA2B3F">
        <w:tc>
          <w:tcPr>
            <w:tcW w:w="1838" w:type="dxa"/>
          </w:tcPr>
          <w:p w14:paraId="7EF3C523" w14:textId="77777777"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Graph footnotes - French</w:t>
            </w:r>
          </w:p>
          <w:p w14:paraId="49D4FA45" w14:textId="68DEC619"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 xml:space="preserve">[to be included when people </w:t>
            </w:r>
            <w:r w:rsidRPr="00420436">
              <w:rPr>
                <w:rFonts w:ascii="Times New Roman" w:hAnsi="Times New Roman" w:cs="Times New Roman"/>
                <w:szCs w:val="18"/>
              </w:rPr>
              <w:lastRenderedPageBreak/>
              <w:t>download the graph]</w:t>
            </w:r>
          </w:p>
        </w:tc>
        <w:tc>
          <w:tcPr>
            <w:tcW w:w="7512" w:type="dxa"/>
          </w:tcPr>
          <w:p w14:paraId="0A920648" w14:textId="4562ACFC" w:rsidR="00B845C1" w:rsidRPr="00420436" w:rsidRDefault="00B845C1" w:rsidP="00B845C1">
            <w:pPr>
              <w:rPr>
                <w:rFonts w:ascii="Times New Roman" w:hAnsi="Times New Roman" w:cs="Times New Roman"/>
                <w:szCs w:val="18"/>
                <w:lang w:val="fr-CA"/>
              </w:rPr>
            </w:pPr>
            <w:r w:rsidRPr="00420436">
              <w:rPr>
                <w:rFonts w:ascii="Times New Roman" w:hAnsi="Times New Roman" w:cs="Times New Roman"/>
                <w:szCs w:val="18"/>
                <w:lang w:val="fr-CA"/>
              </w:rPr>
              <w:lastRenderedPageBreak/>
              <w:t>Source des données: Statistique Canada, Enquête sur la santé dans les collectivités canadiennes (ESCC) - Nutrition , 2015 - Fichier partagé.</w:t>
            </w:r>
          </w:p>
        </w:tc>
      </w:tr>
      <w:tr w:rsidR="00B845C1" w:rsidRPr="00420436" w14:paraId="4DD5DE88" w14:textId="77777777" w:rsidTr="00CA2B3F">
        <w:tc>
          <w:tcPr>
            <w:tcW w:w="1838" w:type="dxa"/>
          </w:tcPr>
          <w:p w14:paraId="5321131B" w14:textId="1A962E03"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Notes and Legend - English</w:t>
            </w:r>
          </w:p>
        </w:tc>
        <w:tc>
          <w:tcPr>
            <w:tcW w:w="7512" w:type="dxa"/>
          </w:tcPr>
          <w:p w14:paraId="5EFD4078" w14:textId="5799A349"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Note: Some maps for males and females separately are unavailable due to extreme sampling variability in some provinces.</w:t>
            </w:r>
          </w:p>
          <w:p w14:paraId="02EF685B" w14:textId="77777777"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AI: Adequate Intake</w:t>
            </w:r>
          </w:p>
          <w:p w14:paraId="35830A14" w14:textId="77777777"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AMDR: Acceptable Macronutrient Distribution Range</w:t>
            </w:r>
          </w:p>
          <w:p w14:paraId="7F2682BF" w14:textId="77777777"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CDRR : Chronic Disease Risk Reduction Intake Level</w:t>
            </w:r>
          </w:p>
          <w:p w14:paraId="0372D64C" w14:textId="77777777"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DRI: Dietary Reference Intake</w:t>
            </w:r>
          </w:p>
          <w:p w14:paraId="6793CD4A" w14:textId="77777777"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EAR: Estimated Average Requirement</w:t>
            </w:r>
          </w:p>
          <w:p w14:paraId="2C378C1E" w14:textId="77777777"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P: Percentile, e.g. 'P95' describes the 95th percentile.</w:t>
            </w:r>
          </w:p>
          <w:p w14:paraId="6A071484" w14:textId="77777777"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SE: Standard Error</w:t>
            </w:r>
          </w:p>
          <w:p w14:paraId="36E6C30F" w14:textId="2CAAFFF2"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UL: Tolerable Upper Intake Level</w:t>
            </w:r>
          </w:p>
        </w:tc>
      </w:tr>
      <w:tr w:rsidR="00B845C1" w:rsidRPr="006137C0" w14:paraId="39F3BD81" w14:textId="77777777" w:rsidTr="00CA2B3F">
        <w:tc>
          <w:tcPr>
            <w:tcW w:w="1838" w:type="dxa"/>
          </w:tcPr>
          <w:p w14:paraId="6296C534" w14:textId="3729A149"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Notes and Legend - French</w:t>
            </w:r>
          </w:p>
        </w:tc>
        <w:tc>
          <w:tcPr>
            <w:tcW w:w="7512" w:type="dxa"/>
          </w:tcPr>
          <w:p w14:paraId="2B4F3738" w14:textId="70BC3AB5" w:rsidR="00B845C1" w:rsidRPr="00420436" w:rsidRDefault="00B845C1" w:rsidP="00B845C1">
            <w:pPr>
              <w:rPr>
                <w:rFonts w:ascii="Times New Roman" w:hAnsi="Times New Roman" w:cs="Times New Roman"/>
                <w:szCs w:val="18"/>
                <w:lang w:val="fr-CA"/>
              </w:rPr>
            </w:pPr>
            <w:r w:rsidRPr="00420436">
              <w:rPr>
                <w:rFonts w:ascii="Times New Roman" w:hAnsi="Times New Roman" w:cs="Times New Roman"/>
                <w:szCs w:val="18"/>
                <w:lang w:val="fr-CA"/>
              </w:rPr>
              <w:t>Note : Certaines cartes ne sont pas présentées en raison de la variabilité extrême de l’échantillonnage dans certaines provinces.</w:t>
            </w:r>
          </w:p>
          <w:p w14:paraId="26B6FC4A" w14:textId="77777777" w:rsidR="00B845C1" w:rsidRPr="00420436" w:rsidRDefault="00B845C1" w:rsidP="00B845C1">
            <w:pPr>
              <w:rPr>
                <w:rFonts w:ascii="Times New Roman" w:hAnsi="Times New Roman" w:cs="Times New Roman"/>
                <w:szCs w:val="18"/>
                <w:lang w:val="fr-CA"/>
              </w:rPr>
            </w:pPr>
            <w:r w:rsidRPr="00420436">
              <w:rPr>
                <w:rFonts w:ascii="Times New Roman" w:hAnsi="Times New Roman" w:cs="Times New Roman"/>
                <w:szCs w:val="18"/>
                <w:lang w:val="fr-CA"/>
              </w:rPr>
              <w:t>AMT : Apport maximal tolérable</w:t>
            </w:r>
          </w:p>
          <w:p w14:paraId="54F95EF9" w14:textId="77777777" w:rsidR="00B845C1" w:rsidRPr="00420436" w:rsidRDefault="00B845C1" w:rsidP="00B845C1">
            <w:pPr>
              <w:rPr>
                <w:rFonts w:ascii="Times New Roman" w:hAnsi="Times New Roman" w:cs="Times New Roman"/>
                <w:szCs w:val="18"/>
                <w:lang w:val="fr-CA"/>
              </w:rPr>
            </w:pPr>
            <w:r w:rsidRPr="00420436">
              <w:rPr>
                <w:rFonts w:ascii="Times New Roman" w:hAnsi="Times New Roman" w:cs="Times New Roman"/>
                <w:szCs w:val="18"/>
                <w:lang w:val="fr-CA"/>
              </w:rPr>
              <w:t>ANREF : Apports nutritionnels de référence</w:t>
            </w:r>
          </w:p>
          <w:p w14:paraId="7DBD6A38" w14:textId="77777777" w:rsidR="00B845C1" w:rsidRPr="00420436" w:rsidRDefault="00B845C1" w:rsidP="00B845C1">
            <w:pPr>
              <w:rPr>
                <w:rFonts w:ascii="Times New Roman" w:hAnsi="Times New Roman" w:cs="Times New Roman"/>
                <w:szCs w:val="18"/>
                <w:lang w:val="fr-CA"/>
              </w:rPr>
            </w:pPr>
            <w:r w:rsidRPr="00420436">
              <w:rPr>
                <w:rFonts w:ascii="Times New Roman" w:hAnsi="Times New Roman" w:cs="Times New Roman"/>
                <w:szCs w:val="18"/>
                <w:lang w:val="fr-CA"/>
              </w:rPr>
              <w:t>AS : Apport suffisant</w:t>
            </w:r>
          </w:p>
          <w:p w14:paraId="66A0D888" w14:textId="77777777" w:rsidR="00B845C1" w:rsidRPr="00420436" w:rsidRDefault="00B845C1" w:rsidP="00B845C1">
            <w:pPr>
              <w:rPr>
                <w:rFonts w:ascii="Times New Roman" w:hAnsi="Times New Roman" w:cs="Times New Roman"/>
                <w:szCs w:val="18"/>
                <w:lang w:val="fr-CA"/>
              </w:rPr>
            </w:pPr>
            <w:r w:rsidRPr="00420436">
              <w:rPr>
                <w:rFonts w:ascii="Times New Roman" w:hAnsi="Times New Roman" w:cs="Times New Roman"/>
                <w:szCs w:val="18"/>
                <w:lang w:val="fr-CA"/>
              </w:rPr>
              <w:t>BME : Besoin moyen estimatif</w:t>
            </w:r>
          </w:p>
          <w:p w14:paraId="439FD2B7" w14:textId="77777777" w:rsidR="00B845C1" w:rsidRPr="00420436" w:rsidRDefault="00B845C1" w:rsidP="00B845C1">
            <w:pPr>
              <w:rPr>
                <w:rFonts w:ascii="Times New Roman" w:hAnsi="Times New Roman" w:cs="Times New Roman"/>
                <w:szCs w:val="18"/>
                <w:lang w:val="fr-CA"/>
              </w:rPr>
            </w:pPr>
            <w:r w:rsidRPr="00420436">
              <w:rPr>
                <w:rFonts w:ascii="Times New Roman" w:hAnsi="Times New Roman" w:cs="Times New Roman"/>
                <w:szCs w:val="18"/>
                <w:lang w:val="fr-CA"/>
              </w:rPr>
              <w:t>ET : Erreur type</w:t>
            </w:r>
          </w:p>
          <w:p w14:paraId="6563933D" w14:textId="77777777" w:rsidR="00B845C1" w:rsidRPr="00420436" w:rsidRDefault="00B845C1" w:rsidP="00B845C1">
            <w:pPr>
              <w:rPr>
                <w:rFonts w:ascii="Times New Roman" w:hAnsi="Times New Roman" w:cs="Times New Roman"/>
                <w:szCs w:val="18"/>
                <w:lang w:val="fr-CA"/>
              </w:rPr>
            </w:pPr>
            <w:r w:rsidRPr="00420436">
              <w:rPr>
                <w:rFonts w:ascii="Times New Roman" w:hAnsi="Times New Roman" w:cs="Times New Roman"/>
                <w:szCs w:val="18"/>
                <w:lang w:val="fr-CA"/>
              </w:rPr>
              <w:t>ÉVAM : Étendue des valeurs acceptables pour les macronutriments</w:t>
            </w:r>
          </w:p>
          <w:p w14:paraId="3814866B" w14:textId="77777777" w:rsidR="00B845C1" w:rsidRPr="00420436" w:rsidRDefault="00B845C1" w:rsidP="00B845C1">
            <w:pPr>
              <w:rPr>
                <w:rFonts w:ascii="Times New Roman" w:hAnsi="Times New Roman" w:cs="Times New Roman"/>
                <w:szCs w:val="18"/>
                <w:lang w:val="fr-CA"/>
              </w:rPr>
            </w:pPr>
            <w:r w:rsidRPr="00420436">
              <w:rPr>
                <w:rFonts w:ascii="Times New Roman" w:hAnsi="Times New Roman" w:cs="Times New Roman"/>
                <w:szCs w:val="18"/>
                <w:lang w:val="fr-CA"/>
              </w:rPr>
              <w:t xml:space="preserve">P : Percentile, p. ex. “P95” </w:t>
            </w:r>
            <w:proofErr w:type="spellStart"/>
            <w:r w:rsidRPr="00420436">
              <w:rPr>
                <w:rFonts w:ascii="Times New Roman" w:hAnsi="Times New Roman" w:cs="Times New Roman"/>
                <w:szCs w:val="18"/>
                <w:lang w:val="fr-CA"/>
              </w:rPr>
              <w:t>decrit</w:t>
            </w:r>
            <w:proofErr w:type="spellEnd"/>
            <w:r w:rsidRPr="00420436">
              <w:rPr>
                <w:rFonts w:ascii="Times New Roman" w:hAnsi="Times New Roman" w:cs="Times New Roman"/>
                <w:szCs w:val="18"/>
                <w:lang w:val="fr-CA"/>
              </w:rPr>
              <w:t xml:space="preserve"> le 95e percentile.</w:t>
            </w:r>
          </w:p>
          <w:p w14:paraId="4D1857F9" w14:textId="067588FF" w:rsidR="00B845C1" w:rsidRPr="00420436" w:rsidRDefault="00B845C1" w:rsidP="00B845C1">
            <w:pPr>
              <w:rPr>
                <w:rFonts w:ascii="Times New Roman" w:hAnsi="Times New Roman" w:cs="Times New Roman"/>
                <w:szCs w:val="18"/>
                <w:lang w:val="fr-CA"/>
              </w:rPr>
            </w:pPr>
            <w:r w:rsidRPr="00420436">
              <w:rPr>
                <w:rFonts w:ascii="Times New Roman" w:hAnsi="Times New Roman" w:cs="Times New Roman"/>
                <w:szCs w:val="18"/>
                <w:lang w:val="fr-CA"/>
              </w:rPr>
              <w:t>RRMC : Apport relié à un risque réduit de maladie chronique</w:t>
            </w:r>
          </w:p>
        </w:tc>
      </w:tr>
      <w:tr w:rsidR="00B845C1" w:rsidRPr="00420436" w14:paraId="766C7CFD" w14:textId="77777777" w:rsidTr="00CA2B3F">
        <w:tc>
          <w:tcPr>
            <w:tcW w:w="1838" w:type="dxa"/>
          </w:tcPr>
          <w:p w14:paraId="20C6D735" w14:textId="77777777" w:rsidR="00B845C1" w:rsidRPr="00420436" w:rsidRDefault="00B845C1" w:rsidP="00B845C1">
            <w:pPr>
              <w:rPr>
                <w:rFonts w:ascii="Times New Roman" w:hAnsi="Times New Roman" w:cs="Times New Roman"/>
                <w:szCs w:val="18"/>
              </w:rPr>
            </w:pPr>
            <w:r w:rsidRPr="00420436">
              <w:rPr>
                <w:rFonts w:ascii="Times New Roman" w:hAnsi="Times New Roman" w:cs="Times New Roman"/>
                <w:szCs w:val="18"/>
              </w:rPr>
              <w:t>Other requirements</w:t>
            </w:r>
          </w:p>
        </w:tc>
        <w:tc>
          <w:tcPr>
            <w:tcW w:w="7512" w:type="dxa"/>
          </w:tcPr>
          <w:p w14:paraId="073AD0E4" w14:textId="2CD88F52" w:rsidR="00B845C1" w:rsidRPr="00420436" w:rsidRDefault="00315B4D" w:rsidP="00B845C1">
            <w:pPr>
              <w:rPr>
                <w:rFonts w:ascii="Times New Roman" w:hAnsi="Times New Roman" w:cs="Times New Roman"/>
                <w:szCs w:val="18"/>
              </w:rPr>
            </w:pPr>
            <w:r w:rsidRPr="00420436">
              <w:rPr>
                <w:rFonts w:ascii="Times New Roman" w:hAnsi="Times New Roman" w:cs="Times New Roman"/>
                <w:szCs w:val="18"/>
              </w:rPr>
              <w:t xml:space="preserve">▪ </w:t>
            </w:r>
            <w:r>
              <w:rPr>
                <w:rFonts w:ascii="Times New Roman" w:hAnsi="Times New Roman" w:cs="Times New Roman"/>
                <w:szCs w:val="18"/>
              </w:rPr>
              <w:t>D</w:t>
            </w:r>
            <w:r w:rsidRPr="00420436">
              <w:rPr>
                <w:rFonts w:ascii="Times New Roman" w:hAnsi="Times New Roman" w:cs="Times New Roman"/>
                <w:szCs w:val="18"/>
              </w:rPr>
              <w:t xml:space="preserve">ynamic text box </w:t>
            </w:r>
            <w:r>
              <w:rPr>
                <w:rFonts w:ascii="Times New Roman" w:hAnsi="Times New Roman" w:cs="Times New Roman"/>
                <w:szCs w:val="18"/>
              </w:rPr>
              <w:t xml:space="preserve">with </w:t>
            </w:r>
            <w:r w:rsidRPr="00420436">
              <w:rPr>
                <w:rFonts w:ascii="Times New Roman" w:hAnsi="Times New Roman" w:cs="Times New Roman"/>
                <w:szCs w:val="18"/>
              </w:rPr>
              <w:t xml:space="preserve">important nutrient-specific </w:t>
            </w:r>
            <w:r>
              <w:rPr>
                <w:rFonts w:ascii="Times New Roman" w:hAnsi="Times New Roman" w:cs="Times New Roman"/>
                <w:szCs w:val="18"/>
              </w:rPr>
              <w:t>statement</w:t>
            </w:r>
            <w:r w:rsidRPr="00420436">
              <w:rPr>
                <w:rFonts w:ascii="Times New Roman" w:hAnsi="Times New Roman" w:cs="Times New Roman"/>
                <w:szCs w:val="18"/>
              </w:rPr>
              <w:t xml:space="preserve">s. </w:t>
            </w:r>
            <w:r>
              <w:rPr>
                <w:rFonts w:ascii="Times New Roman" w:hAnsi="Times New Roman" w:cs="Times New Roman"/>
                <w:szCs w:val="18"/>
              </w:rPr>
              <w:t>See appendix 1 for list of statements.</w:t>
            </w:r>
            <w:r w:rsidRPr="00420436">
              <w:rPr>
                <w:rFonts w:ascii="Times New Roman" w:hAnsi="Times New Roman" w:cs="Times New Roman"/>
                <w:szCs w:val="18"/>
              </w:rPr>
              <w:t xml:space="preserve">   </w:t>
            </w:r>
          </w:p>
        </w:tc>
      </w:tr>
    </w:tbl>
    <w:p w14:paraId="3B03DEA9" w14:textId="77777777" w:rsidR="00585289" w:rsidRPr="00420436" w:rsidRDefault="00585289" w:rsidP="00EE1229">
      <w:pPr>
        <w:spacing w:after="0"/>
        <w:rPr>
          <w:rFonts w:ascii="Times New Roman" w:hAnsi="Times New Roman" w:cs="Times New Roman"/>
          <w:szCs w:val="18"/>
        </w:rPr>
      </w:pPr>
    </w:p>
    <w:p w14:paraId="5CA7355B" w14:textId="77777777" w:rsidR="00EE5F8D" w:rsidRPr="00420436" w:rsidRDefault="00EE5F8D" w:rsidP="00EE1229">
      <w:pPr>
        <w:spacing w:after="0"/>
        <w:rPr>
          <w:rFonts w:ascii="Times New Roman" w:hAnsi="Times New Roman" w:cs="Times New Roman"/>
          <w:szCs w:val="18"/>
        </w:rPr>
      </w:pPr>
    </w:p>
    <w:p w14:paraId="5CB8DC47" w14:textId="77777777" w:rsidR="001602BC" w:rsidRDefault="001602BC">
      <w:pPr>
        <w:rPr>
          <w:rFonts w:ascii="Times New Roman" w:hAnsi="Times New Roman" w:cs="Times New Roman"/>
          <w:szCs w:val="18"/>
          <w:u w:val="single"/>
        </w:rPr>
      </w:pPr>
      <w:r>
        <w:rPr>
          <w:rFonts w:ascii="Times New Roman" w:hAnsi="Times New Roman" w:cs="Times New Roman"/>
          <w:szCs w:val="18"/>
          <w:u w:val="single"/>
        </w:rPr>
        <w:br w:type="page"/>
      </w:r>
    </w:p>
    <w:p w14:paraId="3B73FCA7" w14:textId="77777777" w:rsidR="00C124DF" w:rsidRDefault="00C124DF" w:rsidP="00EE5F8D">
      <w:pPr>
        <w:rPr>
          <w:rFonts w:ascii="Times New Roman" w:hAnsi="Times New Roman" w:cs="Times New Roman"/>
          <w:szCs w:val="18"/>
        </w:rPr>
        <w:sectPr w:rsidR="00C124DF">
          <w:pgSz w:w="12240" w:h="15840"/>
          <w:pgMar w:top="1440" w:right="1440" w:bottom="1440" w:left="1440" w:header="708" w:footer="708" w:gutter="0"/>
          <w:cols w:space="708"/>
          <w:docGrid w:linePitch="360"/>
        </w:sectPr>
      </w:pPr>
    </w:p>
    <w:p w14:paraId="0CDD559C" w14:textId="5122B484" w:rsidR="00E47C48" w:rsidRDefault="00C96EF9" w:rsidP="00EE5F8D">
      <w:pPr>
        <w:rPr>
          <w:rFonts w:ascii="Times New Roman" w:hAnsi="Times New Roman" w:cs="Times New Roman"/>
          <w:szCs w:val="18"/>
        </w:rPr>
      </w:pPr>
      <w:r>
        <w:rPr>
          <w:rFonts w:ascii="Times New Roman" w:hAnsi="Times New Roman" w:cs="Times New Roman"/>
          <w:szCs w:val="18"/>
        </w:rPr>
        <w:lastRenderedPageBreak/>
        <w:t>Nutrient-specific information:</w:t>
      </w:r>
    </w:p>
    <w:tbl>
      <w:tblPr>
        <w:tblStyle w:val="TableGrid"/>
        <w:tblW w:w="12950" w:type="dxa"/>
        <w:tblLook w:val="04A0" w:firstRow="1" w:lastRow="0" w:firstColumn="1" w:lastColumn="0" w:noHBand="0" w:noVBand="1"/>
      </w:tblPr>
      <w:tblGrid>
        <w:gridCol w:w="1539"/>
        <w:gridCol w:w="4537"/>
        <w:gridCol w:w="4532"/>
        <w:gridCol w:w="1366"/>
        <w:gridCol w:w="976"/>
      </w:tblGrid>
      <w:tr w:rsidR="00E542CD" w14:paraId="4A34401D" w14:textId="09B23B82" w:rsidTr="00BB4AF8">
        <w:tc>
          <w:tcPr>
            <w:tcW w:w="1539" w:type="dxa"/>
            <w:shd w:val="clear" w:color="auto" w:fill="D9D9D9" w:themeFill="background1" w:themeFillShade="D9"/>
          </w:tcPr>
          <w:p w14:paraId="1F457004" w14:textId="69EA6B11" w:rsidR="00E542CD" w:rsidRPr="00CE1498" w:rsidRDefault="00E542CD" w:rsidP="00EE5F8D">
            <w:pPr>
              <w:rPr>
                <w:rFonts w:ascii="Times New Roman" w:hAnsi="Times New Roman" w:cs="Times New Roman"/>
                <w:b/>
                <w:szCs w:val="18"/>
              </w:rPr>
            </w:pPr>
            <w:bookmarkStart w:id="3" w:name="_GoBack" w:colFirst="0" w:colLast="1"/>
            <w:r w:rsidRPr="00CE1498">
              <w:rPr>
                <w:rFonts w:ascii="Times New Roman" w:hAnsi="Times New Roman" w:cs="Times New Roman"/>
                <w:b/>
                <w:szCs w:val="18"/>
              </w:rPr>
              <w:t>Nutrient</w:t>
            </w:r>
          </w:p>
        </w:tc>
        <w:tc>
          <w:tcPr>
            <w:tcW w:w="4537" w:type="dxa"/>
            <w:shd w:val="clear" w:color="auto" w:fill="D9D9D9" w:themeFill="background1" w:themeFillShade="D9"/>
          </w:tcPr>
          <w:p w14:paraId="45E70193" w14:textId="4C40294D" w:rsidR="00E542CD" w:rsidRPr="00CE1498" w:rsidRDefault="00E542CD" w:rsidP="00EE5F8D">
            <w:pPr>
              <w:rPr>
                <w:rFonts w:ascii="Times New Roman" w:hAnsi="Times New Roman" w:cs="Times New Roman"/>
                <w:b/>
                <w:szCs w:val="18"/>
              </w:rPr>
            </w:pPr>
            <w:r w:rsidRPr="00CE1498">
              <w:rPr>
                <w:rFonts w:ascii="Times New Roman" w:hAnsi="Times New Roman" w:cs="Times New Roman"/>
                <w:b/>
                <w:szCs w:val="18"/>
              </w:rPr>
              <w:t>English</w:t>
            </w:r>
          </w:p>
        </w:tc>
        <w:tc>
          <w:tcPr>
            <w:tcW w:w="4532" w:type="dxa"/>
            <w:shd w:val="clear" w:color="auto" w:fill="D9D9D9" w:themeFill="background1" w:themeFillShade="D9"/>
          </w:tcPr>
          <w:p w14:paraId="11DC7203" w14:textId="547D400B" w:rsidR="00E542CD" w:rsidRPr="00CE1498" w:rsidRDefault="00E542CD" w:rsidP="00EE5F8D">
            <w:pPr>
              <w:rPr>
                <w:rFonts w:ascii="Times New Roman" w:hAnsi="Times New Roman" w:cs="Times New Roman"/>
                <w:b/>
                <w:szCs w:val="18"/>
              </w:rPr>
            </w:pPr>
            <w:r w:rsidRPr="00CE1498">
              <w:rPr>
                <w:rFonts w:ascii="Times New Roman" w:hAnsi="Times New Roman" w:cs="Times New Roman"/>
                <w:b/>
                <w:szCs w:val="18"/>
              </w:rPr>
              <w:t>French</w:t>
            </w:r>
          </w:p>
        </w:tc>
        <w:tc>
          <w:tcPr>
            <w:tcW w:w="1366" w:type="dxa"/>
            <w:shd w:val="clear" w:color="auto" w:fill="D9D9D9" w:themeFill="background1" w:themeFillShade="D9"/>
          </w:tcPr>
          <w:p w14:paraId="1F6DF59E" w14:textId="46B32202" w:rsidR="00E542CD" w:rsidRPr="00CE1498" w:rsidRDefault="00E542CD" w:rsidP="00EE5F8D">
            <w:pPr>
              <w:rPr>
                <w:rFonts w:ascii="Times New Roman" w:hAnsi="Times New Roman" w:cs="Times New Roman"/>
                <w:b/>
                <w:szCs w:val="18"/>
              </w:rPr>
            </w:pPr>
            <w:r>
              <w:rPr>
                <w:rFonts w:ascii="Times New Roman" w:hAnsi="Times New Roman" w:cs="Times New Roman"/>
                <w:b/>
                <w:szCs w:val="18"/>
              </w:rPr>
              <w:t>Distribution</w:t>
            </w:r>
          </w:p>
        </w:tc>
        <w:tc>
          <w:tcPr>
            <w:tcW w:w="976" w:type="dxa"/>
            <w:shd w:val="clear" w:color="auto" w:fill="D9D9D9" w:themeFill="background1" w:themeFillShade="D9"/>
          </w:tcPr>
          <w:p w14:paraId="15A197DC" w14:textId="612C88A8" w:rsidR="00E542CD" w:rsidRPr="00CE1498" w:rsidRDefault="00E542CD" w:rsidP="00EE5F8D">
            <w:pPr>
              <w:rPr>
                <w:rFonts w:ascii="Times New Roman" w:hAnsi="Times New Roman" w:cs="Times New Roman"/>
                <w:b/>
                <w:szCs w:val="18"/>
              </w:rPr>
            </w:pPr>
            <w:r>
              <w:rPr>
                <w:rFonts w:ascii="Times New Roman" w:hAnsi="Times New Roman" w:cs="Times New Roman"/>
                <w:b/>
                <w:szCs w:val="18"/>
              </w:rPr>
              <w:t>Map</w:t>
            </w:r>
          </w:p>
        </w:tc>
      </w:tr>
      <w:tr w:rsidR="00E542CD" w:rsidRPr="00993C76" w14:paraId="2160B7E2" w14:textId="734B9E26" w:rsidTr="00BB4AF8">
        <w:trPr>
          <w:trHeight w:val="557"/>
        </w:trPr>
        <w:tc>
          <w:tcPr>
            <w:tcW w:w="1539" w:type="dxa"/>
          </w:tcPr>
          <w:p w14:paraId="2ED37A06" w14:textId="77777777" w:rsidR="00E542CD" w:rsidRPr="00C124DF" w:rsidRDefault="00E542CD" w:rsidP="00EE5F8D">
            <w:pPr>
              <w:rPr>
                <w:rFonts w:ascii="Times New Roman" w:hAnsi="Times New Roman" w:cs="Times New Roman"/>
              </w:rPr>
            </w:pPr>
            <w:r w:rsidRPr="00C124DF">
              <w:rPr>
                <w:rFonts w:ascii="Times New Roman" w:hAnsi="Times New Roman" w:cs="Times New Roman"/>
              </w:rPr>
              <w:t>Vitamin D</w:t>
            </w:r>
          </w:p>
          <w:p w14:paraId="518C7EF6" w14:textId="0C2B69B7" w:rsidR="00E542CD" w:rsidRPr="00C124DF" w:rsidRDefault="00E542CD" w:rsidP="00EE5F8D">
            <w:pPr>
              <w:rPr>
                <w:rFonts w:ascii="Times New Roman" w:hAnsi="Times New Roman" w:cs="Times New Roman"/>
              </w:rPr>
            </w:pPr>
          </w:p>
        </w:tc>
        <w:tc>
          <w:tcPr>
            <w:tcW w:w="4537" w:type="dxa"/>
          </w:tcPr>
          <w:p w14:paraId="53FB0996" w14:textId="507AD661" w:rsidR="00E542CD" w:rsidRPr="00C124DF" w:rsidRDefault="00E542CD" w:rsidP="00C96EF9">
            <w:pPr>
              <w:rPr>
                <w:rFonts w:ascii="Times New Roman" w:hAnsi="Times New Roman" w:cs="Times New Roman"/>
                <w:b/>
              </w:rPr>
            </w:pPr>
            <w:r w:rsidRPr="00C124DF">
              <w:rPr>
                <w:rFonts w:ascii="Segoe UI Symbol" w:hAnsi="Segoe UI Symbol" w:cs="Segoe UI Symbol"/>
                <w:b/>
              </w:rPr>
              <w:t>⚠</w:t>
            </w:r>
            <w:r w:rsidRPr="00C124DF">
              <w:rPr>
                <w:rFonts w:ascii="Times New Roman" w:hAnsi="Times New Roman" w:cs="Times New Roman"/>
                <w:b/>
              </w:rPr>
              <w:t xml:space="preserve"> Estimates of the prevalence of inadequate intakes of vitamin D from food must be interpreted with caution. </w:t>
            </w:r>
          </w:p>
          <w:p w14:paraId="3381F3E7" w14:textId="77777777" w:rsidR="00E542CD" w:rsidRPr="00C124DF" w:rsidRDefault="00E542CD" w:rsidP="00C96EF9">
            <w:pPr>
              <w:rPr>
                <w:rFonts w:ascii="Times New Roman" w:hAnsi="Times New Roman" w:cs="Times New Roman"/>
                <w:b/>
              </w:rPr>
            </w:pPr>
          </w:p>
          <w:p w14:paraId="45D59230" w14:textId="77777777" w:rsidR="00E542CD" w:rsidRDefault="00E542CD" w:rsidP="00122BFE">
            <w:pPr>
              <w:rPr>
                <w:rFonts w:ascii="Times New Roman" w:hAnsi="Times New Roman" w:cs="Times New Roman"/>
              </w:rPr>
            </w:pPr>
            <w:r w:rsidRPr="00C124DF">
              <w:rPr>
                <w:rFonts w:ascii="Times New Roman" w:hAnsi="Times New Roman" w:cs="Times New Roman"/>
              </w:rPr>
              <w:t xml:space="preserve">Vitamin D is unique as it can be obtained from diet and supplements and </w:t>
            </w:r>
            <w:proofErr w:type="gramStart"/>
            <w:r w:rsidRPr="00C124DF">
              <w:rPr>
                <w:rFonts w:ascii="Times New Roman" w:hAnsi="Times New Roman" w:cs="Times New Roman"/>
              </w:rPr>
              <w:t>can also</w:t>
            </w:r>
            <w:proofErr w:type="gramEnd"/>
            <w:r w:rsidRPr="00C124DF">
              <w:rPr>
                <w:rFonts w:ascii="Times New Roman" w:hAnsi="Times New Roman" w:cs="Times New Roman"/>
              </w:rPr>
              <w:t xml:space="preserve"> be synthesized by the body from sunlight (UVB radiation). Vitamin D intake from supplements has not been considered in this assessment. While there appears to be a high prevalence of inadequate intakes of vitamin D from dietary sources, available blood biomarker measures do not suggest widespread vitamin D deficiency in the Canadi</w:t>
            </w:r>
            <w:r>
              <w:rPr>
                <w:rFonts w:ascii="Times New Roman" w:hAnsi="Times New Roman" w:cs="Times New Roman"/>
              </w:rPr>
              <w:t>an population</w:t>
            </w:r>
            <w:r w:rsidRPr="00C124DF">
              <w:rPr>
                <w:rFonts w:ascii="Times New Roman" w:hAnsi="Times New Roman" w:cs="Times New Roman"/>
              </w:rPr>
              <w:t>.</w:t>
            </w:r>
            <w:r>
              <w:rPr>
                <w:rFonts w:ascii="Times New Roman" w:hAnsi="Times New Roman" w:cs="Times New Roman"/>
                <w:vertAlign w:val="superscript"/>
              </w:rPr>
              <w:t>1</w:t>
            </w:r>
            <w:proofErr w:type="gramStart"/>
            <w:r>
              <w:rPr>
                <w:rFonts w:ascii="Times New Roman" w:hAnsi="Times New Roman" w:cs="Times New Roman"/>
                <w:vertAlign w:val="superscript"/>
              </w:rPr>
              <w:t>,2,3</w:t>
            </w:r>
            <w:proofErr w:type="gramEnd"/>
            <w:r w:rsidRPr="00C124DF">
              <w:rPr>
                <w:rFonts w:ascii="Times New Roman" w:hAnsi="Times New Roman" w:cs="Times New Roman"/>
              </w:rPr>
              <w:t xml:space="preserve"> While there appears to be a low prevalence of vitamin D deficiency, some sub-populations may warrant further consideration.</w:t>
            </w:r>
          </w:p>
          <w:p w14:paraId="6AB44FDA" w14:textId="77777777" w:rsidR="00E542CD" w:rsidRDefault="00E542CD" w:rsidP="00122BFE">
            <w:pPr>
              <w:rPr>
                <w:rFonts w:ascii="Times New Roman" w:hAnsi="Times New Roman" w:cs="Times New Roman"/>
              </w:rPr>
            </w:pPr>
          </w:p>
          <w:p w14:paraId="22684287" w14:textId="14CCF0D7" w:rsidR="00E542CD" w:rsidRPr="00C124DF" w:rsidRDefault="00E542CD" w:rsidP="00122BFE">
            <w:pPr>
              <w:rPr>
                <w:rFonts w:ascii="Times New Roman" w:hAnsi="Times New Roman" w:cs="Times New Roman"/>
              </w:rPr>
            </w:pPr>
            <w:r>
              <w:rPr>
                <w:rFonts w:ascii="Times New Roman" w:hAnsi="Times New Roman" w:cs="Times New Roman"/>
              </w:rPr>
              <w:t>References</w:t>
            </w:r>
          </w:p>
          <w:p w14:paraId="2D562730" w14:textId="77777777" w:rsidR="00E542CD" w:rsidRDefault="00E542CD" w:rsidP="00122BFE">
            <w:pPr>
              <w:pStyle w:val="ListParagraph"/>
              <w:numPr>
                <w:ilvl w:val="0"/>
                <w:numId w:val="28"/>
              </w:numPr>
              <w:rPr>
                <w:rFonts w:ascii="Times New Roman" w:hAnsi="Times New Roman" w:cs="Times New Roman"/>
              </w:rPr>
            </w:pPr>
            <w:proofErr w:type="spellStart"/>
            <w:r w:rsidRPr="00122BFE">
              <w:rPr>
                <w:rFonts w:ascii="Times New Roman" w:hAnsi="Times New Roman" w:cs="Times New Roman"/>
              </w:rPr>
              <w:t>Langlois</w:t>
            </w:r>
            <w:proofErr w:type="spellEnd"/>
            <w:r w:rsidRPr="00122BFE">
              <w:rPr>
                <w:rFonts w:ascii="Times New Roman" w:hAnsi="Times New Roman" w:cs="Times New Roman"/>
              </w:rPr>
              <w:t xml:space="preserve"> K, Greene-Finestone L, Little J, </w:t>
            </w:r>
            <w:proofErr w:type="spellStart"/>
            <w:r w:rsidRPr="00122BFE">
              <w:rPr>
                <w:rFonts w:ascii="Times New Roman" w:hAnsi="Times New Roman" w:cs="Times New Roman"/>
              </w:rPr>
              <w:t>Hidiroglou</w:t>
            </w:r>
            <w:proofErr w:type="spellEnd"/>
            <w:r w:rsidRPr="00122BFE">
              <w:rPr>
                <w:rFonts w:ascii="Times New Roman" w:hAnsi="Times New Roman" w:cs="Times New Roman"/>
              </w:rPr>
              <w:t xml:space="preserve"> N, Whiting S. Vitamin D status of Canadians as measured in the 2007 to 2009 Canadian Health Measures Survey. Health Rep. 2010</w:t>
            </w:r>
            <w:proofErr w:type="gramStart"/>
            <w:r w:rsidRPr="00122BFE">
              <w:rPr>
                <w:rFonts w:ascii="Times New Roman" w:hAnsi="Times New Roman" w:cs="Times New Roman"/>
              </w:rPr>
              <w:t>;21</w:t>
            </w:r>
            <w:proofErr w:type="gramEnd"/>
            <w:r w:rsidRPr="00122BFE">
              <w:rPr>
                <w:rFonts w:ascii="Times New Roman" w:hAnsi="Times New Roman" w:cs="Times New Roman"/>
              </w:rPr>
              <w:t>(1):47–55.</w:t>
            </w:r>
          </w:p>
          <w:p w14:paraId="5D2A178E" w14:textId="77777777" w:rsidR="00E542CD" w:rsidRDefault="00E542CD" w:rsidP="00122BFE">
            <w:pPr>
              <w:pStyle w:val="ListParagraph"/>
              <w:numPr>
                <w:ilvl w:val="0"/>
                <w:numId w:val="28"/>
              </w:numPr>
              <w:rPr>
                <w:rFonts w:ascii="Times New Roman" w:hAnsi="Times New Roman" w:cs="Times New Roman"/>
              </w:rPr>
            </w:pPr>
            <w:r w:rsidRPr="00122BFE">
              <w:rPr>
                <w:rFonts w:ascii="Times New Roman" w:hAnsi="Times New Roman" w:cs="Times New Roman"/>
              </w:rPr>
              <w:t xml:space="preserve">Whiting SJ, </w:t>
            </w:r>
            <w:proofErr w:type="spellStart"/>
            <w:r w:rsidRPr="00122BFE">
              <w:rPr>
                <w:rFonts w:ascii="Times New Roman" w:hAnsi="Times New Roman" w:cs="Times New Roman"/>
              </w:rPr>
              <w:t>Langlois</w:t>
            </w:r>
            <w:proofErr w:type="spellEnd"/>
            <w:r w:rsidRPr="00122BFE">
              <w:rPr>
                <w:rFonts w:ascii="Times New Roman" w:hAnsi="Times New Roman" w:cs="Times New Roman"/>
              </w:rPr>
              <w:t xml:space="preserve"> KA, </w:t>
            </w:r>
            <w:proofErr w:type="spellStart"/>
            <w:r w:rsidRPr="00122BFE">
              <w:rPr>
                <w:rFonts w:ascii="Times New Roman" w:hAnsi="Times New Roman" w:cs="Times New Roman"/>
              </w:rPr>
              <w:t>Vatanparast</w:t>
            </w:r>
            <w:proofErr w:type="spellEnd"/>
            <w:r w:rsidRPr="00122BFE">
              <w:rPr>
                <w:rFonts w:ascii="Times New Roman" w:hAnsi="Times New Roman" w:cs="Times New Roman"/>
              </w:rPr>
              <w:t xml:space="preserve"> H, Greene-Finestone LS. The vitamin D status of Canadians relative to the 2011 Dietary Reference Intakes: an examination in children and adults with and without supplement use. Am J </w:t>
            </w:r>
            <w:proofErr w:type="spellStart"/>
            <w:r w:rsidRPr="00122BFE">
              <w:rPr>
                <w:rFonts w:ascii="Times New Roman" w:hAnsi="Times New Roman" w:cs="Times New Roman"/>
              </w:rPr>
              <w:t>Clin</w:t>
            </w:r>
            <w:proofErr w:type="spellEnd"/>
            <w:r w:rsidRPr="00122BFE">
              <w:rPr>
                <w:rFonts w:ascii="Times New Roman" w:hAnsi="Times New Roman" w:cs="Times New Roman"/>
              </w:rPr>
              <w:t xml:space="preserve"> </w:t>
            </w:r>
            <w:proofErr w:type="spellStart"/>
            <w:r w:rsidRPr="00122BFE">
              <w:rPr>
                <w:rFonts w:ascii="Times New Roman" w:hAnsi="Times New Roman" w:cs="Times New Roman"/>
              </w:rPr>
              <w:t>Nutr</w:t>
            </w:r>
            <w:proofErr w:type="spellEnd"/>
            <w:r w:rsidRPr="00122BFE">
              <w:rPr>
                <w:rFonts w:ascii="Times New Roman" w:hAnsi="Times New Roman" w:cs="Times New Roman"/>
              </w:rPr>
              <w:t>. 2011</w:t>
            </w:r>
            <w:proofErr w:type="gramStart"/>
            <w:r w:rsidRPr="00122BFE">
              <w:rPr>
                <w:rFonts w:ascii="Times New Roman" w:hAnsi="Times New Roman" w:cs="Times New Roman"/>
              </w:rPr>
              <w:t>;94</w:t>
            </w:r>
            <w:proofErr w:type="gramEnd"/>
            <w:r w:rsidRPr="00122BFE">
              <w:rPr>
                <w:rFonts w:ascii="Times New Roman" w:hAnsi="Times New Roman" w:cs="Times New Roman"/>
              </w:rPr>
              <w:t>(1):128–135. doi:10.3945/ajcn.111.013268</w:t>
            </w:r>
          </w:p>
          <w:p w14:paraId="15EF88D3" w14:textId="32D6887D" w:rsidR="00E542CD" w:rsidRPr="00C124DF" w:rsidRDefault="00E542CD" w:rsidP="00122BFE">
            <w:pPr>
              <w:pStyle w:val="ListParagraph"/>
              <w:numPr>
                <w:ilvl w:val="0"/>
                <w:numId w:val="28"/>
              </w:numPr>
              <w:rPr>
                <w:rFonts w:ascii="Times New Roman" w:hAnsi="Times New Roman" w:cs="Times New Roman"/>
              </w:rPr>
            </w:pPr>
            <w:r>
              <w:rPr>
                <w:rFonts w:ascii="Times New Roman" w:hAnsi="Times New Roman" w:cs="Times New Roman"/>
              </w:rPr>
              <w:lastRenderedPageBreak/>
              <w:t xml:space="preserve">Statistics Canada. </w:t>
            </w:r>
            <w:r w:rsidRPr="00122BFE">
              <w:rPr>
                <w:rFonts w:ascii="Times New Roman" w:hAnsi="Times New Roman" w:cs="Times New Roman"/>
              </w:rPr>
              <w:t>Canadian Health Measures Survey: Non-environmental laboratory and medication data, 2016 and 2017</w:t>
            </w:r>
            <w:r>
              <w:rPr>
                <w:rFonts w:ascii="Times New Roman" w:hAnsi="Times New Roman" w:cs="Times New Roman"/>
              </w:rPr>
              <w:t xml:space="preserve">. The Daily. 2019. Available from: </w:t>
            </w:r>
            <w:r w:rsidRPr="00122BFE">
              <w:rPr>
                <w:rFonts w:ascii="Times New Roman" w:hAnsi="Times New Roman" w:cs="Times New Roman"/>
              </w:rPr>
              <w:t>https://www150.statcan.gc.ca/n1/daily-quotidien/190206/dq190206c-eng.htm</w:t>
            </w:r>
          </w:p>
        </w:tc>
        <w:tc>
          <w:tcPr>
            <w:tcW w:w="4532" w:type="dxa"/>
          </w:tcPr>
          <w:p w14:paraId="65FEB261" w14:textId="52C1F1DF" w:rsidR="00E542CD" w:rsidRPr="00C124DF" w:rsidRDefault="00E542CD" w:rsidP="00C96EF9">
            <w:pPr>
              <w:rPr>
                <w:rFonts w:ascii="Times New Roman" w:hAnsi="Times New Roman" w:cs="Times New Roman"/>
                <w:b/>
                <w:lang w:val="fr-CA"/>
              </w:rPr>
            </w:pPr>
            <w:r w:rsidRPr="00C124DF">
              <w:rPr>
                <w:rFonts w:ascii="Segoe UI Symbol" w:hAnsi="Segoe UI Symbol" w:cs="Segoe UI Symbol"/>
                <w:b/>
                <w:lang w:val="fr-CA"/>
              </w:rPr>
              <w:lastRenderedPageBreak/>
              <w:t>⚠</w:t>
            </w:r>
            <w:r w:rsidRPr="00C124DF">
              <w:rPr>
                <w:rFonts w:ascii="Times New Roman" w:hAnsi="Times New Roman" w:cs="Times New Roman"/>
                <w:b/>
                <w:lang w:val="fr-CA"/>
              </w:rPr>
              <w:t xml:space="preserve"> Les estimations de la prévalence d’un apport alimentaire insuffisant en vitamine D doivent être interprétées avec prudence. </w:t>
            </w:r>
          </w:p>
          <w:p w14:paraId="45A7A669" w14:textId="77777777" w:rsidR="00E542CD" w:rsidRPr="00C124DF" w:rsidRDefault="00E542CD" w:rsidP="00C96EF9">
            <w:pPr>
              <w:rPr>
                <w:rFonts w:ascii="Times New Roman" w:hAnsi="Times New Roman" w:cs="Times New Roman"/>
                <w:lang w:val="fr-CA"/>
              </w:rPr>
            </w:pPr>
          </w:p>
          <w:p w14:paraId="0AFF7E64" w14:textId="77777777" w:rsidR="00E542CD" w:rsidRDefault="00E542CD" w:rsidP="00C124DF">
            <w:pPr>
              <w:rPr>
                <w:rFonts w:ascii="Times New Roman" w:hAnsi="Times New Roman" w:cs="Times New Roman"/>
                <w:lang w:val="fr-CA"/>
              </w:rPr>
            </w:pPr>
            <w:r w:rsidRPr="00C124DF">
              <w:rPr>
                <w:rFonts w:ascii="Times New Roman" w:hAnsi="Times New Roman" w:cs="Times New Roman"/>
                <w:lang w:val="fr-CA"/>
              </w:rPr>
              <w:t>La vitamine D est unique car elle peut être obtenue par l’alimentation et les suppléments et peut également être synthétisée dans l'organisme à partir de la lumière du soleil (rayonnement UVB). L'apport de vitamine D provenant des suppléments n'a pas été considéré dans cette analyse. Bien que la prévalence d'un apport insuffisant de vitamine D semble élevée, les mesures de biomarqueurs sanguins disponibles ne suggèrent pas que la carence en vitamine D soit généralisée dans la population canadienne.</w:t>
            </w:r>
            <w:r w:rsidRPr="00122BFE">
              <w:rPr>
                <w:rFonts w:ascii="Times New Roman" w:hAnsi="Times New Roman" w:cs="Times New Roman"/>
                <w:vertAlign w:val="superscript"/>
                <w:lang w:val="fr-CA"/>
              </w:rPr>
              <w:t>1,2,</w:t>
            </w:r>
            <w:proofErr w:type="gramStart"/>
            <w:r w:rsidRPr="00122BFE">
              <w:rPr>
                <w:rFonts w:ascii="Times New Roman" w:hAnsi="Times New Roman" w:cs="Times New Roman"/>
                <w:vertAlign w:val="superscript"/>
                <w:lang w:val="fr-CA"/>
              </w:rPr>
              <w:t>3</w:t>
            </w:r>
            <w:r w:rsidRPr="00122BFE">
              <w:rPr>
                <w:rFonts w:ascii="Times New Roman" w:hAnsi="Times New Roman" w:cs="Times New Roman"/>
                <w:lang w:val="fr-CA"/>
              </w:rPr>
              <w:t xml:space="preserve"> </w:t>
            </w:r>
            <w:r w:rsidRPr="00C124DF">
              <w:rPr>
                <w:rFonts w:ascii="Times New Roman" w:hAnsi="Times New Roman" w:cs="Times New Roman"/>
                <w:lang w:val="fr-CA"/>
              </w:rPr>
              <w:t xml:space="preserve"> Bien</w:t>
            </w:r>
            <w:proofErr w:type="gramEnd"/>
            <w:r w:rsidRPr="00C124DF">
              <w:rPr>
                <w:rFonts w:ascii="Times New Roman" w:hAnsi="Times New Roman" w:cs="Times New Roman"/>
                <w:lang w:val="fr-CA"/>
              </w:rPr>
              <w:t xml:space="preserve"> qu'il semble y avoir une faible prévalence de carence en vitamine D, certaines sous-populations pourraient mériter un examen plus approfondi.</w:t>
            </w:r>
          </w:p>
          <w:p w14:paraId="158D9F82" w14:textId="77777777" w:rsidR="00E542CD" w:rsidRDefault="00E542CD" w:rsidP="00C124DF">
            <w:pPr>
              <w:rPr>
                <w:rFonts w:ascii="Times New Roman" w:hAnsi="Times New Roman" w:cs="Times New Roman"/>
                <w:lang w:val="fr-CA"/>
              </w:rPr>
            </w:pPr>
          </w:p>
          <w:p w14:paraId="752CFAC4" w14:textId="599D286A" w:rsidR="00E542CD" w:rsidRPr="00C124DF" w:rsidRDefault="00E542CD" w:rsidP="00C124DF">
            <w:pPr>
              <w:rPr>
                <w:rFonts w:ascii="Times New Roman" w:hAnsi="Times New Roman" w:cs="Times New Roman"/>
                <w:lang w:val="fr-CA"/>
              </w:rPr>
            </w:pPr>
            <w:proofErr w:type="spellStart"/>
            <w:r>
              <w:rPr>
                <w:rFonts w:ascii="Times New Roman" w:hAnsi="Times New Roman" w:cs="Times New Roman"/>
                <w:lang w:val="fr-CA"/>
              </w:rPr>
              <w:t>References</w:t>
            </w:r>
            <w:proofErr w:type="spellEnd"/>
          </w:p>
          <w:p w14:paraId="06A08013" w14:textId="77777777" w:rsidR="00E542CD" w:rsidRPr="00122BFE" w:rsidRDefault="00E542CD" w:rsidP="00122BFE">
            <w:pPr>
              <w:pStyle w:val="ListParagraph"/>
              <w:numPr>
                <w:ilvl w:val="0"/>
                <w:numId w:val="29"/>
              </w:numPr>
              <w:rPr>
                <w:rFonts w:ascii="Times New Roman" w:hAnsi="Times New Roman" w:cs="Times New Roman"/>
              </w:rPr>
            </w:pPr>
            <w:proofErr w:type="spellStart"/>
            <w:r w:rsidRPr="00122BFE">
              <w:rPr>
                <w:rFonts w:ascii="Times New Roman" w:hAnsi="Times New Roman" w:cs="Times New Roman"/>
              </w:rPr>
              <w:t>Langlois</w:t>
            </w:r>
            <w:proofErr w:type="spellEnd"/>
            <w:r w:rsidRPr="00122BFE">
              <w:rPr>
                <w:rFonts w:ascii="Times New Roman" w:hAnsi="Times New Roman" w:cs="Times New Roman"/>
              </w:rPr>
              <w:t xml:space="preserve"> K, Greene-Finestone L, Little J, </w:t>
            </w:r>
            <w:proofErr w:type="spellStart"/>
            <w:r w:rsidRPr="00122BFE">
              <w:rPr>
                <w:rFonts w:ascii="Times New Roman" w:hAnsi="Times New Roman" w:cs="Times New Roman"/>
              </w:rPr>
              <w:t>Hidiroglou</w:t>
            </w:r>
            <w:proofErr w:type="spellEnd"/>
            <w:r w:rsidRPr="00122BFE">
              <w:rPr>
                <w:rFonts w:ascii="Times New Roman" w:hAnsi="Times New Roman" w:cs="Times New Roman"/>
              </w:rPr>
              <w:t xml:space="preserve"> N, Whiting S. Vitamin D status of Canadians as measured in the 2007 to 2009 Canadian Health Measures Survey. Health Rep. 2010</w:t>
            </w:r>
            <w:proofErr w:type="gramStart"/>
            <w:r w:rsidRPr="00122BFE">
              <w:rPr>
                <w:rFonts w:ascii="Times New Roman" w:hAnsi="Times New Roman" w:cs="Times New Roman"/>
              </w:rPr>
              <w:t>;21</w:t>
            </w:r>
            <w:proofErr w:type="gramEnd"/>
            <w:r w:rsidRPr="00122BFE">
              <w:rPr>
                <w:rFonts w:ascii="Times New Roman" w:hAnsi="Times New Roman" w:cs="Times New Roman"/>
              </w:rPr>
              <w:t>(1):47–55.</w:t>
            </w:r>
          </w:p>
          <w:p w14:paraId="565DFFCA" w14:textId="77777777" w:rsidR="00E542CD" w:rsidRDefault="00E542CD" w:rsidP="00122BFE">
            <w:pPr>
              <w:pStyle w:val="ListParagraph"/>
              <w:numPr>
                <w:ilvl w:val="0"/>
                <w:numId w:val="29"/>
              </w:numPr>
              <w:rPr>
                <w:rFonts w:ascii="Times New Roman" w:hAnsi="Times New Roman" w:cs="Times New Roman"/>
              </w:rPr>
            </w:pPr>
            <w:r w:rsidRPr="00122BFE">
              <w:rPr>
                <w:rFonts w:ascii="Times New Roman" w:hAnsi="Times New Roman" w:cs="Times New Roman"/>
              </w:rPr>
              <w:t xml:space="preserve">Whiting SJ, </w:t>
            </w:r>
            <w:proofErr w:type="spellStart"/>
            <w:r w:rsidRPr="00122BFE">
              <w:rPr>
                <w:rFonts w:ascii="Times New Roman" w:hAnsi="Times New Roman" w:cs="Times New Roman"/>
              </w:rPr>
              <w:t>Langlois</w:t>
            </w:r>
            <w:proofErr w:type="spellEnd"/>
            <w:r w:rsidRPr="00122BFE">
              <w:rPr>
                <w:rFonts w:ascii="Times New Roman" w:hAnsi="Times New Roman" w:cs="Times New Roman"/>
              </w:rPr>
              <w:t xml:space="preserve"> KA, </w:t>
            </w:r>
            <w:proofErr w:type="spellStart"/>
            <w:r w:rsidRPr="00122BFE">
              <w:rPr>
                <w:rFonts w:ascii="Times New Roman" w:hAnsi="Times New Roman" w:cs="Times New Roman"/>
              </w:rPr>
              <w:t>Vatanparast</w:t>
            </w:r>
            <w:proofErr w:type="spellEnd"/>
            <w:r w:rsidRPr="00122BFE">
              <w:rPr>
                <w:rFonts w:ascii="Times New Roman" w:hAnsi="Times New Roman" w:cs="Times New Roman"/>
              </w:rPr>
              <w:t xml:space="preserve"> H, Greene-Finestone LS. The vitamin D status of Canadians relative to the 2011 Dietary Reference Intakes: an examination in children and adults with and without supplement use. Am J </w:t>
            </w:r>
            <w:proofErr w:type="spellStart"/>
            <w:r w:rsidRPr="00122BFE">
              <w:rPr>
                <w:rFonts w:ascii="Times New Roman" w:hAnsi="Times New Roman" w:cs="Times New Roman"/>
              </w:rPr>
              <w:t>Clin</w:t>
            </w:r>
            <w:proofErr w:type="spellEnd"/>
            <w:r w:rsidRPr="00122BFE">
              <w:rPr>
                <w:rFonts w:ascii="Times New Roman" w:hAnsi="Times New Roman" w:cs="Times New Roman"/>
              </w:rPr>
              <w:t xml:space="preserve"> </w:t>
            </w:r>
            <w:proofErr w:type="spellStart"/>
            <w:r w:rsidRPr="00122BFE">
              <w:rPr>
                <w:rFonts w:ascii="Times New Roman" w:hAnsi="Times New Roman" w:cs="Times New Roman"/>
              </w:rPr>
              <w:lastRenderedPageBreak/>
              <w:t>Nutr</w:t>
            </w:r>
            <w:proofErr w:type="spellEnd"/>
            <w:r w:rsidRPr="00122BFE">
              <w:rPr>
                <w:rFonts w:ascii="Times New Roman" w:hAnsi="Times New Roman" w:cs="Times New Roman"/>
              </w:rPr>
              <w:t>. 2011</w:t>
            </w:r>
            <w:proofErr w:type="gramStart"/>
            <w:r w:rsidRPr="00122BFE">
              <w:rPr>
                <w:rFonts w:ascii="Times New Roman" w:hAnsi="Times New Roman" w:cs="Times New Roman"/>
              </w:rPr>
              <w:t>;94</w:t>
            </w:r>
            <w:proofErr w:type="gramEnd"/>
            <w:r w:rsidRPr="00122BFE">
              <w:rPr>
                <w:rFonts w:ascii="Times New Roman" w:hAnsi="Times New Roman" w:cs="Times New Roman"/>
              </w:rPr>
              <w:t>(1):128–135. doi:10.3945/ajcn.111.013268</w:t>
            </w:r>
          </w:p>
          <w:p w14:paraId="38CC8554" w14:textId="6F2ACCA2" w:rsidR="00E542CD" w:rsidRPr="00C124DF" w:rsidRDefault="00E542CD" w:rsidP="00122BFE">
            <w:pPr>
              <w:pStyle w:val="ListParagraph"/>
              <w:numPr>
                <w:ilvl w:val="0"/>
                <w:numId w:val="29"/>
              </w:numPr>
              <w:rPr>
                <w:rFonts w:ascii="Times New Roman" w:hAnsi="Times New Roman" w:cs="Times New Roman"/>
                <w:lang w:val="fr-CA"/>
              </w:rPr>
            </w:pPr>
            <w:r w:rsidRPr="00122BFE">
              <w:rPr>
                <w:rFonts w:ascii="Times New Roman" w:hAnsi="Times New Roman" w:cs="Times New Roman"/>
                <w:lang w:val="fr-CA"/>
              </w:rPr>
              <w:t xml:space="preserve">Statistique Canada. Enquête canadienne sur les mesures de la santé : Données des mesures non environnementales de laboratoire et de médicaments, 2016 et 2017. </w:t>
            </w:r>
            <w:r w:rsidRPr="00315B4D">
              <w:rPr>
                <w:rFonts w:ascii="Times New Roman" w:hAnsi="Times New Roman" w:cs="Times New Roman"/>
                <w:lang w:val="fr-CA"/>
              </w:rPr>
              <w:t xml:space="preserve">Le Quotidien. 2019. </w:t>
            </w:r>
            <w:r w:rsidRPr="00122BFE">
              <w:rPr>
                <w:rFonts w:ascii="Times New Roman" w:hAnsi="Times New Roman" w:cs="Times New Roman"/>
                <w:lang w:val="fr-CA"/>
              </w:rPr>
              <w:t xml:space="preserve">Disponible </w:t>
            </w:r>
            <w:r>
              <w:rPr>
                <w:rFonts w:ascii="Times New Roman" w:hAnsi="Times New Roman" w:cs="Times New Roman"/>
                <w:lang w:val="fr-CA"/>
              </w:rPr>
              <w:t>à</w:t>
            </w:r>
            <w:r w:rsidRPr="00122BFE">
              <w:rPr>
                <w:rFonts w:ascii="Times New Roman" w:hAnsi="Times New Roman" w:cs="Times New Roman"/>
                <w:lang w:val="fr-CA"/>
              </w:rPr>
              <w:t>: https://www150.statcan.gc.ca/n1/daily-quotidien/190206/dq190206c-fra.htm</w:t>
            </w:r>
          </w:p>
        </w:tc>
        <w:tc>
          <w:tcPr>
            <w:tcW w:w="1366" w:type="dxa"/>
          </w:tcPr>
          <w:p w14:paraId="056B2E13" w14:textId="04837E62" w:rsidR="00E542CD" w:rsidRPr="00E542CD" w:rsidRDefault="00E542CD" w:rsidP="00C96EF9">
            <w:pPr>
              <w:rPr>
                <w:rFonts w:ascii="Times New Roman" w:hAnsi="Times New Roman" w:cs="Times New Roman"/>
                <w:lang w:val="fr-CA"/>
              </w:rPr>
            </w:pPr>
            <w:r w:rsidRPr="00E542CD">
              <w:rPr>
                <w:rFonts w:ascii="Times New Roman" w:hAnsi="Times New Roman" w:cs="Times New Roman"/>
                <w:lang w:val="fr-CA"/>
              </w:rPr>
              <w:lastRenderedPageBreak/>
              <w:t>Y</w:t>
            </w:r>
          </w:p>
        </w:tc>
        <w:tc>
          <w:tcPr>
            <w:tcW w:w="976" w:type="dxa"/>
          </w:tcPr>
          <w:p w14:paraId="36FEFFBB" w14:textId="439437EA" w:rsidR="00E542CD" w:rsidRPr="00E542CD" w:rsidRDefault="00E542CD" w:rsidP="00C96EF9">
            <w:pPr>
              <w:rPr>
                <w:rFonts w:ascii="Times New Roman" w:hAnsi="Times New Roman" w:cs="Times New Roman"/>
                <w:lang w:val="fr-CA"/>
              </w:rPr>
            </w:pPr>
            <w:r w:rsidRPr="00E542CD">
              <w:rPr>
                <w:rFonts w:ascii="Times New Roman" w:hAnsi="Times New Roman" w:cs="Times New Roman"/>
                <w:lang w:val="fr-CA"/>
              </w:rPr>
              <w:t>Y</w:t>
            </w:r>
          </w:p>
        </w:tc>
      </w:tr>
      <w:tr w:rsidR="00E542CD" w:rsidRPr="00993C76" w14:paraId="20BC402A" w14:textId="6FA5805F" w:rsidTr="00BB4AF8">
        <w:tc>
          <w:tcPr>
            <w:tcW w:w="1539" w:type="dxa"/>
          </w:tcPr>
          <w:p w14:paraId="167B198B" w14:textId="6F7E51AA" w:rsidR="00E542CD" w:rsidRPr="00C124DF" w:rsidRDefault="00E542CD" w:rsidP="00EE5F8D">
            <w:pPr>
              <w:rPr>
                <w:rFonts w:ascii="Times New Roman" w:hAnsi="Times New Roman" w:cs="Times New Roman"/>
                <w:lang w:val="fr-CA"/>
              </w:rPr>
            </w:pPr>
            <w:r w:rsidRPr="00C124DF">
              <w:rPr>
                <w:rFonts w:ascii="Times New Roman" w:hAnsi="Times New Roman" w:cs="Times New Roman"/>
                <w:lang w:val="fr-CA"/>
              </w:rPr>
              <w:t>Sodium</w:t>
            </w:r>
          </w:p>
        </w:tc>
        <w:tc>
          <w:tcPr>
            <w:tcW w:w="4537" w:type="dxa"/>
          </w:tcPr>
          <w:p w14:paraId="0B8FA511" w14:textId="2A4C9078" w:rsidR="00E542CD" w:rsidRPr="00C124DF" w:rsidRDefault="006137C0" w:rsidP="00C96EF9">
            <w:pPr>
              <w:rPr>
                <w:rFonts w:ascii="Times New Roman" w:hAnsi="Times New Roman" w:cs="Times New Roman"/>
              </w:rPr>
            </w:pPr>
            <w:hyperlink r:id="rId34" w:history="1">
              <w:r w:rsidR="00E542CD" w:rsidRPr="0023400D">
                <w:rPr>
                  <w:rStyle w:val="Hyperlink"/>
                  <w:rFonts w:ascii="Times New Roman" w:hAnsi="Times New Roman" w:cs="Times New Roman"/>
                </w:rPr>
                <w:t xml:space="preserve">Click here for more information on the Sodium intake of Canadians. </w:t>
              </w:r>
            </w:hyperlink>
            <w:r w:rsidR="00E542CD" w:rsidRPr="00C124DF">
              <w:rPr>
                <w:rFonts w:ascii="Times New Roman" w:hAnsi="Times New Roman" w:cs="Times New Roman"/>
              </w:rPr>
              <w:t xml:space="preserve"> </w:t>
            </w:r>
          </w:p>
        </w:tc>
        <w:tc>
          <w:tcPr>
            <w:tcW w:w="4532" w:type="dxa"/>
          </w:tcPr>
          <w:p w14:paraId="0AFA1A87" w14:textId="7150D26F" w:rsidR="00E542CD" w:rsidRPr="00122BFE" w:rsidRDefault="006137C0" w:rsidP="00654D73">
            <w:pPr>
              <w:rPr>
                <w:rFonts w:ascii="Times New Roman" w:hAnsi="Times New Roman" w:cs="Times New Roman"/>
                <w:lang w:val="fr-CA"/>
              </w:rPr>
            </w:pPr>
            <w:hyperlink r:id="rId35" w:history="1">
              <w:r w:rsidR="00E542CD" w:rsidRPr="0023400D">
                <w:rPr>
                  <w:rStyle w:val="Hyperlink"/>
                  <w:rFonts w:ascii="Times New Roman" w:hAnsi="Times New Roman" w:cs="Times New Roman"/>
                  <w:lang w:val="fr-CA"/>
                </w:rPr>
                <w:t xml:space="preserve">Cliquez ici pour plus d'informations sur l'apport en sodium chez les Canadiens. </w:t>
              </w:r>
            </w:hyperlink>
            <w:r w:rsidR="00E542CD" w:rsidRPr="00122BFE">
              <w:rPr>
                <w:rFonts w:ascii="Times New Roman" w:hAnsi="Times New Roman" w:cs="Times New Roman"/>
                <w:lang w:val="fr-CA"/>
              </w:rPr>
              <w:t xml:space="preserve"> </w:t>
            </w:r>
          </w:p>
        </w:tc>
        <w:tc>
          <w:tcPr>
            <w:tcW w:w="1366" w:type="dxa"/>
          </w:tcPr>
          <w:p w14:paraId="72F9B128" w14:textId="2831DC55" w:rsidR="00E542CD" w:rsidRPr="00E542CD" w:rsidRDefault="00E542CD" w:rsidP="00654D73">
            <w:pPr>
              <w:rPr>
                <w:rFonts w:ascii="Times New Roman" w:hAnsi="Times New Roman" w:cs="Times New Roman"/>
              </w:rPr>
            </w:pPr>
            <w:r w:rsidRPr="00E542CD">
              <w:rPr>
                <w:rFonts w:ascii="Times New Roman" w:hAnsi="Times New Roman" w:cs="Times New Roman"/>
              </w:rPr>
              <w:t>Y</w:t>
            </w:r>
          </w:p>
        </w:tc>
        <w:tc>
          <w:tcPr>
            <w:tcW w:w="976" w:type="dxa"/>
          </w:tcPr>
          <w:p w14:paraId="3B3ABBBE" w14:textId="1BDE77EE" w:rsidR="00E542CD" w:rsidRPr="00E542CD" w:rsidRDefault="00E542CD" w:rsidP="00654D73">
            <w:pPr>
              <w:rPr>
                <w:rFonts w:ascii="Times New Roman" w:hAnsi="Times New Roman" w:cs="Times New Roman"/>
              </w:rPr>
            </w:pPr>
            <w:r w:rsidRPr="00E542CD">
              <w:rPr>
                <w:rFonts w:ascii="Times New Roman" w:hAnsi="Times New Roman" w:cs="Times New Roman"/>
              </w:rPr>
              <w:t>Y</w:t>
            </w:r>
          </w:p>
        </w:tc>
      </w:tr>
      <w:tr w:rsidR="00E542CD" w:rsidRPr="00C124DF" w14:paraId="183680D6" w14:textId="57412BFB" w:rsidTr="00BB4AF8">
        <w:tc>
          <w:tcPr>
            <w:tcW w:w="1539" w:type="dxa"/>
          </w:tcPr>
          <w:p w14:paraId="70F64D91" w14:textId="6050929B" w:rsidR="00E542CD" w:rsidRPr="00C124DF" w:rsidRDefault="00E542CD" w:rsidP="00EE5F8D">
            <w:pPr>
              <w:rPr>
                <w:rFonts w:ascii="Times New Roman" w:hAnsi="Times New Roman" w:cs="Times New Roman"/>
              </w:rPr>
            </w:pPr>
            <w:r w:rsidRPr="00CE1498">
              <w:rPr>
                <w:rFonts w:ascii="Times New Roman" w:hAnsi="Times New Roman" w:cs="Times New Roman"/>
                <w:highlight w:val="yellow"/>
              </w:rPr>
              <w:t>Folate</w:t>
            </w:r>
            <w:r w:rsidRPr="00C124DF">
              <w:rPr>
                <w:rFonts w:ascii="Times New Roman" w:hAnsi="Times New Roman" w:cs="Times New Roman"/>
              </w:rPr>
              <w:t xml:space="preserve"> </w:t>
            </w:r>
          </w:p>
        </w:tc>
        <w:tc>
          <w:tcPr>
            <w:tcW w:w="4537" w:type="dxa"/>
          </w:tcPr>
          <w:p w14:paraId="370DC918" w14:textId="0FE2D889" w:rsidR="00483E0A" w:rsidRDefault="00BB4AF8" w:rsidP="00483E0A">
            <w:pPr>
              <w:pStyle w:val="ListParagraph"/>
              <w:numPr>
                <w:ilvl w:val="0"/>
                <w:numId w:val="30"/>
              </w:numPr>
              <w:rPr>
                <w:rFonts w:ascii="Times New Roman" w:hAnsi="Times New Roman" w:cs="Times New Roman"/>
              </w:rPr>
            </w:pPr>
            <w:r w:rsidRPr="00483E0A">
              <w:rPr>
                <w:rFonts w:ascii="Times New Roman" w:hAnsi="Times New Roman" w:cs="Times New Roman"/>
              </w:rPr>
              <w:t>What DRI is based on?</w:t>
            </w:r>
          </w:p>
          <w:p w14:paraId="0C99C096" w14:textId="017DF28B" w:rsidR="00483E0A" w:rsidRPr="00483E0A" w:rsidRDefault="00483E0A" w:rsidP="00483E0A">
            <w:pPr>
              <w:pStyle w:val="ListParagraph"/>
              <w:numPr>
                <w:ilvl w:val="0"/>
                <w:numId w:val="30"/>
              </w:numPr>
              <w:rPr>
                <w:rFonts w:ascii="Times New Roman" w:hAnsi="Times New Roman" w:cs="Times New Roman"/>
              </w:rPr>
            </w:pPr>
            <w:r>
              <w:rPr>
                <w:rFonts w:ascii="Times New Roman" w:hAnsi="Times New Roman" w:cs="Times New Roman"/>
              </w:rPr>
              <w:t>Statement re: females capable of becoming pregnant</w:t>
            </w:r>
          </w:p>
          <w:p w14:paraId="340AAA5D" w14:textId="13D5B9F7" w:rsidR="00BB4AF8" w:rsidRPr="00483E0A" w:rsidRDefault="00BB4AF8" w:rsidP="00483E0A">
            <w:pPr>
              <w:pStyle w:val="ListParagraph"/>
              <w:numPr>
                <w:ilvl w:val="0"/>
                <w:numId w:val="30"/>
              </w:numPr>
              <w:rPr>
                <w:rFonts w:ascii="Times New Roman" w:hAnsi="Times New Roman" w:cs="Times New Roman"/>
              </w:rPr>
            </w:pPr>
            <w:r w:rsidRPr="00483E0A">
              <w:rPr>
                <w:rFonts w:ascii="Times New Roman" w:hAnsi="Times New Roman" w:cs="Times New Roman"/>
              </w:rPr>
              <w:t>References for CHMS status articles</w:t>
            </w:r>
          </w:p>
        </w:tc>
        <w:tc>
          <w:tcPr>
            <w:tcW w:w="4532" w:type="dxa"/>
          </w:tcPr>
          <w:p w14:paraId="04AACC98" w14:textId="77777777" w:rsidR="00E542CD" w:rsidRPr="00C124DF" w:rsidRDefault="00E542CD" w:rsidP="00EE5F8D">
            <w:pPr>
              <w:rPr>
                <w:rFonts w:ascii="Times New Roman" w:hAnsi="Times New Roman" w:cs="Times New Roman"/>
              </w:rPr>
            </w:pPr>
          </w:p>
        </w:tc>
        <w:tc>
          <w:tcPr>
            <w:tcW w:w="1366" w:type="dxa"/>
          </w:tcPr>
          <w:p w14:paraId="6EC44551" w14:textId="40ABB124" w:rsidR="00E542CD" w:rsidRPr="00E542CD" w:rsidRDefault="00E542CD" w:rsidP="00EE5F8D">
            <w:pPr>
              <w:rPr>
                <w:rFonts w:ascii="Times New Roman" w:hAnsi="Times New Roman" w:cs="Times New Roman"/>
              </w:rPr>
            </w:pPr>
            <w:r w:rsidRPr="00E542CD">
              <w:rPr>
                <w:rFonts w:ascii="Times New Roman" w:hAnsi="Times New Roman" w:cs="Times New Roman"/>
              </w:rPr>
              <w:t>Y</w:t>
            </w:r>
          </w:p>
        </w:tc>
        <w:tc>
          <w:tcPr>
            <w:tcW w:w="976" w:type="dxa"/>
          </w:tcPr>
          <w:p w14:paraId="7A4132B8" w14:textId="15B77717" w:rsidR="00E542CD" w:rsidRPr="00E542CD" w:rsidRDefault="00E542CD" w:rsidP="00EE5F8D">
            <w:pPr>
              <w:rPr>
                <w:rFonts w:ascii="Times New Roman" w:hAnsi="Times New Roman" w:cs="Times New Roman"/>
              </w:rPr>
            </w:pPr>
            <w:r w:rsidRPr="00E542CD">
              <w:rPr>
                <w:rFonts w:ascii="Times New Roman" w:hAnsi="Times New Roman" w:cs="Times New Roman"/>
              </w:rPr>
              <w:t>Y</w:t>
            </w:r>
          </w:p>
        </w:tc>
      </w:tr>
      <w:tr w:rsidR="00E542CD" w:rsidRPr="00C124DF" w14:paraId="2645D89B" w14:textId="3243A452" w:rsidTr="003C48AD">
        <w:trPr>
          <w:trHeight w:val="513"/>
        </w:trPr>
        <w:tc>
          <w:tcPr>
            <w:tcW w:w="1539" w:type="dxa"/>
          </w:tcPr>
          <w:p w14:paraId="7DF95D6B" w14:textId="0ACEC0E2" w:rsidR="00E542CD" w:rsidRPr="0023400D" w:rsidRDefault="00E542CD" w:rsidP="00EE5F8D">
            <w:pPr>
              <w:rPr>
                <w:rFonts w:ascii="Times New Roman" w:hAnsi="Times New Roman" w:cs="Times New Roman"/>
                <w:highlight w:val="yellow"/>
              </w:rPr>
            </w:pPr>
            <w:r w:rsidRPr="0023400D">
              <w:rPr>
                <w:rFonts w:ascii="Times New Roman" w:hAnsi="Times New Roman" w:cs="Times New Roman"/>
                <w:highlight w:val="yellow"/>
              </w:rPr>
              <w:t>Calcium</w:t>
            </w:r>
          </w:p>
        </w:tc>
        <w:tc>
          <w:tcPr>
            <w:tcW w:w="4537" w:type="dxa"/>
          </w:tcPr>
          <w:p w14:paraId="6281BD3E" w14:textId="3603DCD8" w:rsidR="00E542CD" w:rsidRPr="00C124DF" w:rsidRDefault="00E542CD" w:rsidP="00EE5F8D">
            <w:pPr>
              <w:rPr>
                <w:rFonts w:ascii="Times New Roman" w:hAnsi="Times New Roman" w:cs="Times New Roman"/>
              </w:rPr>
            </w:pPr>
          </w:p>
        </w:tc>
        <w:tc>
          <w:tcPr>
            <w:tcW w:w="4532" w:type="dxa"/>
          </w:tcPr>
          <w:p w14:paraId="3125049D" w14:textId="77777777" w:rsidR="00E542CD" w:rsidRPr="00C124DF" w:rsidRDefault="00E542CD" w:rsidP="00EE5F8D">
            <w:pPr>
              <w:rPr>
                <w:rFonts w:ascii="Times New Roman" w:hAnsi="Times New Roman" w:cs="Times New Roman"/>
              </w:rPr>
            </w:pPr>
          </w:p>
        </w:tc>
        <w:tc>
          <w:tcPr>
            <w:tcW w:w="1366" w:type="dxa"/>
          </w:tcPr>
          <w:p w14:paraId="08C8D323" w14:textId="3A606BFF" w:rsidR="00E542CD" w:rsidRPr="00E542CD" w:rsidRDefault="00E542CD" w:rsidP="00EE5F8D">
            <w:pPr>
              <w:rPr>
                <w:rFonts w:ascii="Times New Roman" w:hAnsi="Times New Roman" w:cs="Times New Roman"/>
              </w:rPr>
            </w:pPr>
            <w:r w:rsidRPr="00E542CD">
              <w:rPr>
                <w:rFonts w:ascii="Times New Roman" w:hAnsi="Times New Roman" w:cs="Times New Roman"/>
              </w:rPr>
              <w:t>Y</w:t>
            </w:r>
          </w:p>
        </w:tc>
        <w:tc>
          <w:tcPr>
            <w:tcW w:w="976" w:type="dxa"/>
          </w:tcPr>
          <w:p w14:paraId="6803B1C8" w14:textId="201BE9C9" w:rsidR="00E542CD" w:rsidRPr="00E542CD" w:rsidRDefault="00E542CD" w:rsidP="00EE5F8D">
            <w:pPr>
              <w:rPr>
                <w:rFonts w:ascii="Times New Roman" w:hAnsi="Times New Roman" w:cs="Times New Roman"/>
              </w:rPr>
            </w:pPr>
            <w:r w:rsidRPr="00E542CD">
              <w:rPr>
                <w:rFonts w:ascii="Times New Roman" w:hAnsi="Times New Roman" w:cs="Times New Roman"/>
              </w:rPr>
              <w:t>Y</w:t>
            </w:r>
          </w:p>
        </w:tc>
      </w:tr>
      <w:tr w:rsidR="00E542CD" w:rsidRPr="00C124DF" w14:paraId="2C58E4D5" w14:textId="70C8373F" w:rsidTr="00BB4AF8">
        <w:trPr>
          <w:trHeight w:val="632"/>
        </w:trPr>
        <w:tc>
          <w:tcPr>
            <w:tcW w:w="1539" w:type="dxa"/>
          </w:tcPr>
          <w:p w14:paraId="6093670E" w14:textId="0B1443A8" w:rsidR="00E542CD" w:rsidRPr="00C124DF" w:rsidRDefault="00E542CD" w:rsidP="00E542CD">
            <w:pPr>
              <w:rPr>
                <w:rFonts w:ascii="Times New Roman" w:hAnsi="Times New Roman" w:cs="Times New Roman"/>
                <w:szCs w:val="18"/>
              </w:rPr>
            </w:pPr>
            <w:r>
              <w:rPr>
                <w:rFonts w:ascii="Times New Roman" w:hAnsi="Times New Roman" w:cs="Times New Roman"/>
                <w:szCs w:val="18"/>
              </w:rPr>
              <w:t>Carbohydrate (total)</w:t>
            </w:r>
          </w:p>
        </w:tc>
        <w:tc>
          <w:tcPr>
            <w:tcW w:w="4537" w:type="dxa"/>
          </w:tcPr>
          <w:p w14:paraId="11E57F7F" w14:textId="03F87FFD" w:rsidR="00E542CD" w:rsidRPr="00C124DF" w:rsidRDefault="00E542CD" w:rsidP="00E542CD">
            <w:pPr>
              <w:rPr>
                <w:rFonts w:ascii="Times New Roman" w:hAnsi="Times New Roman" w:cs="Times New Roman"/>
                <w:szCs w:val="18"/>
              </w:rPr>
            </w:pPr>
            <w:r>
              <w:rPr>
                <w:rFonts w:ascii="Times New Roman" w:hAnsi="Times New Roman" w:cs="Times New Roman"/>
                <w:szCs w:val="18"/>
              </w:rPr>
              <w:t>N/A</w:t>
            </w:r>
          </w:p>
        </w:tc>
        <w:tc>
          <w:tcPr>
            <w:tcW w:w="4532" w:type="dxa"/>
          </w:tcPr>
          <w:p w14:paraId="42E0301A" w14:textId="66B42DA9" w:rsidR="00E542CD" w:rsidRPr="00C124DF" w:rsidRDefault="00E542CD" w:rsidP="00E542CD">
            <w:pPr>
              <w:rPr>
                <w:rFonts w:ascii="Times New Roman" w:hAnsi="Times New Roman" w:cs="Times New Roman"/>
                <w:szCs w:val="18"/>
              </w:rPr>
            </w:pPr>
            <w:r>
              <w:rPr>
                <w:rFonts w:ascii="Times New Roman" w:hAnsi="Times New Roman" w:cs="Times New Roman"/>
                <w:szCs w:val="18"/>
              </w:rPr>
              <w:t>N/A</w:t>
            </w:r>
          </w:p>
        </w:tc>
        <w:tc>
          <w:tcPr>
            <w:tcW w:w="1366" w:type="dxa"/>
          </w:tcPr>
          <w:p w14:paraId="2EA3D960" w14:textId="197A2243" w:rsidR="00E542CD" w:rsidRPr="00E542CD" w:rsidRDefault="00E542CD" w:rsidP="00E542CD">
            <w:pPr>
              <w:rPr>
                <w:rFonts w:ascii="Times New Roman" w:hAnsi="Times New Roman" w:cs="Times New Roman"/>
              </w:rPr>
            </w:pPr>
            <w:r>
              <w:rPr>
                <w:rFonts w:ascii="Times New Roman" w:hAnsi="Times New Roman" w:cs="Times New Roman"/>
              </w:rPr>
              <w:t>Y</w:t>
            </w:r>
          </w:p>
        </w:tc>
        <w:tc>
          <w:tcPr>
            <w:tcW w:w="976" w:type="dxa"/>
          </w:tcPr>
          <w:p w14:paraId="4BFC53D0" w14:textId="7D811783" w:rsidR="00E542CD" w:rsidRPr="00E542CD" w:rsidRDefault="00E542CD" w:rsidP="00E542CD">
            <w:pPr>
              <w:rPr>
                <w:rFonts w:ascii="Times New Roman" w:hAnsi="Times New Roman" w:cs="Times New Roman"/>
              </w:rPr>
            </w:pPr>
            <w:r>
              <w:rPr>
                <w:rFonts w:ascii="Times New Roman" w:hAnsi="Times New Roman" w:cs="Times New Roman"/>
              </w:rPr>
              <w:t>N</w:t>
            </w:r>
          </w:p>
        </w:tc>
      </w:tr>
      <w:tr w:rsidR="00DE7E10" w:rsidRPr="00C124DF" w14:paraId="61C05AF9" w14:textId="2A282A01" w:rsidTr="00BB4AF8">
        <w:tc>
          <w:tcPr>
            <w:tcW w:w="1539" w:type="dxa"/>
          </w:tcPr>
          <w:p w14:paraId="41049224" w14:textId="237432DE" w:rsidR="00DE7E10" w:rsidRPr="00C124DF" w:rsidRDefault="00DE7E10" w:rsidP="00DE7E10">
            <w:pPr>
              <w:rPr>
                <w:rFonts w:ascii="Times New Roman" w:hAnsi="Times New Roman" w:cs="Times New Roman"/>
                <w:szCs w:val="18"/>
              </w:rPr>
            </w:pPr>
            <w:r w:rsidRPr="00E542CD">
              <w:rPr>
                <w:rFonts w:ascii="Times New Roman" w:hAnsi="Times New Roman" w:cs="Times New Roman"/>
                <w:szCs w:val="18"/>
                <w:highlight w:val="yellow"/>
              </w:rPr>
              <w:t>Iron</w:t>
            </w:r>
          </w:p>
        </w:tc>
        <w:tc>
          <w:tcPr>
            <w:tcW w:w="4537" w:type="dxa"/>
          </w:tcPr>
          <w:p w14:paraId="21C2CA68" w14:textId="77777777" w:rsidR="00DE7E10" w:rsidRDefault="00894F5B" w:rsidP="00DE7E10">
            <w:pPr>
              <w:rPr>
                <w:rFonts w:ascii="Times New Roman" w:hAnsi="Times New Roman" w:cs="Times New Roman"/>
                <w:color w:val="FF0000"/>
                <w:szCs w:val="18"/>
              </w:rPr>
            </w:pPr>
            <w:r>
              <w:rPr>
                <w:rFonts w:ascii="Times New Roman" w:hAnsi="Times New Roman" w:cs="Times New Roman"/>
                <w:color w:val="FF0000"/>
                <w:szCs w:val="18"/>
              </w:rPr>
              <w:t>Link to iron status paper using CHMS cycle 2?</w:t>
            </w:r>
          </w:p>
          <w:p w14:paraId="339B3738" w14:textId="77777777" w:rsidR="00894F5B" w:rsidRDefault="00894F5B" w:rsidP="00DE7E10">
            <w:pPr>
              <w:rPr>
                <w:rFonts w:ascii="Times New Roman" w:hAnsi="Times New Roman" w:cs="Times New Roman"/>
                <w:color w:val="FF0000"/>
                <w:szCs w:val="18"/>
              </w:rPr>
            </w:pPr>
          </w:p>
          <w:p w14:paraId="02C3B5C2" w14:textId="3E41F434" w:rsidR="00894F5B" w:rsidRPr="0023400D" w:rsidRDefault="00894F5B" w:rsidP="00DE7E10">
            <w:pPr>
              <w:rPr>
                <w:rFonts w:ascii="Times New Roman" w:hAnsi="Times New Roman" w:cs="Times New Roman"/>
                <w:color w:val="FF0000"/>
                <w:szCs w:val="18"/>
              </w:rPr>
            </w:pPr>
            <w:r>
              <w:rPr>
                <w:rFonts w:ascii="Times New Roman" w:hAnsi="Times New Roman" w:cs="Times New Roman"/>
                <w:color w:val="FF0000"/>
                <w:szCs w:val="18"/>
              </w:rPr>
              <w:t>Anything about iron bioavailability?</w:t>
            </w:r>
          </w:p>
        </w:tc>
        <w:tc>
          <w:tcPr>
            <w:tcW w:w="4532" w:type="dxa"/>
          </w:tcPr>
          <w:p w14:paraId="29209351" w14:textId="77777777" w:rsidR="00DE7E10" w:rsidRPr="00C124DF" w:rsidRDefault="00DE7E10" w:rsidP="00DE7E10">
            <w:pPr>
              <w:rPr>
                <w:rFonts w:ascii="Times New Roman" w:hAnsi="Times New Roman" w:cs="Times New Roman"/>
                <w:szCs w:val="18"/>
              </w:rPr>
            </w:pPr>
          </w:p>
        </w:tc>
        <w:tc>
          <w:tcPr>
            <w:tcW w:w="1366" w:type="dxa"/>
          </w:tcPr>
          <w:p w14:paraId="77F85761" w14:textId="5EB04BAB" w:rsidR="00DE7E10" w:rsidRPr="00E542CD" w:rsidRDefault="00DE7E10" w:rsidP="00DE7E10">
            <w:pPr>
              <w:rPr>
                <w:rFonts w:ascii="Times New Roman" w:hAnsi="Times New Roman" w:cs="Times New Roman"/>
              </w:rPr>
            </w:pPr>
            <w:r>
              <w:rPr>
                <w:rFonts w:ascii="Times New Roman" w:hAnsi="Times New Roman" w:cs="Times New Roman"/>
              </w:rPr>
              <w:t>Y</w:t>
            </w:r>
          </w:p>
        </w:tc>
        <w:tc>
          <w:tcPr>
            <w:tcW w:w="976" w:type="dxa"/>
          </w:tcPr>
          <w:p w14:paraId="61E0413A" w14:textId="2C53CF71" w:rsidR="00DE7E10" w:rsidRPr="00E542CD" w:rsidRDefault="00DE7E10" w:rsidP="00DE7E10">
            <w:pPr>
              <w:rPr>
                <w:rFonts w:ascii="Times New Roman" w:hAnsi="Times New Roman" w:cs="Times New Roman"/>
              </w:rPr>
            </w:pPr>
            <w:r>
              <w:rPr>
                <w:rFonts w:ascii="Times New Roman" w:hAnsi="Times New Roman" w:cs="Times New Roman"/>
              </w:rPr>
              <w:t>Y</w:t>
            </w:r>
          </w:p>
        </w:tc>
      </w:tr>
      <w:tr w:rsidR="00DE7E10" w:rsidRPr="00C124DF" w14:paraId="4598FD03" w14:textId="7333383E" w:rsidTr="00BB4AF8">
        <w:tc>
          <w:tcPr>
            <w:tcW w:w="1539" w:type="dxa"/>
          </w:tcPr>
          <w:p w14:paraId="7F8E5111" w14:textId="48DBCED9" w:rsidR="00DE7E10" w:rsidRPr="00C124DF" w:rsidRDefault="00DE7E10" w:rsidP="00DE7E10">
            <w:pPr>
              <w:rPr>
                <w:rFonts w:ascii="Times New Roman" w:hAnsi="Times New Roman" w:cs="Times New Roman"/>
                <w:szCs w:val="18"/>
              </w:rPr>
            </w:pPr>
            <w:r>
              <w:rPr>
                <w:rFonts w:ascii="Times New Roman" w:hAnsi="Times New Roman" w:cs="Times New Roman"/>
                <w:szCs w:val="18"/>
              </w:rPr>
              <w:t>% of total EI from carb</w:t>
            </w:r>
          </w:p>
        </w:tc>
        <w:tc>
          <w:tcPr>
            <w:tcW w:w="4537" w:type="dxa"/>
          </w:tcPr>
          <w:p w14:paraId="66FF8561" w14:textId="7A30AE2D" w:rsidR="00DE7E10" w:rsidRPr="00C124DF" w:rsidRDefault="00DE7E10" w:rsidP="00DE7E10">
            <w:pPr>
              <w:rPr>
                <w:rFonts w:ascii="Times New Roman" w:hAnsi="Times New Roman" w:cs="Times New Roman"/>
                <w:szCs w:val="18"/>
              </w:rPr>
            </w:pPr>
            <w:r>
              <w:rPr>
                <w:rFonts w:ascii="Times New Roman" w:hAnsi="Times New Roman" w:cs="Times New Roman"/>
                <w:szCs w:val="18"/>
              </w:rPr>
              <w:t>N/A</w:t>
            </w:r>
          </w:p>
        </w:tc>
        <w:tc>
          <w:tcPr>
            <w:tcW w:w="4532" w:type="dxa"/>
          </w:tcPr>
          <w:p w14:paraId="73ACC1F0" w14:textId="43B37E29" w:rsidR="00DE7E10" w:rsidRPr="00C124DF" w:rsidRDefault="00DE7E10" w:rsidP="00DE7E10">
            <w:pPr>
              <w:rPr>
                <w:rFonts w:ascii="Times New Roman" w:hAnsi="Times New Roman" w:cs="Times New Roman"/>
                <w:szCs w:val="18"/>
              </w:rPr>
            </w:pPr>
            <w:r>
              <w:rPr>
                <w:rFonts w:ascii="Times New Roman" w:hAnsi="Times New Roman" w:cs="Times New Roman"/>
                <w:szCs w:val="18"/>
              </w:rPr>
              <w:t>N/A</w:t>
            </w:r>
          </w:p>
        </w:tc>
        <w:tc>
          <w:tcPr>
            <w:tcW w:w="1366" w:type="dxa"/>
          </w:tcPr>
          <w:p w14:paraId="7C1966E6" w14:textId="5C6FFF1D" w:rsidR="00DE7E10" w:rsidRPr="00E542CD" w:rsidRDefault="00DE7E10" w:rsidP="00DE7E10">
            <w:pPr>
              <w:rPr>
                <w:rFonts w:ascii="Times New Roman" w:hAnsi="Times New Roman" w:cs="Times New Roman"/>
              </w:rPr>
            </w:pPr>
            <w:r>
              <w:rPr>
                <w:rFonts w:ascii="Times New Roman" w:hAnsi="Times New Roman" w:cs="Times New Roman"/>
              </w:rPr>
              <w:t>Y</w:t>
            </w:r>
          </w:p>
        </w:tc>
        <w:tc>
          <w:tcPr>
            <w:tcW w:w="976" w:type="dxa"/>
          </w:tcPr>
          <w:p w14:paraId="0F018B20" w14:textId="4F9AE58F" w:rsidR="00DE7E10" w:rsidRPr="00E542CD" w:rsidRDefault="00DE7E10" w:rsidP="00DE7E10">
            <w:pPr>
              <w:rPr>
                <w:rFonts w:ascii="Times New Roman" w:hAnsi="Times New Roman" w:cs="Times New Roman"/>
              </w:rPr>
            </w:pPr>
            <w:r>
              <w:rPr>
                <w:rFonts w:ascii="Times New Roman" w:hAnsi="Times New Roman" w:cs="Times New Roman"/>
              </w:rPr>
              <w:t>Y</w:t>
            </w:r>
          </w:p>
        </w:tc>
      </w:tr>
      <w:tr w:rsidR="00DE7E10" w:rsidRPr="00C124DF" w14:paraId="56375D2F" w14:textId="494313FB" w:rsidTr="00BB4AF8">
        <w:tc>
          <w:tcPr>
            <w:tcW w:w="1539" w:type="dxa"/>
          </w:tcPr>
          <w:p w14:paraId="5849992A" w14:textId="10F566A8" w:rsidR="00DE7E10" w:rsidRPr="00C124DF" w:rsidRDefault="00DE7E10" w:rsidP="00DE7E10">
            <w:pPr>
              <w:rPr>
                <w:rFonts w:ascii="Times New Roman" w:hAnsi="Times New Roman" w:cs="Times New Roman"/>
                <w:szCs w:val="18"/>
              </w:rPr>
            </w:pPr>
            <w:r>
              <w:rPr>
                <w:rFonts w:ascii="Times New Roman" w:hAnsi="Times New Roman" w:cs="Times New Roman"/>
                <w:szCs w:val="18"/>
              </w:rPr>
              <w:t>% of total EI from protein</w:t>
            </w:r>
          </w:p>
        </w:tc>
        <w:tc>
          <w:tcPr>
            <w:tcW w:w="4537" w:type="dxa"/>
          </w:tcPr>
          <w:p w14:paraId="17A5BE3B" w14:textId="478593C8" w:rsidR="00DE7E10" w:rsidRPr="00C124DF" w:rsidRDefault="00DE7E10" w:rsidP="00DE7E10">
            <w:pPr>
              <w:rPr>
                <w:rFonts w:ascii="Times New Roman" w:hAnsi="Times New Roman" w:cs="Times New Roman"/>
                <w:szCs w:val="18"/>
              </w:rPr>
            </w:pPr>
            <w:r>
              <w:rPr>
                <w:rFonts w:ascii="Times New Roman" w:hAnsi="Times New Roman" w:cs="Times New Roman"/>
                <w:szCs w:val="18"/>
              </w:rPr>
              <w:t>N/A</w:t>
            </w:r>
          </w:p>
        </w:tc>
        <w:tc>
          <w:tcPr>
            <w:tcW w:w="4532" w:type="dxa"/>
          </w:tcPr>
          <w:p w14:paraId="4C7F99AD" w14:textId="7A832049" w:rsidR="00DE7E10" w:rsidRPr="00C124DF" w:rsidRDefault="00DE7E10" w:rsidP="00DE7E10">
            <w:pPr>
              <w:rPr>
                <w:rFonts w:ascii="Times New Roman" w:hAnsi="Times New Roman" w:cs="Times New Roman"/>
                <w:szCs w:val="18"/>
              </w:rPr>
            </w:pPr>
            <w:r>
              <w:rPr>
                <w:rFonts w:ascii="Times New Roman" w:hAnsi="Times New Roman" w:cs="Times New Roman"/>
                <w:szCs w:val="18"/>
              </w:rPr>
              <w:t>N/A</w:t>
            </w:r>
          </w:p>
        </w:tc>
        <w:tc>
          <w:tcPr>
            <w:tcW w:w="1366" w:type="dxa"/>
          </w:tcPr>
          <w:p w14:paraId="5284C776" w14:textId="446929E3" w:rsidR="00DE7E10" w:rsidRPr="00E542CD" w:rsidRDefault="00DE7E10" w:rsidP="00DE7E10">
            <w:pPr>
              <w:rPr>
                <w:rFonts w:ascii="Times New Roman" w:hAnsi="Times New Roman" w:cs="Times New Roman"/>
              </w:rPr>
            </w:pPr>
            <w:r>
              <w:rPr>
                <w:rFonts w:ascii="Times New Roman" w:hAnsi="Times New Roman" w:cs="Times New Roman"/>
              </w:rPr>
              <w:t>Y</w:t>
            </w:r>
          </w:p>
        </w:tc>
        <w:tc>
          <w:tcPr>
            <w:tcW w:w="976" w:type="dxa"/>
          </w:tcPr>
          <w:p w14:paraId="2D62575B" w14:textId="1178B3A6" w:rsidR="00DE7E10" w:rsidRPr="00E542CD" w:rsidRDefault="00DE7E10" w:rsidP="00DE7E10">
            <w:pPr>
              <w:rPr>
                <w:rFonts w:ascii="Times New Roman" w:hAnsi="Times New Roman" w:cs="Times New Roman"/>
              </w:rPr>
            </w:pPr>
            <w:r>
              <w:rPr>
                <w:rFonts w:ascii="Times New Roman" w:hAnsi="Times New Roman" w:cs="Times New Roman"/>
              </w:rPr>
              <w:t>Y</w:t>
            </w:r>
          </w:p>
        </w:tc>
      </w:tr>
      <w:tr w:rsidR="00DE7E10" w:rsidRPr="00C124DF" w14:paraId="04590D13" w14:textId="30BE095D" w:rsidTr="00BB4AF8">
        <w:tc>
          <w:tcPr>
            <w:tcW w:w="1539" w:type="dxa"/>
          </w:tcPr>
          <w:p w14:paraId="1E86845F" w14:textId="251F65AF" w:rsidR="00DE7E10" w:rsidRPr="00C124DF" w:rsidRDefault="00DE7E10" w:rsidP="00DE7E10">
            <w:pPr>
              <w:rPr>
                <w:rFonts w:ascii="Times New Roman" w:hAnsi="Times New Roman" w:cs="Times New Roman"/>
                <w:szCs w:val="18"/>
              </w:rPr>
            </w:pPr>
            <w:r>
              <w:rPr>
                <w:rFonts w:ascii="Times New Roman" w:hAnsi="Times New Roman" w:cs="Times New Roman"/>
                <w:szCs w:val="18"/>
              </w:rPr>
              <w:t>% of total EI from fat</w:t>
            </w:r>
          </w:p>
        </w:tc>
        <w:tc>
          <w:tcPr>
            <w:tcW w:w="4537" w:type="dxa"/>
          </w:tcPr>
          <w:p w14:paraId="397E1071" w14:textId="6BA14465" w:rsidR="00DE7E10" w:rsidRPr="00C124DF" w:rsidRDefault="00DE7E10" w:rsidP="00DE7E10">
            <w:pPr>
              <w:rPr>
                <w:rFonts w:ascii="Times New Roman" w:hAnsi="Times New Roman" w:cs="Times New Roman"/>
                <w:szCs w:val="18"/>
              </w:rPr>
            </w:pPr>
            <w:r>
              <w:rPr>
                <w:rFonts w:ascii="Times New Roman" w:hAnsi="Times New Roman" w:cs="Times New Roman"/>
                <w:szCs w:val="18"/>
              </w:rPr>
              <w:t>N/A</w:t>
            </w:r>
          </w:p>
        </w:tc>
        <w:tc>
          <w:tcPr>
            <w:tcW w:w="4532" w:type="dxa"/>
          </w:tcPr>
          <w:p w14:paraId="34498AA8" w14:textId="3AD1B4FA" w:rsidR="00DE7E10" w:rsidRPr="00C124DF" w:rsidRDefault="00DE7E10" w:rsidP="00DE7E10">
            <w:pPr>
              <w:rPr>
                <w:rFonts w:ascii="Times New Roman" w:hAnsi="Times New Roman" w:cs="Times New Roman"/>
                <w:szCs w:val="18"/>
              </w:rPr>
            </w:pPr>
            <w:r>
              <w:rPr>
                <w:rFonts w:ascii="Times New Roman" w:hAnsi="Times New Roman" w:cs="Times New Roman"/>
                <w:szCs w:val="18"/>
              </w:rPr>
              <w:t>N/A</w:t>
            </w:r>
          </w:p>
        </w:tc>
        <w:tc>
          <w:tcPr>
            <w:tcW w:w="1366" w:type="dxa"/>
          </w:tcPr>
          <w:p w14:paraId="46CBA1BD" w14:textId="0E1C044D" w:rsidR="00DE7E10" w:rsidRPr="00E542CD" w:rsidRDefault="00DE7E10" w:rsidP="00DE7E10">
            <w:pPr>
              <w:rPr>
                <w:rFonts w:ascii="Times New Roman" w:hAnsi="Times New Roman" w:cs="Times New Roman"/>
              </w:rPr>
            </w:pPr>
            <w:r>
              <w:rPr>
                <w:rFonts w:ascii="Times New Roman" w:hAnsi="Times New Roman" w:cs="Times New Roman"/>
              </w:rPr>
              <w:t>Y</w:t>
            </w:r>
          </w:p>
        </w:tc>
        <w:tc>
          <w:tcPr>
            <w:tcW w:w="976" w:type="dxa"/>
          </w:tcPr>
          <w:p w14:paraId="0579FD52" w14:textId="63DDC694" w:rsidR="00DE7E10" w:rsidRPr="00E542CD" w:rsidRDefault="00DE7E10" w:rsidP="00DE7E10">
            <w:pPr>
              <w:rPr>
                <w:rFonts w:ascii="Times New Roman" w:hAnsi="Times New Roman" w:cs="Times New Roman"/>
              </w:rPr>
            </w:pPr>
            <w:r>
              <w:rPr>
                <w:rFonts w:ascii="Times New Roman" w:hAnsi="Times New Roman" w:cs="Times New Roman"/>
              </w:rPr>
              <w:t>Y</w:t>
            </w:r>
          </w:p>
        </w:tc>
      </w:tr>
      <w:tr w:rsidR="00DE7E10" w:rsidRPr="00E542CD" w14:paraId="45B1019A" w14:textId="33F7DFAC" w:rsidTr="00BB4AF8">
        <w:tc>
          <w:tcPr>
            <w:tcW w:w="1539" w:type="dxa"/>
          </w:tcPr>
          <w:p w14:paraId="3455F97E" w14:textId="7595107B" w:rsidR="00DE7E10" w:rsidRPr="00C124DF" w:rsidRDefault="00DE7E10" w:rsidP="00DE7E10">
            <w:pPr>
              <w:rPr>
                <w:rFonts w:ascii="Times New Roman" w:hAnsi="Times New Roman" w:cs="Times New Roman"/>
                <w:szCs w:val="18"/>
              </w:rPr>
            </w:pPr>
            <w:r>
              <w:rPr>
                <w:rFonts w:ascii="Times New Roman" w:hAnsi="Times New Roman" w:cs="Times New Roman"/>
                <w:szCs w:val="18"/>
              </w:rPr>
              <w:t>% of total EI from sat fat</w:t>
            </w:r>
          </w:p>
        </w:tc>
        <w:tc>
          <w:tcPr>
            <w:tcW w:w="4537" w:type="dxa"/>
          </w:tcPr>
          <w:p w14:paraId="027AEBF2" w14:textId="05AACEC1" w:rsidR="00DE7E10" w:rsidRPr="00C124DF" w:rsidRDefault="006137C0" w:rsidP="00DE7E10">
            <w:pPr>
              <w:rPr>
                <w:rFonts w:ascii="Times New Roman" w:hAnsi="Times New Roman" w:cs="Times New Roman"/>
                <w:szCs w:val="18"/>
              </w:rPr>
            </w:pPr>
            <w:hyperlink r:id="rId36" w:history="1">
              <w:r w:rsidR="00DE7E10" w:rsidRPr="00E542CD">
                <w:rPr>
                  <w:rStyle w:val="Hyperlink"/>
                  <w:rFonts w:ascii="Times New Roman" w:hAnsi="Times New Roman" w:cs="Times New Roman"/>
                  <w:szCs w:val="18"/>
                </w:rPr>
                <w:t>Canada’s Dietary Guidelines</w:t>
              </w:r>
            </w:hyperlink>
            <w:r w:rsidR="00DE7E10">
              <w:rPr>
                <w:rFonts w:ascii="Times New Roman" w:hAnsi="Times New Roman" w:cs="Times New Roman"/>
                <w:szCs w:val="18"/>
              </w:rPr>
              <w:t xml:space="preserve"> recommend that Canadians consume less than 10% of total energy intake from saturated fat. </w:t>
            </w:r>
          </w:p>
        </w:tc>
        <w:tc>
          <w:tcPr>
            <w:tcW w:w="4532" w:type="dxa"/>
          </w:tcPr>
          <w:p w14:paraId="40BA49E1" w14:textId="30F6F8E8" w:rsidR="00DE7E10" w:rsidRPr="00E542CD" w:rsidRDefault="00DE7E10" w:rsidP="00DE7E10">
            <w:pPr>
              <w:rPr>
                <w:rFonts w:ascii="Times New Roman" w:hAnsi="Times New Roman" w:cs="Times New Roman"/>
                <w:szCs w:val="18"/>
                <w:lang w:val="fr-CA"/>
              </w:rPr>
            </w:pPr>
            <w:r w:rsidRPr="00E542CD">
              <w:rPr>
                <w:rFonts w:ascii="Times New Roman" w:hAnsi="Times New Roman" w:cs="Times New Roman"/>
                <w:szCs w:val="18"/>
                <w:lang w:val="fr-CA"/>
              </w:rPr>
              <w:t xml:space="preserve">Les </w:t>
            </w:r>
            <w:hyperlink r:id="rId37" w:history="1">
              <w:r w:rsidRPr="00E542CD">
                <w:rPr>
                  <w:rStyle w:val="Hyperlink"/>
                  <w:rFonts w:ascii="Times New Roman" w:hAnsi="Times New Roman" w:cs="Times New Roman"/>
                  <w:szCs w:val="18"/>
                  <w:lang w:val="fr-CA"/>
                </w:rPr>
                <w:t>Lignes directrices canadiennes en matière d’alimentation</w:t>
              </w:r>
            </w:hyperlink>
            <w:r>
              <w:rPr>
                <w:rFonts w:ascii="Times New Roman" w:hAnsi="Times New Roman" w:cs="Times New Roman"/>
                <w:szCs w:val="18"/>
                <w:lang w:val="fr-CA"/>
              </w:rPr>
              <w:t xml:space="preserve"> recommandent que les canadiens consomment moins de 10 % de l’apport énergétique total provenant des gras saturé.</w:t>
            </w:r>
          </w:p>
        </w:tc>
        <w:tc>
          <w:tcPr>
            <w:tcW w:w="1366" w:type="dxa"/>
          </w:tcPr>
          <w:p w14:paraId="1EC3378A" w14:textId="4A409BF8" w:rsidR="00DE7E10" w:rsidRPr="00E542CD" w:rsidRDefault="005E1982" w:rsidP="00DE7E10">
            <w:pPr>
              <w:rPr>
                <w:rFonts w:ascii="Times New Roman" w:hAnsi="Times New Roman" w:cs="Times New Roman"/>
                <w:lang w:val="fr-CA"/>
              </w:rPr>
            </w:pPr>
            <w:r>
              <w:rPr>
                <w:rFonts w:ascii="Times New Roman" w:hAnsi="Times New Roman" w:cs="Times New Roman"/>
                <w:lang w:val="fr-CA"/>
              </w:rPr>
              <w:t>Y</w:t>
            </w:r>
          </w:p>
        </w:tc>
        <w:tc>
          <w:tcPr>
            <w:tcW w:w="976" w:type="dxa"/>
          </w:tcPr>
          <w:p w14:paraId="474C9BC1" w14:textId="7AE04C8D" w:rsidR="00DE7E10" w:rsidRPr="00E542CD" w:rsidRDefault="005E1982" w:rsidP="005E1982">
            <w:pPr>
              <w:rPr>
                <w:rFonts w:ascii="Times New Roman" w:hAnsi="Times New Roman" w:cs="Times New Roman"/>
                <w:lang w:val="fr-CA"/>
              </w:rPr>
            </w:pPr>
            <w:r>
              <w:rPr>
                <w:rFonts w:ascii="Times New Roman" w:hAnsi="Times New Roman" w:cs="Times New Roman"/>
                <w:lang w:val="fr-CA"/>
              </w:rPr>
              <w:t>N</w:t>
            </w:r>
          </w:p>
        </w:tc>
      </w:tr>
      <w:tr w:rsidR="00DE7E10" w:rsidRPr="00C124DF" w14:paraId="4DEC3ECA" w14:textId="610025E2" w:rsidTr="00BB4AF8">
        <w:tc>
          <w:tcPr>
            <w:tcW w:w="1539" w:type="dxa"/>
          </w:tcPr>
          <w:p w14:paraId="71BAC5D7" w14:textId="4B781613" w:rsidR="00DE7E10" w:rsidRPr="00C124DF" w:rsidRDefault="00DE7E10" w:rsidP="00DE7E10">
            <w:pPr>
              <w:rPr>
                <w:rFonts w:ascii="Times New Roman" w:hAnsi="Times New Roman" w:cs="Times New Roman"/>
                <w:szCs w:val="18"/>
              </w:rPr>
            </w:pPr>
            <w:r w:rsidRPr="005E1982">
              <w:rPr>
                <w:rFonts w:ascii="Times New Roman" w:hAnsi="Times New Roman" w:cs="Times New Roman"/>
                <w:szCs w:val="18"/>
                <w:highlight w:val="yellow"/>
              </w:rPr>
              <w:t>% of total EI from sugars</w:t>
            </w:r>
          </w:p>
        </w:tc>
        <w:tc>
          <w:tcPr>
            <w:tcW w:w="4537" w:type="dxa"/>
          </w:tcPr>
          <w:p w14:paraId="58C0E67B" w14:textId="30093D52" w:rsidR="00DE7E10" w:rsidRPr="00E542CD" w:rsidRDefault="00894F5B" w:rsidP="00DE7E10">
            <w:pPr>
              <w:rPr>
                <w:rFonts w:ascii="Times New Roman" w:hAnsi="Times New Roman" w:cs="Times New Roman"/>
                <w:color w:val="FF0000"/>
                <w:szCs w:val="18"/>
              </w:rPr>
            </w:pPr>
            <w:proofErr w:type="gramStart"/>
            <w:r>
              <w:rPr>
                <w:rFonts w:ascii="Times New Roman" w:hAnsi="Times New Roman" w:cs="Times New Roman"/>
                <w:color w:val="FF0000"/>
                <w:szCs w:val="18"/>
              </w:rPr>
              <w:t>Anything about total vs. free vs. intrinsic sugars?</w:t>
            </w:r>
            <w:proofErr w:type="gramEnd"/>
          </w:p>
        </w:tc>
        <w:tc>
          <w:tcPr>
            <w:tcW w:w="4532" w:type="dxa"/>
          </w:tcPr>
          <w:p w14:paraId="7B56D9BE" w14:textId="72004FFD" w:rsidR="00DE7E10" w:rsidRPr="00C124DF" w:rsidRDefault="00DE7E10" w:rsidP="00DE7E10">
            <w:pPr>
              <w:rPr>
                <w:rFonts w:ascii="Times New Roman" w:hAnsi="Times New Roman" w:cs="Times New Roman"/>
                <w:szCs w:val="18"/>
              </w:rPr>
            </w:pPr>
          </w:p>
        </w:tc>
        <w:tc>
          <w:tcPr>
            <w:tcW w:w="1366" w:type="dxa"/>
          </w:tcPr>
          <w:p w14:paraId="3BF00E4F" w14:textId="418BA137" w:rsidR="00DE7E10" w:rsidRPr="00E542CD" w:rsidRDefault="00BB4AF8" w:rsidP="00DE7E10">
            <w:pPr>
              <w:rPr>
                <w:rFonts w:ascii="Times New Roman" w:hAnsi="Times New Roman" w:cs="Times New Roman"/>
              </w:rPr>
            </w:pPr>
            <w:r>
              <w:rPr>
                <w:rFonts w:ascii="Times New Roman" w:hAnsi="Times New Roman" w:cs="Times New Roman"/>
              </w:rPr>
              <w:t>Y</w:t>
            </w:r>
          </w:p>
        </w:tc>
        <w:tc>
          <w:tcPr>
            <w:tcW w:w="976" w:type="dxa"/>
          </w:tcPr>
          <w:p w14:paraId="5DBA4915" w14:textId="24B47FEB" w:rsidR="00DE7E10" w:rsidRPr="00E542CD" w:rsidRDefault="00BB4AF8" w:rsidP="00DE7E10">
            <w:pPr>
              <w:rPr>
                <w:rFonts w:ascii="Times New Roman" w:hAnsi="Times New Roman" w:cs="Times New Roman"/>
              </w:rPr>
            </w:pPr>
            <w:r>
              <w:rPr>
                <w:rFonts w:ascii="Times New Roman" w:hAnsi="Times New Roman" w:cs="Times New Roman"/>
              </w:rPr>
              <w:t>Y</w:t>
            </w:r>
          </w:p>
        </w:tc>
      </w:tr>
      <w:tr w:rsidR="00DE7E10" w:rsidRPr="00C124DF" w14:paraId="594E2A52" w14:textId="4E929FBE" w:rsidTr="00BB4AF8">
        <w:tc>
          <w:tcPr>
            <w:tcW w:w="1539" w:type="dxa"/>
          </w:tcPr>
          <w:p w14:paraId="13B05349" w14:textId="58F3B5D6" w:rsidR="00DE7E10" w:rsidRPr="00C124DF" w:rsidRDefault="00DE7E10" w:rsidP="00DE7E10">
            <w:pPr>
              <w:rPr>
                <w:rFonts w:ascii="Times New Roman" w:hAnsi="Times New Roman" w:cs="Times New Roman"/>
                <w:szCs w:val="18"/>
              </w:rPr>
            </w:pPr>
            <w:commentRangeStart w:id="4"/>
            <w:r>
              <w:rPr>
                <w:rFonts w:ascii="Times New Roman" w:hAnsi="Times New Roman" w:cs="Times New Roman"/>
                <w:szCs w:val="18"/>
              </w:rPr>
              <w:t>Cholesterol</w:t>
            </w:r>
            <w:commentRangeEnd w:id="4"/>
            <w:r w:rsidR="00894F5B">
              <w:rPr>
                <w:rStyle w:val="CommentReference"/>
              </w:rPr>
              <w:commentReference w:id="4"/>
            </w:r>
          </w:p>
        </w:tc>
        <w:tc>
          <w:tcPr>
            <w:tcW w:w="4537" w:type="dxa"/>
          </w:tcPr>
          <w:p w14:paraId="04B36A50" w14:textId="77777777" w:rsidR="00DE7E10" w:rsidRPr="00C124DF" w:rsidRDefault="00DE7E10" w:rsidP="00DE7E10">
            <w:pPr>
              <w:rPr>
                <w:rFonts w:ascii="Times New Roman" w:hAnsi="Times New Roman" w:cs="Times New Roman"/>
                <w:szCs w:val="18"/>
              </w:rPr>
            </w:pPr>
          </w:p>
        </w:tc>
        <w:tc>
          <w:tcPr>
            <w:tcW w:w="4532" w:type="dxa"/>
          </w:tcPr>
          <w:p w14:paraId="7202323C" w14:textId="77777777" w:rsidR="00DE7E10" w:rsidRPr="00C124DF" w:rsidRDefault="00DE7E10" w:rsidP="00DE7E10">
            <w:pPr>
              <w:rPr>
                <w:rFonts w:ascii="Times New Roman" w:hAnsi="Times New Roman" w:cs="Times New Roman"/>
                <w:szCs w:val="18"/>
              </w:rPr>
            </w:pPr>
          </w:p>
        </w:tc>
        <w:tc>
          <w:tcPr>
            <w:tcW w:w="1366" w:type="dxa"/>
          </w:tcPr>
          <w:p w14:paraId="5721C3CA" w14:textId="77777777" w:rsidR="00DE7E10" w:rsidRPr="00E542CD" w:rsidRDefault="00DE7E10" w:rsidP="00DE7E10">
            <w:pPr>
              <w:rPr>
                <w:rFonts w:ascii="Times New Roman" w:hAnsi="Times New Roman" w:cs="Times New Roman"/>
              </w:rPr>
            </w:pPr>
          </w:p>
        </w:tc>
        <w:tc>
          <w:tcPr>
            <w:tcW w:w="976" w:type="dxa"/>
          </w:tcPr>
          <w:p w14:paraId="6A071230" w14:textId="77777777" w:rsidR="00DE7E10" w:rsidRPr="00E542CD" w:rsidRDefault="00DE7E10" w:rsidP="00DE7E10">
            <w:pPr>
              <w:rPr>
                <w:rFonts w:ascii="Times New Roman" w:hAnsi="Times New Roman" w:cs="Times New Roman"/>
              </w:rPr>
            </w:pPr>
          </w:p>
        </w:tc>
      </w:tr>
      <w:tr w:rsidR="00BB4AF8" w:rsidRPr="00C124DF" w14:paraId="0E4577D4" w14:textId="2C51B74C" w:rsidTr="00BB4AF8">
        <w:tc>
          <w:tcPr>
            <w:tcW w:w="1539" w:type="dxa"/>
          </w:tcPr>
          <w:p w14:paraId="5A7C114A" w14:textId="1893B1E7" w:rsidR="00BB4AF8" w:rsidRPr="00C124DF" w:rsidRDefault="00BB4AF8" w:rsidP="00BB4AF8">
            <w:pPr>
              <w:rPr>
                <w:rFonts w:ascii="Times New Roman" w:hAnsi="Times New Roman" w:cs="Times New Roman"/>
                <w:szCs w:val="18"/>
              </w:rPr>
            </w:pPr>
            <w:r>
              <w:rPr>
                <w:rFonts w:ascii="Times New Roman" w:hAnsi="Times New Roman" w:cs="Times New Roman"/>
                <w:szCs w:val="18"/>
              </w:rPr>
              <w:lastRenderedPageBreak/>
              <w:t>Potassium</w:t>
            </w:r>
          </w:p>
        </w:tc>
        <w:tc>
          <w:tcPr>
            <w:tcW w:w="4537" w:type="dxa"/>
          </w:tcPr>
          <w:p w14:paraId="544E69EB" w14:textId="77777777" w:rsidR="00BB4AF8" w:rsidRPr="00C124DF" w:rsidRDefault="00BB4AF8" w:rsidP="00BB4AF8">
            <w:pPr>
              <w:rPr>
                <w:rFonts w:ascii="Times New Roman" w:hAnsi="Times New Roman" w:cs="Times New Roman"/>
                <w:szCs w:val="18"/>
              </w:rPr>
            </w:pPr>
          </w:p>
        </w:tc>
        <w:tc>
          <w:tcPr>
            <w:tcW w:w="4532" w:type="dxa"/>
          </w:tcPr>
          <w:p w14:paraId="5F4251B5" w14:textId="77777777" w:rsidR="00BB4AF8" w:rsidRPr="00C124DF" w:rsidRDefault="00BB4AF8" w:rsidP="00BB4AF8">
            <w:pPr>
              <w:rPr>
                <w:rFonts w:ascii="Times New Roman" w:hAnsi="Times New Roman" w:cs="Times New Roman"/>
                <w:szCs w:val="18"/>
              </w:rPr>
            </w:pPr>
          </w:p>
        </w:tc>
        <w:tc>
          <w:tcPr>
            <w:tcW w:w="1366" w:type="dxa"/>
          </w:tcPr>
          <w:p w14:paraId="3542A9D3" w14:textId="1904C447" w:rsidR="00BB4AF8" w:rsidRPr="00E542CD" w:rsidRDefault="00BB4AF8" w:rsidP="00BB4AF8">
            <w:pPr>
              <w:rPr>
                <w:rFonts w:ascii="Times New Roman" w:hAnsi="Times New Roman" w:cs="Times New Roman"/>
              </w:rPr>
            </w:pPr>
            <w:r>
              <w:rPr>
                <w:rFonts w:ascii="Times New Roman" w:hAnsi="Times New Roman" w:cs="Times New Roman"/>
              </w:rPr>
              <w:t>Y</w:t>
            </w:r>
          </w:p>
        </w:tc>
        <w:tc>
          <w:tcPr>
            <w:tcW w:w="976" w:type="dxa"/>
          </w:tcPr>
          <w:p w14:paraId="55F19BC0" w14:textId="66EA9B87" w:rsidR="00BB4AF8" w:rsidRPr="00E542CD" w:rsidRDefault="00BB4AF8" w:rsidP="00BB4AF8">
            <w:pPr>
              <w:rPr>
                <w:rFonts w:ascii="Times New Roman" w:hAnsi="Times New Roman" w:cs="Times New Roman"/>
              </w:rPr>
            </w:pPr>
            <w:r>
              <w:rPr>
                <w:rFonts w:ascii="Times New Roman" w:hAnsi="Times New Roman" w:cs="Times New Roman"/>
              </w:rPr>
              <w:t>Y</w:t>
            </w:r>
          </w:p>
        </w:tc>
      </w:tr>
      <w:tr w:rsidR="00BB4AF8" w:rsidRPr="006137C0" w14:paraId="3A361401" w14:textId="30F0F6FB" w:rsidTr="00BB4AF8">
        <w:tc>
          <w:tcPr>
            <w:tcW w:w="1539" w:type="dxa"/>
          </w:tcPr>
          <w:p w14:paraId="7381E131" w14:textId="751CB89E" w:rsidR="00BB4AF8" w:rsidRPr="00C124DF" w:rsidRDefault="00BB4AF8" w:rsidP="00BB4AF8">
            <w:pPr>
              <w:rPr>
                <w:rFonts w:ascii="Times New Roman" w:hAnsi="Times New Roman" w:cs="Times New Roman"/>
                <w:szCs w:val="18"/>
              </w:rPr>
            </w:pPr>
            <w:r>
              <w:rPr>
                <w:rFonts w:ascii="Times New Roman" w:hAnsi="Times New Roman" w:cs="Times New Roman"/>
                <w:szCs w:val="18"/>
              </w:rPr>
              <w:t>Total energy intake</w:t>
            </w:r>
          </w:p>
        </w:tc>
        <w:tc>
          <w:tcPr>
            <w:tcW w:w="4537" w:type="dxa"/>
          </w:tcPr>
          <w:p w14:paraId="65E8C387" w14:textId="1603759E" w:rsidR="00BB4AF8" w:rsidRPr="00C124DF" w:rsidRDefault="006137C0" w:rsidP="00BB4AF8">
            <w:pPr>
              <w:rPr>
                <w:rFonts w:ascii="Times New Roman" w:hAnsi="Times New Roman" w:cs="Times New Roman"/>
                <w:szCs w:val="18"/>
              </w:rPr>
            </w:pPr>
            <w:r w:rsidRPr="006137C0">
              <w:rPr>
                <w:rFonts w:ascii="Times New Roman" w:hAnsi="Times New Roman" w:cs="Times New Roman"/>
                <w:szCs w:val="18"/>
              </w:rPr>
              <w:t>The interpretation of self-reported energy intake should be done with caution as energy intake tends to be underestimated by survey respondents</w:t>
            </w:r>
            <w:r>
              <w:rPr>
                <w:rFonts w:ascii="Times New Roman" w:hAnsi="Times New Roman" w:cs="Times New Roman"/>
                <w:szCs w:val="18"/>
              </w:rPr>
              <w:t xml:space="preserve">. </w:t>
            </w:r>
            <w:commentRangeStart w:id="5"/>
            <w:r w:rsidRPr="006137C0">
              <w:rPr>
                <w:rFonts w:ascii="Times New Roman" w:hAnsi="Times New Roman" w:cs="Times New Roman"/>
                <w:szCs w:val="18"/>
              </w:rPr>
              <w:t>The Institute of Medicine (IOM) suggests using indicators of relative body weight, such as the Body Mass Index (BMI), as markers of energy intake adequacy within groups.</w:t>
            </w:r>
            <w:commentRangeEnd w:id="5"/>
            <w:r>
              <w:rPr>
                <w:rStyle w:val="CommentReference"/>
              </w:rPr>
              <w:commentReference w:id="5"/>
            </w:r>
          </w:p>
        </w:tc>
        <w:tc>
          <w:tcPr>
            <w:tcW w:w="4532" w:type="dxa"/>
          </w:tcPr>
          <w:p w14:paraId="2DA1FB65" w14:textId="72FCE3F5" w:rsidR="00BB4AF8" w:rsidRPr="006137C0" w:rsidRDefault="006137C0" w:rsidP="00BB4AF8">
            <w:pPr>
              <w:rPr>
                <w:rFonts w:ascii="Times New Roman" w:hAnsi="Times New Roman" w:cs="Times New Roman"/>
                <w:szCs w:val="18"/>
                <w:lang w:val="fr-CA"/>
              </w:rPr>
            </w:pPr>
            <w:r w:rsidRPr="006137C0">
              <w:rPr>
                <w:rFonts w:ascii="Times New Roman" w:hAnsi="Times New Roman" w:cs="Times New Roman"/>
                <w:szCs w:val="18"/>
                <w:lang w:val="fr-CA"/>
              </w:rPr>
              <w:t>Il faut interpréter prudemment les données concernant l'apport énergétique auto-rapporté, car les répondants ont tendance à sous-estimer leur apport énergétique lors d'une enquête</w:t>
            </w:r>
            <w:r>
              <w:rPr>
                <w:rFonts w:ascii="Times New Roman" w:hAnsi="Times New Roman" w:cs="Times New Roman"/>
                <w:szCs w:val="18"/>
                <w:lang w:val="fr-CA"/>
              </w:rPr>
              <w:t xml:space="preserve">. </w:t>
            </w:r>
            <w:r w:rsidRPr="006137C0">
              <w:rPr>
                <w:rFonts w:ascii="Times New Roman" w:hAnsi="Times New Roman" w:cs="Times New Roman"/>
                <w:szCs w:val="18"/>
                <w:lang w:val="fr-CA"/>
              </w:rPr>
              <w:t xml:space="preserve">L'Institute of </w:t>
            </w:r>
            <w:proofErr w:type="spellStart"/>
            <w:r w:rsidRPr="006137C0">
              <w:rPr>
                <w:rFonts w:ascii="Times New Roman" w:hAnsi="Times New Roman" w:cs="Times New Roman"/>
                <w:szCs w:val="18"/>
                <w:lang w:val="fr-CA"/>
              </w:rPr>
              <w:t>Medicine</w:t>
            </w:r>
            <w:proofErr w:type="spellEnd"/>
            <w:r w:rsidRPr="006137C0">
              <w:rPr>
                <w:rFonts w:ascii="Times New Roman" w:hAnsi="Times New Roman" w:cs="Times New Roman"/>
                <w:szCs w:val="18"/>
                <w:lang w:val="fr-CA"/>
              </w:rPr>
              <w:t xml:space="preserve"> (IOM) suggère d'utiliser certains indicateurs du poids corporel relatif, comme l'Indice de masse corporelle (IMC), en tant que marqueurs d'un apport énergétique adéquat chez des groupes.</w:t>
            </w:r>
          </w:p>
        </w:tc>
        <w:tc>
          <w:tcPr>
            <w:tcW w:w="1366" w:type="dxa"/>
          </w:tcPr>
          <w:p w14:paraId="3491ACAB" w14:textId="4B0DD939" w:rsidR="00BB4AF8" w:rsidRPr="006137C0" w:rsidRDefault="00BB4AF8" w:rsidP="00BB4AF8">
            <w:pPr>
              <w:rPr>
                <w:rFonts w:ascii="Times New Roman" w:hAnsi="Times New Roman" w:cs="Times New Roman"/>
                <w:lang w:val="fr-CA"/>
              </w:rPr>
            </w:pPr>
            <w:r w:rsidRPr="006137C0">
              <w:rPr>
                <w:rFonts w:ascii="Times New Roman" w:hAnsi="Times New Roman" w:cs="Times New Roman"/>
                <w:lang w:val="fr-CA"/>
              </w:rPr>
              <w:t>Y</w:t>
            </w:r>
          </w:p>
        </w:tc>
        <w:tc>
          <w:tcPr>
            <w:tcW w:w="976" w:type="dxa"/>
          </w:tcPr>
          <w:p w14:paraId="273FDA0B" w14:textId="6D533E30" w:rsidR="00BB4AF8" w:rsidRPr="006137C0" w:rsidRDefault="00BB4AF8" w:rsidP="00BB4AF8">
            <w:pPr>
              <w:rPr>
                <w:rFonts w:ascii="Times New Roman" w:hAnsi="Times New Roman" w:cs="Times New Roman"/>
                <w:lang w:val="fr-CA"/>
              </w:rPr>
            </w:pPr>
            <w:r w:rsidRPr="006137C0">
              <w:rPr>
                <w:rFonts w:ascii="Times New Roman" w:hAnsi="Times New Roman" w:cs="Times New Roman"/>
                <w:lang w:val="fr-CA"/>
              </w:rPr>
              <w:t>Y</w:t>
            </w:r>
          </w:p>
        </w:tc>
      </w:tr>
      <w:tr w:rsidR="00BB4AF8" w:rsidRPr="006137C0" w14:paraId="1E811736" w14:textId="579CB030" w:rsidTr="00BB4AF8">
        <w:tc>
          <w:tcPr>
            <w:tcW w:w="1539" w:type="dxa"/>
          </w:tcPr>
          <w:p w14:paraId="1B0D55BC" w14:textId="69E36D19" w:rsidR="00BB4AF8" w:rsidRPr="006137C0" w:rsidRDefault="00BB4AF8" w:rsidP="00BB4AF8">
            <w:pPr>
              <w:rPr>
                <w:rFonts w:ascii="Times New Roman" w:hAnsi="Times New Roman" w:cs="Times New Roman"/>
                <w:szCs w:val="18"/>
                <w:lang w:val="fr-CA"/>
              </w:rPr>
            </w:pPr>
            <w:r w:rsidRPr="006137C0">
              <w:rPr>
                <w:rFonts w:ascii="Times New Roman" w:hAnsi="Times New Roman" w:cs="Times New Roman"/>
                <w:szCs w:val="18"/>
                <w:lang w:val="fr-CA"/>
              </w:rPr>
              <w:t xml:space="preserve">Total </w:t>
            </w:r>
            <w:proofErr w:type="spellStart"/>
            <w:r w:rsidRPr="006137C0">
              <w:rPr>
                <w:rFonts w:ascii="Times New Roman" w:hAnsi="Times New Roman" w:cs="Times New Roman"/>
                <w:szCs w:val="18"/>
                <w:lang w:val="fr-CA"/>
              </w:rPr>
              <w:t>sugars</w:t>
            </w:r>
            <w:proofErr w:type="spellEnd"/>
          </w:p>
        </w:tc>
        <w:tc>
          <w:tcPr>
            <w:tcW w:w="4537" w:type="dxa"/>
          </w:tcPr>
          <w:p w14:paraId="0C89A442" w14:textId="79D01CC3" w:rsidR="00BB4AF8" w:rsidRPr="006137C0" w:rsidRDefault="00BB4AF8" w:rsidP="00BB4AF8">
            <w:pPr>
              <w:rPr>
                <w:rFonts w:ascii="Times New Roman" w:hAnsi="Times New Roman" w:cs="Times New Roman"/>
                <w:szCs w:val="18"/>
                <w:lang w:val="fr-CA"/>
              </w:rPr>
            </w:pPr>
            <w:proofErr w:type="spellStart"/>
            <w:r w:rsidRPr="006137C0">
              <w:rPr>
                <w:rFonts w:ascii="Times New Roman" w:hAnsi="Times New Roman" w:cs="Times New Roman"/>
                <w:color w:val="FF0000"/>
                <w:szCs w:val="18"/>
                <w:lang w:val="fr-CA"/>
              </w:rPr>
              <w:t>Anything</w:t>
            </w:r>
            <w:proofErr w:type="spellEnd"/>
            <w:r w:rsidRPr="006137C0">
              <w:rPr>
                <w:rFonts w:ascii="Times New Roman" w:hAnsi="Times New Roman" w:cs="Times New Roman"/>
                <w:color w:val="FF0000"/>
                <w:szCs w:val="18"/>
                <w:lang w:val="fr-CA"/>
              </w:rPr>
              <w:t xml:space="preserve"> about total vs. </w:t>
            </w:r>
            <w:proofErr w:type="gramStart"/>
            <w:r w:rsidRPr="006137C0">
              <w:rPr>
                <w:rFonts w:ascii="Times New Roman" w:hAnsi="Times New Roman" w:cs="Times New Roman"/>
                <w:color w:val="FF0000"/>
                <w:szCs w:val="18"/>
                <w:lang w:val="fr-CA"/>
              </w:rPr>
              <w:t>free</w:t>
            </w:r>
            <w:proofErr w:type="gramEnd"/>
            <w:r w:rsidRPr="006137C0">
              <w:rPr>
                <w:rFonts w:ascii="Times New Roman" w:hAnsi="Times New Roman" w:cs="Times New Roman"/>
                <w:color w:val="FF0000"/>
                <w:szCs w:val="18"/>
                <w:lang w:val="fr-CA"/>
              </w:rPr>
              <w:t xml:space="preserve"> vs. </w:t>
            </w:r>
            <w:proofErr w:type="spellStart"/>
            <w:r w:rsidRPr="006137C0">
              <w:rPr>
                <w:rFonts w:ascii="Times New Roman" w:hAnsi="Times New Roman" w:cs="Times New Roman"/>
                <w:color w:val="FF0000"/>
                <w:szCs w:val="18"/>
                <w:lang w:val="fr-CA"/>
              </w:rPr>
              <w:t>intrinsic</w:t>
            </w:r>
            <w:proofErr w:type="spellEnd"/>
            <w:r w:rsidRPr="006137C0">
              <w:rPr>
                <w:rFonts w:ascii="Times New Roman" w:hAnsi="Times New Roman" w:cs="Times New Roman"/>
                <w:color w:val="FF0000"/>
                <w:szCs w:val="18"/>
                <w:lang w:val="fr-CA"/>
              </w:rPr>
              <w:t xml:space="preserve"> </w:t>
            </w:r>
            <w:proofErr w:type="spellStart"/>
            <w:r w:rsidRPr="006137C0">
              <w:rPr>
                <w:rFonts w:ascii="Times New Roman" w:hAnsi="Times New Roman" w:cs="Times New Roman"/>
                <w:color w:val="FF0000"/>
                <w:szCs w:val="18"/>
                <w:lang w:val="fr-CA"/>
              </w:rPr>
              <w:t>sugars</w:t>
            </w:r>
            <w:proofErr w:type="spellEnd"/>
            <w:r w:rsidRPr="006137C0">
              <w:rPr>
                <w:rFonts w:ascii="Times New Roman" w:hAnsi="Times New Roman" w:cs="Times New Roman"/>
                <w:color w:val="FF0000"/>
                <w:szCs w:val="18"/>
                <w:lang w:val="fr-CA"/>
              </w:rPr>
              <w:t>?</w:t>
            </w:r>
          </w:p>
        </w:tc>
        <w:tc>
          <w:tcPr>
            <w:tcW w:w="4532" w:type="dxa"/>
          </w:tcPr>
          <w:p w14:paraId="176F28E8" w14:textId="77777777" w:rsidR="00BB4AF8" w:rsidRPr="006137C0" w:rsidRDefault="00BB4AF8" w:rsidP="00BB4AF8">
            <w:pPr>
              <w:rPr>
                <w:rFonts w:ascii="Times New Roman" w:hAnsi="Times New Roman" w:cs="Times New Roman"/>
                <w:szCs w:val="18"/>
                <w:lang w:val="fr-CA"/>
              </w:rPr>
            </w:pPr>
          </w:p>
        </w:tc>
        <w:tc>
          <w:tcPr>
            <w:tcW w:w="1366" w:type="dxa"/>
          </w:tcPr>
          <w:p w14:paraId="53D137CC" w14:textId="0691328E" w:rsidR="00BB4AF8" w:rsidRPr="006137C0" w:rsidRDefault="00BB4AF8" w:rsidP="00BB4AF8">
            <w:pPr>
              <w:rPr>
                <w:rFonts w:ascii="Times New Roman" w:hAnsi="Times New Roman" w:cs="Times New Roman"/>
                <w:lang w:val="fr-CA"/>
              </w:rPr>
            </w:pPr>
            <w:r w:rsidRPr="006137C0">
              <w:rPr>
                <w:rFonts w:ascii="Times New Roman" w:hAnsi="Times New Roman" w:cs="Times New Roman"/>
                <w:lang w:val="fr-CA"/>
              </w:rPr>
              <w:t>Y</w:t>
            </w:r>
          </w:p>
        </w:tc>
        <w:tc>
          <w:tcPr>
            <w:tcW w:w="976" w:type="dxa"/>
          </w:tcPr>
          <w:p w14:paraId="311FF343" w14:textId="0B4D2E5B" w:rsidR="00BB4AF8" w:rsidRPr="006137C0" w:rsidRDefault="00BB4AF8" w:rsidP="00BB4AF8">
            <w:pPr>
              <w:rPr>
                <w:rFonts w:ascii="Times New Roman" w:hAnsi="Times New Roman" w:cs="Times New Roman"/>
                <w:lang w:val="fr-CA"/>
              </w:rPr>
            </w:pPr>
            <w:r w:rsidRPr="006137C0">
              <w:rPr>
                <w:rFonts w:ascii="Times New Roman" w:hAnsi="Times New Roman" w:cs="Times New Roman"/>
                <w:lang w:val="fr-CA"/>
              </w:rPr>
              <w:t>Y</w:t>
            </w:r>
          </w:p>
        </w:tc>
      </w:tr>
      <w:tr w:rsidR="00BB4AF8" w:rsidRPr="006137C0" w14:paraId="795084A0" w14:textId="31C4124E" w:rsidTr="00BB4AF8">
        <w:tc>
          <w:tcPr>
            <w:tcW w:w="1539" w:type="dxa"/>
          </w:tcPr>
          <w:p w14:paraId="20FBCC8C" w14:textId="54DD40E8" w:rsidR="00BB4AF8" w:rsidRPr="006137C0" w:rsidRDefault="00BB4AF8" w:rsidP="00BB4AF8">
            <w:pPr>
              <w:rPr>
                <w:rFonts w:ascii="Times New Roman" w:hAnsi="Times New Roman" w:cs="Times New Roman"/>
                <w:szCs w:val="18"/>
                <w:lang w:val="fr-CA"/>
              </w:rPr>
            </w:pPr>
            <w:r w:rsidRPr="006137C0">
              <w:rPr>
                <w:rFonts w:ascii="Times New Roman" w:hAnsi="Times New Roman" w:cs="Times New Roman"/>
                <w:szCs w:val="18"/>
                <w:lang w:val="fr-CA"/>
              </w:rPr>
              <w:t xml:space="preserve">Total </w:t>
            </w:r>
            <w:proofErr w:type="spellStart"/>
            <w:r w:rsidRPr="006137C0">
              <w:rPr>
                <w:rFonts w:ascii="Times New Roman" w:hAnsi="Times New Roman" w:cs="Times New Roman"/>
                <w:szCs w:val="18"/>
                <w:lang w:val="fr-CA"/>
              </w:rPr>
              <w:t>dietary</w:t>
            </w:r>
            <w:proofErr w:type="spellEnd"/>
            <w:r w:rsidRPr="006137C0">
              <w:rPr>
                <w:rFonts w:ascii="Times New Roman" w:hAnsi="Times New Roman" w:cs="Times New Roman"/>
                <w:szCs w:val="18"/>
                <w:lang w:val="fr-CA"/>
              </w:rPr>
              <w:t xml:space="preserve"> fibre</w:t>
            </w:r>
          </w:p>
        </w:tc>
        <w:tc>
          <w:tcPr>
            <w:tcW w:w="4537" w:type="dxa"/>
          </w:tcPr>
          <w:p w14:paraId="75C3D38C" w14:textId="13976A80" w:rsidR="00BB4AF8" w:rsidRPr="006137C0" w:rsidRDefault="006137C0" w:rsidP="006137C0">
            <w:pPr>
              <w:rPr>
                <w:rFonts w:ascii="Times New Roman" w:hAnsi="Times New Roman" w:cs="Times New Roman"/>
                <w:szCs w:val="18"/>
              </w:rPr>
            </w:pPr>
            <w:r w:rsidRPr="006137C0">
              <w:rPr>
                <w:rFonts w:ascii="Times New Roman" w:hAnsi="Times New Roman" w:cs="Times New Roman"/>
                <w:szCs w:val="18"/>
              </w:rPr>
              <w:t>The AI is based on total fibre intakes, which encompass both naturally occurring dietary and functional fibre. Since the Canadian Nutrient File does not contain data on functional fibre (i.e. isolated, extracted or synthetic fibre added to food), the estimated fibre intakes of Canadia</w:t>
            </w:r>
            <w:r>
              <w:rPr>
                <w:rFonts w:ascii="Times New Roman" w:hAnsi="Times New Roman" w:cs="Times New Roman"/>
                <w:szCs w:val="18"/>
              </w:rPr>
              <w:t xml:space="preserve">ns </w:t>
            </w:r>
            <w:r w:rsidRPr="006137C0">
              <w:rPr>
                <w:rFonts w:ascii="Times New Roman" w:hAnsi="Times New Roman" w:cs="Times New Roman"/>
                <w:szCs w:val="18"/>
              </w:rPr>
              <w:t>only reflect naturally occurring dietary fibre intake. Therefore, total fibre intakes are likely underestimated.</w:t>
            </w:r>
          </w:p>
        </w:tc>
        <w:tc>
          <w:tcPr>
            <w:tcW w:w="4532" w:type="dxa"/>
          </w:tcPr>
          <w:p w14:paraId="7497A98D" w14:textId="305DA533" w:rsidR="00BB4AF8" w:rsidRPr="006137C0" w:rsidRDefault="006137C0" w:rsidP="006137C0">
            <w:pPr>
              <w:rPr>
                <w:rFonts w:ascii="Times New Roman" w:hAnsi="Times New Roman" w:cs="Times New Roman"/>
                <w:szCs w:val="18"/>
                <w:lang w:val="fr-CA"/>
              </w:rPr>
            </w:pPr>
            <w:r w:rsidRPr="006137C0">
              <w:rPr>
                <w:rFonts w:ascii="Times New Roman" w:hAnsi="Times New Roman" w:cs="Times New Roman"/>
                <w:szCs w:val="18"/>
                <w:lang w:val="fr-CA"/>
              </w:rPr>
              <w:t>L'AS est fondé sur l'apport de fibres totales qui comprend à la fois les fibres naturellement présentes dans l'alimentation et les fibres fonctionnelles.  Étant donné qu'on ne retrouve pas de données relatives aux fibres fonctionnelles dans le Fichier canadien sur les éléments nutritifs (c.-à-d. fibres isolées, extraites ou synthétiques ajoutées aux aliments), l'ap</w:t>
            </w:r>
            <w:r>
              <w:rPr>
                <w:rFonts w:ascii="Times New Roman" w:hAnsi="Times New Roman" w:cs="Times New Roman"/>
                <w:szCs w:val="18"/>
                <w:lang w:val="fr-CA"/>
              </w:rPr>
              <w:t xml:space="preserve">port de fibres estimé chez les </w:t>
            </w:r>
            <w:r w:rsidRPr="006137C0">
              <w:rPr>
                <w:rFonts w:ascii="Times New Roman" w:hAnsi="Times New Roman" w:cs="Times New Roman"/>
                <w:szCs w:val="18"/>
                <w:lang w:val="fr-CA"/>
              </w:rPr>
              <w:t>canadiens reflète uniquement les fibres naturellement présentes dans les aliments.  L'apport total de fibres est donc probablement inférieur à l'apport réel.</w:t>
            </w:r>
          </w:p>
        </w:tc>
        <w:tc>
          <w:tcPr>
            <w:tcW w:w="1366" w:type="dxa"/>
          </w:tcPr>
          <w:p w14:paraId="3C366D3D" w14:textId="32DD633A" w:rsidR="00BB4AF8" w:rsidRPr="006137C0" w:rsidRDefault="006137C0" w:rsidP="00BB4AF8">
            <w:pPr>
              <w:rPr>
                <w:rFonts w:ascii="Times New Roman" w:hAnsi="Times New Roman" w:cs="Times New Roman"/>
                <w:lang w:val="fr-CA"/>
              </w:rPr>
            </w:pPr>
            <w:r>
              <w:rPr>
                <w:rFonts w:ascii="Times New Roman" w:hAnsi="Times New Roman" w:cs="Times New Roman"/>
                <w:lang w:val="fr-CA"/>
              </w:rPr>
              <w:t>Y</w:t>
            </w:r>
          </w:p>
        </w:tc>
        <w:tc>
          <w:tcPr>
            <w:tcW w:w="976" w:type="dxa"/>
          </w:tcPr>
          <w:p w14:paraId="49FF0052" w14:textId="723480C8" w:rsidR="00BB4AF8" w:rsidRPr="006137C0" w:rsidRDefault="006137C0" w:rsidP="00BB4AF8">
            <w:pPr>
              <w:rPr>
                <w:rFonts w:ascii="Times New Roman" w:hAnsi="Times New Roman" w:cs="Times New Roman"/>
                <w:lang w:val="fr-CA"/>
              </w:rPr>
            </w:pPr>
            <w:r>
              <w:rPr>
                <w:rFonts w:ascii="Times New Roman" w:hAnsi="Times New Roman" w:cs="Times New Roman"/>
                <w:lang w:val="fr-CA"/>
              </w:rPr>
              <w:t>Y</w:t>
            </w:r>
          </w:p>
        </w:tc>
      </w:tr>
      <w:tr w:rsidR="00BB4AF8" w:rsidRPr="006137C0" w14:paraId="521A8453" w14:textId="56BC164A" w:rsidTr="00BB4AF8">
        <w:tc>
          <w:tcPr>
            <w:tcW w:w="1539" w:type="dxa"/>
          </w:tcPr>
          <w:p w14:paraId="5B86533F" w14:textId="470FE28A" w:rsidR="00BB4AF8" w:rsidRPr="006137C0" w:rsidRDefault="00BB4AF8" w:rsidP="00BB4AF8">
            <w:pPr>
              <w:rPr>
                <w:rFonts w:ascii="Times New Roman" w:hAnsi="Times New Roman" w:cs="Times New Roman"/>
                <w:szCs w:val="18"/>
                <w:lang w:val="fr-CA"/>
              </w:rPr>
            </w:pPr>
            <w:proofErr w:type="spellStart"/>
            <w:r w:rsidRPr="006137C0">
              <w:rPr>
                <w:rFonts w:ascii="Times New Roman" w:hAnsi="Times New Roman" w:cs="Times New Roman"/>
                <w:szCs w:val="18"/>
                <w:lang w:val="fr-CA"/>
              </w:rPr>
              <w:t>Phosphorus</w:t>
            </w:r>
            <w:proofErr w:type="spellEnd"/>
          </w:p>
        </w:tc>
        <w:tc>
          <w:tcPr>
            <w:tcW w:w="4537" w:type="dxa"/>
          </w:tcPr>
          <w:p w14:paraId="3A6B2B29" w14:textId="77777777" w:rsidR="00BB4AF8" w:rsidRPr="006137C0" w:rsidRDefault="00BB4AF8" w:rsidP="00BB4AF8">
            <w:pPr>
              <w:rPr>
                <w:rFonts w:ascii="Times New Roman" w:hAnsi="Times New Roman" w:cs="Times New Roman"/>
                <w:szCs w:val="18"/>
                <w:lang w:val="fr-CA"/>
              </w:rPr>
            </w:pPr>
          </w:p>
        </w:tc>
        <w:tc>
          <w:tcPr>
            <w:tcW w:w="4532" w:type="dxa"/>
          </w:tcPr>
          <w:p w14:paraId="3C638CBA" w14:textId="77777777" w:rsidR="00BB4AF8" w:rsidRPr="006137C0" w:rsidRDefault="00BB4AF8" w:rsidP="00BB4AF8">
            <w:pPr>
              <w:rPr>
                <w:rFonts w:ascii="Times New Roman" w:hAnsi="Times New Roman" w:cs="Times New Roman"/>
                <w:szCs w:val="18"/>
                <w:lang w:val="fr-CA"/>
              </w:rPr>
            </w:pPr>
          </w:p>
        </w:tc>
        <w:tc>
          <w:tcPr>
            <w:tcW w:w="1366" w:type="dxa"/>
          </w:tcPr>
          <w:p w14:paraId="7EC1A35B" w14:textId="77777777" w:rsidR="00BB4AF8" w:rsidRPr="006137C0" w:rsidRDefault="00BB4AF8" w:rsidP="00BB4AF8">
            <w:pPr>
              <w:rPr>
                <w:rFonts w:ascii="Times New Roman" w:hAnsi="Times New Roman" w:cs="Times New Roman"/>
                <w:lang w:val="fr-CA"/>
              </w:rPr>
            </w:pPr>
          </w:p>
        </w:tc>
        <w:tc>
          <w:tcPr>
            <w:tcW w:w="976" w:type="dxa"/>
          </w:tcPr>
          <w:p w14:paraId="08B0002F" w14:textId="77777777" w:rsidR="00BB4AF8" w:rsidRPr="006137C0" w:rsidRDefault="00BB4AF8" w:rsidP="00BB4AF8">
            <w:pPr>
              <w:rPr>
                <w:rFonts w:ascii="Times New Roman" w:hAnsi="Times New Roman" w:cs="Times New Roman"/>
                <w:lang w:val="fr-CA"/>
              </w:rPr>
            </w:pPr>
          </w:p>
        </w:tc>
      </w:tr>
      <w:tr w:rsidR="00BB4AF8" w:rsidRPr="00C124DF" w14:paraId="757EE338" w14:textId="6303C2BE" w:rsidTr="00BB4AF8">
        <w:tc>
          <w:tcPr>
            <w:tcW w:w="1539" w:type="dxa"/>
          </w:tcPr>
          <w:p w14:paraId="024B5B23" w14:textId="1FDFC72B" w:rsidR="00BB4AF8" w:rsidRDefault="00BB4AF8" w:rsidP="00BB4AF8">
            <w:pPr>
              <w:rPr>
                <w:rFonts w:ascii="Times New Roman" w:hAnsi="Times New Roman" w:cs="Times New Roman"/>
                <w:szCs w:val="18"/>
              </w:rPr>
            </w:pPr>
            <w:proofErr w:type="spellStart"/>
            <w:r w:rsidRPr="006137C0">
              <w:rPr>
                <w:rFonts w:ascii="Times New Roman" w:hAnsi="Times New Roman" w:cs="Times New Roman"/>
                <w:szCs w:val="18"/>
                <w:lang w:val="fr-CA"/>
              </w:rPr>
              <w:t>Vitamin</w:t>
            </w:r>
            <w:proofErr w:type="spellEnd"/>
            <w:r w:rsidRPr="006137C0">
              <w:rPr>
                <w:rFonts w:ascii="Times New Roman" w:hAnsi="Times New Roman" w:cs="Times New Roman"/>
                <w:szCs w:val="18"/>
                <w:lang w:val="fr-CA"/>
              </w:rPr>
              <w:t xml:space="preserve"> B</w:t>
            </w:r>
            <w:r>
              <w:rPr>
                <w:rFonts w:ascii="Times New Roman" w:hAnsi="Times New Roman" w:cs="Times New Roman"/>
                <w:szCs w:val="18"/>
              </w:rPr>
              <w:t>6</w:t>
            </w:r>
          </w:p>
        </w:tc>
        <w:tc>
          <w:tcPr>
            <w:tcW w:w="4537" w:type="dxa"/>
          </w:tcPr>
          <w:p w14:paraId="6EEFC5B2" w14:textId="77777777" w:rsidR="00BB4AF8" w:rsidRPr="00C124DF" w:rsidRDefault="00BB4AF8" w:rsidP="00BB4AF8">
            <w:pPr>
              <w:rPr>
                <w:rFonts w:ascii="Times New Roman" w:hAnsi="Times New Roman" w:cs="Times New Roman"/>
                <w:szCs w:val="18"/>
              </w:rPr>
            </w:pPr>
          </w:p>
        </w:tc>
        <w:tc>
          <w:tcPr>
            <w:tcW w:w="4532" w:type="dxa"/>
          </w:tcPr>
          <w:p w14:paraId="7F803BB1" w14:textId="77777777" w:rsidR="00BB4AF8" w:rsidRPr="00C124DF" w:rsidRDefault="00BB4AF8" w:rsidP="00BB4AF8">
            <w:pPr>
              <w:rPr>
                <w:rFonts w:ascii="Times New Roman" w:hAnsi="Times New Roman" w:cs="Times New Roman"/>
                <w:szCs w:val="18"/>
              </w:rPr>
            </w:pPr>
          </w:p>
        </w:tc>
        <w:tc>
          <w:tcPr>
            <w:tcW w:w="1366" w:type="dxa"/>
          </w:tcPr>
          <w:p w14:paraId="01CBBD47" w14:textId="77777777" w:rsidR="00BB4AF8" w:rsidRPr="00E542CD" w:rsidRDefault="00BB4AF8" w:rsidP="00BB4AF8">
            <w:pPr>
              <w:rPr>
                <w:rFonts w:ascii="Times New Roman" w:hAnsi="Times New Roman" w:cs="Times New Roman"/>
              </w:rPr>
            </w:pPr>
          </w:p>
        </w:tc>
        <w:tc>
          <w:tcPr>
            <w:tcW w:w="976" w:type="dxa"/>
          </w:tcPr>
          <w:p w14:paraId="2252F1A8" w14:textId="77777777" w:rsidR="00BB4AF8" w:rsidRPr="00E542CD" w:rsidRDefault="00BB4AF8" w:rsidP="00BB4AF8">
            <w:pPr>
              <w:rPr>
                <w:rFonts w:ascii="Times New Roman" w:hAnsi="Times New Roman" w:cs="Times New Roman"/>
              </w:rPr>
            </w:pPr>
          </w:p>
        </w:tc>
      </w:tr>
      <w:tr w:rsidR="00BB4AF8" w:rsidRPr="00C124DF" w14:paraId="1BC07D99" w14:textId="630D6C75" w:rsidTr="00BB4AF8">
        <w:tc>
          <w:tcPr>
            <w:tcW w:w="1539" w:type="dxa"/>
          </w:tcPr>
          <w:p w14:paraId="423AB612" w14:textId="66E87EC8" w:rsidR="00BB4AF8" w:rsidRDefault="00BB4AF8" w:rsidP="00BB4AF8">
            <w:pPr>
              <w:rPr>
                <w:rFonts w:ascii="Times New Roman" w:hAnsi="Times New Roman" w:cs="Times New Roman"/>
                <w:szCs w:val="18"/>
              </w:rPr>
            </w:pPr>
            <w:r>
              <w:rPr>
                <w:rFonts w:ascii="Times New Roman" w:hAnsi="Times New Roman" w:cs="Times New Roman"/>
                <w:szCs w:val="18"/>
              </w:rPr>
              <w:t>Vitamin C</w:t>
            </w:r>
          </w:p>
        </w:tc>
        <w:tc>
          <w:tcPr>
            <w:tcW w:w="4537" w:type="dxa"/>
          </w:tcPr>
          <w:p w14:paraId="62396ED0" w14:textId="77777777" w:rsidR="00BB4AF8" w:rsidRPr="00C124DF" w:rsidRDefault="00BB4AF8" w:rsidP="00BB4AF8">
            <w:pPr>
              <w:rPr>
                <w:rFonts w:ascii="Times New Roman" w:hAnsi="Times New Roman" w:cs="Times New Roman"/>
                <w:szCs w:val="18"/>
              </w:rPr>
            </w:pPr>
          </w:p>
        </w:tc>
        <w:tc>
          <w:tcPr>
            <w:tcW w:w="4532" w:type="dxa"/>
          </w:tcPr>
          <w:p w14:paraId="505D061E" w14:textId="77777777" w:rsidR="00BB4AF8" w:rsidRPr="00C124DF" w:rsidRDefault="00BB4AF8" w:rsidP="00BB4AF8">
            <w:pPr>
              <w:rPr>
                <w:rFonts w:ascii="Times New Roman" w:hAnsi="Times New Roman" w:cs="Times New Roman"/>
                <w:szCs w:val="18"/>
              </w:rPr>
            </w:pPr>
          </w:p>
        </w:tc>
        <w:tc>
          <w:tcPr>
            <w:tcW w:w="1366" w:type="dxa"/>
          </w:tcPr>
          <w:p w14:paraId="4129FB29" w14:textId="77777777" w:rsidR="00BB4AF8" w:rsidRPr="00E542CD" w:rsidRDefault="00BB4AF8" w:rsidP="00BB4AF8">
            <w:pPr>
              <w:rPr>
                <w:rFonts w:ascii="Times New Roman" w:hAnsi="Times New Roman" w:cs="Times New Roman"/>
              </w:rPr>
            </w:pPr>
          </w:p>
        </w:tc>
        <w:tc>
          <w:tcPr>
            <w:tcW w:w="976" w:type="dxa"/>
          </w:tcPr>
          <w:p w14:paraId="1506A7B6" w14:textId="77777777" w:rsidR="00BB4AF8" w:rsidRPr="00E542CD" w:rsidRDefault="00BB4AF8" w:rsidP="00BB4AF8">
            <w:pPr>
              <w:rPr>
                <w:rFonts w:ascii="Times New Roman" w:hAnsi="Times New Roman" w:cs="Times New Roman"/>
              </w:rPr>
            </w:pPr>
          </w:p>
        </w:tc>
      </w:tr>
      <w:tr w:rsidR="00BB4AF8" w:rsidRPr="00C124DF" w14:paraId="1A0031BC" w14:textId="3B5CB77A" w:rsidTr="00BB4AF8">
        <w:tc>
          <w:tcPr>
            <w:tcW w:w="1539" w:type="dxa"/>
          </w:tcPr>
          <w:p w14:paraId="55CEC72F" w14:textId="327B14D3" w:rsidR="00BB4AF8" w:rsidRDefault="00BB4AF8" w:rsidP="00BB4AF8">
            <w:pPr>
              <w:rPr>
                <w:rFonts w:ascii="Times New Roman" w:hAnsi="Times New Roman" w:cs="Times New Roman"/>
                <w:szCs w:val="18"/>
              </w:rPr>
            </w:pPr>
            <w:r>
              <w:rPr>
                <w:rFonts w:ascii="Times New Roman" w:hAnsi="Times New Roman" w:cs="Times New Roman"/>
                <w:szCs w:val="18"/>
              </w:rPr>
              <w:t>Zinc</w:t>
            </w:r>
          </w:p>
        </w:tc>
        <w:tc>
          <w:tcPr>
            <w:tcW w:w="4537" w:type="dxa"/>
          </w:tcPr>
          <w:p w14:paraId="66E5D169" w14:textId="77777777" w:rsidR="00BB4AF8" w:rsidRPr="00C124DF" w:rsidRDefault="00BB4AF8" w:rsidP="00BB4AF8">
            <w:pPr>
              <w:rPr>
                <w:rFonts w:ascii="Times New Roman" w:hAnsi="Times New Roman" w:cs="Times New Roman"/>
                <w:szCs w:val="18"/>
              </w:rPr>
            </w:pPr>
          </w:p>
        </w:tc>
        <w:tc>
          <w:tcPr>
            <w:tcW w:w="4532" w:type="dxa"/>
          </w:tcPr>
          <w:p w14:paraId="199F9412" w14:textId="77777777" w:rsidR="00BB4AF8" w:rsidRPr="00C124DF" w:rsidRDefault="00BB4AF8" w:rsidP="00BB4AF8">
            <w:pPr>
              <w:rPr>
                <w:rFonts w:ascii="Times New Roman" w:hAnsi="Times New Roman" w:cs="Times New Roman"/>
                <w:szCs w:val="18"/>
              </w:rPr>
            </w:pPr>
          </w:p>
        </w:tc>
        <w:tc>
          <w:tcPr>
            <w:tcW w:w="1366" w:type="dxa"/>
          </w:tcPr>
          <w:p w14:paraId="31CE4BEA" w14:textId="77777777" w:rsidR="00BB4AF8" w:rsidRPr="00E542CD" w:rsidRDefault="00BB4AF8" w:rsidP="00BB4AF8">
            <w:pPr>
              <w:rPr>
                <w:rFonts w:ascii="Times New Roman" w:hAnsi="Times New Roman" w:cs="Times New Roman"/>
              </w:rPr>
            </w:pPr>
          </w:p>
        </w:tc>
        <w:tc>
          <w:tcPr>
            <w:tcW w:w="976" w:type="dxa"/>
          </w:tcPr>
          <w:p w14:paraId="6EF78C4C" w14:textId="77777777" w:rsidR="00BB4AF8" w:rsidRPr="00E542CD" w:rsidRDefault="00BB4AF8" w:rsidP="00BB4AF8">
            <w:pPr>
              <w:rPr>
                <w:rFonts w:ascii="Times New Roman" w:hAnsi="Times New Roman" w:cs="Times New Roman"/>
              </w:rPr>
            </w:pPr>
          </w:p>
        </w:tc>
      </w:tr>
      <w:tr w:rsidR="00BB4AF8" w:rsidRPr="00C124DF" w14:paraId="3E8C969F" w14:textId="29CE3CAB" w:rsidTr="00BB4AF8">
        <w:tc>
          <w:tcPr>
            <w:tcW w:w="1539" w:type="dxa"/>
          </w:tcPr>
          <w:p w14:paraId="128E277D" w14:textId="36DAABEF" w:rsidR="00BB4AF8" w:rsidRDefault="00BB4AF8" w:rsidP="00BB4AF8">
            <w:pPr>
              <w:rPr>
                <w:rFonts w:ascii="Times New Roman" w:hAnsi="Times New Roman" w:cs="Times New Roman"/>
                <w:szCs w:val="18"/>
              </w:rPr>
            </w:pPr>
            <w:r>
              <w:rPr>
                <w:rFonts w:ascii="Times New Roman" w:hAnsi="Times New Roman" w:cs="Times New Roman"/>
                <w:szCs w:val="18"/>
              </w:rPr>
              <w:t>Magnesium</w:t>
            </w:r>
          </w:p>
        </w:tc>
        <w:tc>
          <w:tcPr>
            <w:tcW w:w="4537" w:type="dxa"/>
          </w:tcPr>
          <w:p w14:paraId="3BA63E89" w14:textId="77777777" w:rsidR="00BB4AF8" w:rsidRPr="00C124DF" w:rsidRDefault="00BB4AF8" w:rsidP="00BB4AF8">
            <w:pPr>
              <w:rPr>
                <w:rFonts w:ascii="Times New Roman" w:hAnsi="Times New Roman" w:cs="Times New Roman"/>
                <w:szCs w:val="18"/>
              </w:rPr>
            </w:pPr>
          </w:p>
        </w:tc>
        <w:tc>
          <w:tcPr>
            <w:tcW w:w="4532" w:type="dxa"/>
          </w:tcPr>
          <w:p w14:paraId="73B9EB81" w14:textId="77777777" w:rsidR="00BB4AF8" w:rsidRPr="00C124DF" w:rsidRDefault="00BB4AF8" w:rsidP="00BB4AF8">
            <w:pPr>
              <w:rPr>
                <w:rFonts w:ascii="Times New Roman" w:hAnsi="Times New Roman" w:cs="Times New Roman"/>
                <w:szCs w:val="18"/>
              </w:rPr>
            </w:pPr>
          </w:p>
        </w:tc>
        <w:tc>
          <w:tcPr>
            <w:tcW w:w="1366" w:type="dxa"/>
          </w:tcPr>
          <w:p w14:paraId="735C0D04" w14:textId="77777777" w:rsidR="00BB4AF8" w:rsidRPr="00E542CD" w:rsidRDefault="00BB4AF8" w:rsidP="00BB4AF8">
            <w:pPr>
              <w:rPr>
                <w:rFonts w:ascii="Times New Roman" w:hAnsi="Times New Roman" w:cs="Times New Roman"/>
              </w:rPr>
            </w:pPr>
          </w:p>
        </w:tc>
        <w:tc>
          <w:tcPr>
            <w:tcW w:w="976" w:type="dxa"/>
          </w:tcPr>
          <w:p w14:paraId="67FA25BD" w14:textId="77777777" w:rsidR="00BB4AF8" w:rsidRPr="00E542CD" w:rsidRDefault="00BB4AF8" w:rsidP="00BB4AF8">
            <w:pPr>
              <w:rPr>
                <w:rFonts w:ascii="Times New Roman" w:hAnsi="Times New Roman" w:cs="Times New Roman"/>
              </w:rPr>
            </w:pPr>
          </w:p>
        </w:tc>
      </w:tr>
      <w:tr w:rsidR="00BB4AF8" w:rsidRPr="00C124DF" w14:paraId="110DA59A" w14:textId="0286B7A7" w:rsidTr="00BB4AF8">
        <w:trPr>
          <w:trHeight w:val="70"/>
        </w:trPr>
        <w:tc>
          <w:tcPr>
            <w:tcW w:w="1539" w:type="dxa"/>
          </w:tcPr>
          <w:p w14:paraId="58FC8AAC" w14:textId="7E02BC06" w:rsidR="00BB4AF8" w:rsidRDefault="00BB4AF8" w:rsidP="00BB4AF8">
            <w:pPr>
              <w:rPr>
                <w:rFonts w:ascii="Times New Roman" w:hAnsi="Times New Roman" w:cs="Times New Roman"/>
                <w:szCs w:val="18"/>
              </w:rPr>
            </w:pPr>
            <w:r>
              <w:rPr>
                <w:rFonts w:ascii="Times New Roman" w:hAnsi="Times New Roman" w:cs="Times New Roman"/>
                <w:szCs w:val="18"/>
              </w:rPr>
              <w:t>Niacin</w:t>
            </w:r>
          </w:p>
        </w:tc>
        <w:tc>
          <w:tcPr>
            <w:tcW w:w="4537" w:type="dxa"/>
          </w:tcPr>
          <w:p w14:paraId="7DF40ED1" w14:textId="77777777" w:rsidR="00BB4AF8" w:rsidRPr="00C124DF" w:rsidRDefault="00BB4AF8" w:rsidP="00BB4AF8">
            <w:pPr>
              <w:rPr>
                <w:rFonts w:ascii="Times New Roman" w:hAnsi="Times New Roman" w:cs="Times New Roman"/>
                <w:szCs w:val="18"/>
              </w:rPr>
            </w:pPr>
          </w:p>
        </w:tc>
        <w:tc>
          <w:tcPr>
            <w:tcW w:w="4532" w:type="dxa"/>
          </w:tcPr>
          <w:p w14:paraId="16E95925" w14:textId="77777777" w:rsidR="00BB4AF8" w:rsidRPr="00C124DF" w:rsidRDefault="00BB4AF8" w:rsidP="00BB4AF8">
            <w:pPr>
              <w:rPr>
                <w:rFonts w:ascii="Times New Roman" w:hAnsi="Times New Roman" w:cs="Times New Roman"/>
                <w:szCs w:val="18"/>
              </w:rPr>
            </w:pPr>
          </w:p>
        </w:tc>
        <w:tc>
          <w:tcPr>
            <w:tcW w:w="1366" w:type="dxa"/>
          </w:tcPr>
          <w:p w14:paraId="2E5E57C8" w14:textId="77777777" w:rsidR="00BB4AF8" w:rsidRPr="00E542CD" w:rsidRDefault="00BB4AF8" w:rsidP="00BB4AF8">
            <w:pPr>
              <w:rPr>
                <w:rFonts w:ascii="Times New Roman" w:hAnsi="Times New Roman" w:cs="Times New Roman"/>
              </w:rPr>
            </w:pPr>
          </w:p>
        </w:tc>
        <w:tc>
          <w:tcPr>
            <w:tcW w:w="976" w:type="dxa"/>
          </w:tcPr>
          <w:p w14:paraId="05403C0B" w14:textId="77777777" w:rsidR="00BB4AF8" w:rsidRPr="00E542CD" w:rsidRDefault="00BB4AF8" w:rsidP="00BB4AF8">
            <w:pPr>
              <w:rPr>
                <w:rFonts w:ascii="Times New Roman" w:hAnsi="Times New Roman" w:cs="Times New Roman"/>
              </w:rPr>
            </w:pPr>
          </w:p>
        </w:tc>
      </w:tr>
      <w:tr w:rsidR="00BB4AF8" w:rsidRPr="00C124DF" w14:paraId="7D830D68" w14:textId="0C4C1239" w:rsidTr="00BB4AF8">
        <w:tc>
          <w:tcPr>
            <w:tcW w:w="1539" w:type="dxa"/>
          </w:tcPr>
          <w:p w14:paraId="2B2C45DB" w14:textId="49F427F7" w:rsidR="00BB4AF8" w:rsidRDefault="00BB4AF8" w:rsidP="00BB4AF8">
            <w:pPr>
              <w:rPr>
                <w:rFonts w:ascii="Times New Roman" w:hAnsi="Times New Roman" w:cs="Times New Roman"/>
                <w:szCs w:val="18"/>
              </w:rPr>
            </w:pPr>
            <w:r>
              <w:rPr>
                <w:rFonts w:ascii="Times New Roman" w:hAnsi="Times New Roman" w:cs="Times New Roman"/>
                <w:szCs w:val="18"/>
              </w:rPr>
              <w:t>Riboflavin</w:t>
            </w:r>
          </w:p>
        </w:tc>
        <w:tc>
          <w:tcPr>
            <w:tcW w:w="4537" w:type="dxa"/>
          </w:tcPr>
          <w:p w14:paraId="5038D8B4" w14:textId="77777777" w:rsidR="00BB4AF8" w:rsidRPr="00C124DF" w:rsidRDefault="00BB4AF8" w:rsidP="00BB4AF8">
            <w:pPr>
              <w:rPr>
                <w:rFonts w:ascii="Times New Roman" w:hAnsi="Times New Roman" w:cs="Times New Roman"/>
                <w:szCs w:val="18"/>
              </w:rPr>
            </w:pPr>
          </w:p>
        </w:tc>
        <w:tc>
          <w:tcPr>
            <w:tcW w:w="4532" w:type="dxa"/>
          </w:tcPr>
          <w:p w14:paraId="2FDE4829" w14:textId="77777777" w:rsidR="00BB4AF8" w:rsidRPr="00C124DF" w:rsidRDefault="00BB4AF8" w:rsidP="00BB4AF8">
            <w:pPr>
              <w:rPr>
                <w:rFonts w:ascii="Times New Roman" w:hAnsi="Times New Roman" w:cs="Times New Roman"/>
                <w:szCs w:val="18"/>
              </w:rPr>
            </w:pPr>
          </w:p>
        </w:tc>
        <w:tc>
          <w:tcPr>
            <w:tcW w:w="1366" w:type="dxa"/>
          </w:tcPr>
          <w:p w14:paraId="4A082B40" w14:textId="77777777" w:rsidR="00BB4AF8" w:rsidRPr="00E542CD" w:rsidRDefault="00BB4AF8" w:rsidP="00BB4AF8">
            <w:pPr>
              <w:rPr>
                <w:rFonts w:ascii="Times New Roman" w:hAnsi="Times New Roman" w:cs="Times New Roman"/>
              </w:rPr>
            </w:pPr>
          </w:p>
        </w:tc>
        <w:tc>
          <w:tcPr>
            <w:tcW w:w="976" w:type="dxa"/>
          </w:tcPr>
          <w:p w14:paraId="5D63BCDC" w14:textId="77777777" w:rsidR="00BB4AF8" w:rsidRPr="00E542CD" w:rsidRDefault="00BB4AF8" w:rsidP="00BB4AF8">
            <w:pPr>
              <w:rPr>
                <w:rFonts w:ascii="Times New Roman" w:hAnsi="Times New Roman" w:cs="Times New Roman"/>
              </w:rPr>
            </w:pPr>
          </w:p>
        </w:tc>
      </w:tr>
      <w:tr w:rsidR="00BB4AF8" w:rsidRPr="00C124DF" w14:paraId="25F9A41A" w14:textId="56511C4A" w:rsidTr="00BB4AF8">
        <w:tc>
          <w:tcPr>
            <w:tcW w:w="1539" w:type="dxa"/>
          </w:tcPr>
          <w:p w14:paraId="4F4F38FB" w14:textId="36AE1D40" w:rsidR="00BB4AF8" w:rsidRDefault="00BB4AF8" w:rsidP="00BB4AF8">
            <w:pPr>
              <w:rPr>
                <w:rFonts w:ascii="Times New Roman" w:hAnsi="Times New Roman" w:cs="Times New Roman"/>
                <w:szCs w:val="18"/>
              </w:rPr>
            </w:pPr>
            <w:r>
              <w:rPr>
                <w:rFonts w:ascii="Times New Roman" w:hAnsi="Times New Roman" w:cs="Times New Roman"/>
                <w:szCs w:val="18"/>
              </w:rPr>
              <w:t>Thiamin</w:t>
            </w:r>
          </w:p>
        </w:tc>
        <w:tc>
          <w:tcPr>
            <w:tcW w:w="4537" w:type="dxa"/>
          </w:tcPr>
          <w:p w14:paraId="0455A252" w14:textId="77777777" w:rsidR="00BB4AF8" w:rsidRPr="00C124DF" w:rsidRDefault="00BB4AF8" w:rsidP="00BB4AF8">
            <w:pPr>
              <w:rPr>
                <w:rFonts w:ascii="Times New Roman" w:hAnsi="Times New Roman" w:cs="Times New Roman"/>
                <w:szCs w:val="18"/>
              </w:rPr>
            </w:pPr>
          </w:p>
        </w:tc>
        <w:tc>
          <w:tcPr>
            <w:tcW w:w="4532" w:type="dxa"/>
          </w:tcPr>
          <w:p w14:paraId="6440D35E" w14:textId="77777777" w:rsidR="00BB4AF8" w:rsidRPr="00C124DF" w:rsidRDefault="00BB4AF8" w:rsidP="00BB4AF8">
            <w:pPr>
              <w:rPr>
                <w:rFonts w:ascii="Times New Roman" w:hAnsi="Times New Roman" w:cs="Times New Roman"/>
                <w:szCs w:val="18"/>
              </w:rPr>
            </w:pPr>
          </w:p>
        </w:tc>
        <w:tc>
          <w:tcPr>
            <w:tcW w:w="1366" w:type="dxa"/>
          </w:tcPr>
          <w:p w14:paraId="05D540A2" w14:textId="77777777" w:rsidR="00BB4AF8" w:rsidRPr="00E542CD" w:rsidRDefault="00BB4AF8" w:rsidP="00BB4AF8">
            <w:pPr>
              <w:rPr>
                <w:rFonts w:ascii="Times New Roman" w:hAnsi="Times New Roman" w:cs="Times New Roman"/>
              </w:rPr>
            </w:pPr>
          </w:p>
        </w:tc>
        <w:tc>
          <w:tcPr>
            <w:tcW w:w="976" w:type="dxa"/>
          </w:tcPr>
          <w:p w14:paraId="00B72A10" w14:textId="77777777" w:rsidR="00BB4AF8" w:rsidRPr="00E542CD" w:rsidRDefault="00BB4AF8" w:rsidP="00BB4AF8">
            <w:pPr>
              <w:rPr>
                <w:rFonts w:ascii="Times New Roman" w:hAnsi="Times New Roman" w:cs="Times New Roman"/>
              </w:rPr>
            </w:pPr>
          </w:p>
        </w:tc>
      </w:tr>
      <w:tr w:rsidR="00BB4AF8" w:rsidRPr="00C124DF" w14:paraId="40456D7D" w14:textId="0DD55FDD" w:rsidTr="00BB4AF8">
        <w:tc>
          <w:tcPr>
            <w:tcW w:w="1539" w:type="dxa"/>
          </w:tcPr>
          <w:p w14:paraId="650AA646" w14:textId="428638AA" w:rsidR="00BB4AF8" w:rsidRDefault="00BB4AF8" w:rsidP="00BB4AF8">
            <w:pPr>
              <w:rPr>
                <w:rFonts w:ascii="Times New Roman" w:hAnsi="Times New Roman" w:cs="Times New Roman"/>
                <w:szCs w:val="18"/>
              </w:rPr>
            </w:pPr>
            <w:r>
              <w:rPr>
                <w:rFonts w:ascii="Times New Roman" w:hAnsi="Times New Roman" w:cs="Times New Roman"/>
                <w:szCs w:val="18"/>
              </w:rPr>
              <w:t>Vitamin A</w:t>
            </w:r>
          </w:p>
        </w:tc>
        <w:tc>
          <w:tcPr>
            <w:tcW w:w="4537" w:type="dxa"/>
          </w:tcPr>
          <w:p w14:paraId="755D7A20" w14:textId="77777777" w:rsidR="00BB4AF8" w:rsidRPr="00C124DF" w:rsidRDefault="00BB4AF8" w:rsidP="00BB4AF8">
            <w:pPr>
              <w:rPr>
                <w:rFonts w:ascii="Times New Roman" w:hAnsi="Times New Roman" w:cs="Times New Roman"/>
                <w:szCs w:val="18"/>
              </w:rPr>
            </w:pPr>
          </w:p>
        </w:tc>
        <w:tc>
          <w:tcPr>
            <w:tcW w:w="4532" w:type="dxa"/>
          </w:tcPr>
          <w:p w14:paraId="1E230361" w14:textId="77777777" w:rsidR="00BB4AF8" w:rsidRPr="00C124DF" w:rsidRDefault="00BB4AF8" w:rsidP="00BB4AF8">
            <w:pPr>
              <w:rPr>
                <w:rFonts w:ascii="Times New Roman" w:hAnsi="Times New Roman" w:cs="Times New Roman"/>
                <w:szCs w:val="18"/>
              </w:rPr>
            </w:pPr>
          </w:p>
        </w:tc>
        <w:tc>
          <w:tcPr>
            <w:tcW w:w="1366" w:type="dxa"/>
          </w:tcPr>
          <w:p w14:paraId="389B8277" w14:textId="77777777" w:rsidR="00BB4AF8" w:rsidRPr="00E542CD" w:rsidRDefault="00BB4AF8" w:rsidP="00BB4AF8">
            <w:pPr>
              <w:rPr>
                <w:rFonts w:ascii="Times New Roman" w:hAnsi="Times New Roman" w:cs="Times New Roman"/>
              </w:rPr>
            </w:pPr>
          </w:p>
        </w:tc>
        <w:tc>
          <w:tcPr>
            <w:tcW w:w="976" w:type="dxa"/>
          </w:tcPr>
          <w:p w14:paraId="4DCB4FAB" w14:textId="77777777" w:rsidR="00BB4AF8" w:rsidRPr="00E542CD" w:rsidRDefault="00BB4AF8" w:rsidP="00BB4AF8">
            <w:pPr>
              <w:rPr>
                <w:rFonts w:ascii="Times New Roman" w:hAnsi="Times New Roman" w:cs="Times New Roman"/>
              </w:rPr>
            </w:pPr>
          </w:p>
        </w:tc>
      </w:tr>
      <w:tr w:rsidR="00BB4AF8" w:rsidRPr="00C124DF" w14:paraId="52D3780D" w14:textId="0BBC22D0" w:rsidTr="00BB4AF8">
        <w:tc>
          <w:tcPr>
            <w:tcW w:w="1539" w:type="dxa"/>
          </w:tcPr>
          <w:p w14:paraId="5C5CDF44" w14:textId="3238ACF2" w:rsidR="00BB4AF8" w:rsidRDefault="00BB4AF8" w:rsidP="00BB4AF8">
            <w:pPr>
              <w:rPr>
                <w:rFonts w:ascii="Times New Roman" w:hAnsi="Times New Roman" w:cs="Times New Roman"/>
                <w:szCs w:val="18"/>
              </w:rPr>
            </w:pPr>
            <w:r>
              <w:rPr>
                <w:rFonts w:ascii="Times New Roman" w:hAnsi="Times New Roman" w:cs="Times New Roman"/>
                <w:szCs w:val="18"/>
              </w:rPr>
              <w:t>Vitamin B12</w:t>
            </w:r>
          </w:p>
        </w:tc>
        <w:tc>
          <w:tcPr>
            <w:tcW w:w="4537" w:type="dxa"/>
          </w:tcPr>
          <w:p w14:paraId="573F2000" w14:textId="77777777" w:rsidR="00BB4AF8" w:rsidRPr="00C124DF" w:rsidRDefault="00BB4AF8" w:rsidP="00BB4AF8">
            <w:pPr>
              <w:rPr>
                <w:rFonts w:ascii="Times New Roman" w:hAnsi="Times New Roman" w:cs="Times New Roman"/>
                <w:szCs w:val="18"/>
              </w:rPr>
            </w:pPr>
          </w:p>
        </w:tc>
        <w:tc>
          <w:tcPr>
            <w:tcW w:w="4532" w:type="dxa"/>
          </w:tcPr>
          <w:p w14:paraId="2BBB7DBD" w14:textId="77777777" w:rsidR="00BB4AF8" w:rsidRPr="00C124DF" w:rsidRDefault="00BB4AF8" w:rsidP="00BB4AF8">
            <w:pPr>
              <w:rPr>
                <w:rFonts w:ascii="Times New Roman" w:hAnsi="Times New Roman" w:cs="Times New Roman"/>
                <w:szCs w:val="18"/>
              </w:rPr>
            </w:pPr>
          </w:p>
        </w:tc>
        <w:tc>
          <w:tcPr>
            <w:tcW w:w="1366" w:type="dxa"/>
          </w:tcPr>
          <w:p w14:paraId="4178F244" w14:textId="77777777" w:rsidR="00BB4AF8" w:rsidRPr="00E542CD" w:rsidRDefault="00BB4AF8" w:rsidP="00BB4AF8">
            <w:pPr>
              <w:rPr>
                <w:rFonts w:ascii="Times New Roman" w:hAnsi="Times New Roman" w:cs="Times New Roman"/>
              </w:rPr>
            </w:pPr>
          </w:p>
        </w:tc>
        <w:tc>
          <w:tcPr>
            <w:tcW w:w="976" w:type="dxa"/>
          </w:tcPr>
          <w:p w14:paraId="4B902C86" w14:textId="77777777" w:rsidR="00BB4AF8" w:rsidRPr="00E542CD" w:rsidRDefault="00BB4AF8" w:rsidP="00BB4AF8">
            <w:pPr>
              <w:rPr>
                <w:rFonts w:ascii="Times New Roman" w:hAnsi="Times New Roman" w:cs="Times New Roman"/>
              </w:rPr>
            </w:pPr>
          </w:p>
        </w:tc>
      </w:tr>
      <w:tr w:rsidR="00BB4AF8" w:rsidRPr="00C124DF" w14:paraId="3766F5B1" w14:textId="7508FBE6" w:rsidTr="00BB4AF8">
        <w:tc>
          <w:tcPr>
            <w:tcW w:w="1539" w:type="dxa"/>
          </w:tcPr>
          <w:p w14:paraId="4DC77CB6" w14:textId="3C20FE2A" w:rsidR="00BB4AF8" w:rsidRDefault="00BB4AF8" w:rsidP="00BB4AF8">
            <w:pPr>
              <w:rPr>
                <w:rFonts w:ascii="Times New Roman" w:hAnsi="Times New Roman" w:cs="Times New Roman"/>
                <w:szCs w:val="18"/>
              </w:rPr>
            </w:pPr>
            <w:r>
              <w:rPr>
                <w:rFonts w:ascii="Times New Roman" w:hAnsi="Times New Roman" w:cs="Times New Roman"/>
                <w:szCs w:val="18"/>
              </w:rPr>
              <w:t>% of total EI from linoleic</w:t>
            </w:r>
          </w:p>
        </w:tc>
        <w:tc>
          <w:tcPr>
            <w:tcW w:w="4537" w:type="dxa"/>
          </w:tcPr>
          <w:p w14:paraId="4AC75973" w14:textId="77777777" w:rsidR="00BB4AF8" w:rsidRPr="00C124DF" w:rsidRDefault="00BB4AF8" w:rsidP="00BB4AF8">
            <w:pPr>
              <w:rPr>
                <w:rFonts w:ascii="Times New Roman" w:hAnsi="Times New Roman" w:cs="Times New Roman"/>
                <w:szCs w:val="18"/>
              </w:rPr>
            </w:pPr>
          </w:p>
        </w:tc>
        <w:tc>
          <w:tcPr>
            <w:tcW w:w="4532" w:type="dxa"/>
          </w:tcPr>
          <w:p w14:paraId="5CBF7135" w14:textId="77777777" w:rsidR="00BB4AF8" w:rsidRPr="00C124DF" w:rsidRDefault="00BB4AF8" w:rsidP="00BB4AF8">
            <w:pPr>
              <w:rPr>
                <w:rFonts w:ascii="Times New Roman" w:hAnsi="Times New Roman" w:cs="Times New Roman"/>
                <w:szCs w:val="18"/>
              </w:rPr>
            </w:pPr>
          </w:p>
        </w:tc>
        <w:tc>
          <w:tcPr>
            <w:tcW w:w="1366" w:type="dxa"/>
          </w:tcPr>
          <w:p w14:paraId="1BC7EAC3" w14:textId="77777777" w:rsidR="00BB4AF8" w:rsidRPr="00E542CD" w:rsidRDefault="00BB4AF8" w:rsidP="00BB4AF8">
            <w:pPr>
              <w:rPr>
                <w:rFonts w:ascii="Times New Roman" w:hAnsi="Times New Roman" w:cs="Times New Roman"/>
              </w:rPr>
            </w:pPr>
          </w:p>
        </w:tc>
        <w:tc>
          <w:tcPr>
            <w:tcW w:w="976" w:type="dxa"/>
          </w:tcPr>
          <w:p w14:paraId="74B4A3FB" w14:textId="77777777" w:rsidR="00BB4AF8" w:rsidRPr="00E542CD" w:rsidRDefault="00BB4AF8" w:rsidP="00BB4AF8">
            <w:pPr>
              <w:rPr>
                <w:rFonts w:ascii="Times New Roman" w:hAnsi="Times New Roman" w:cs="Times New Roman"/>
              </w:rPr>
            </w:pPr>
          </w:p>
        </w:tc>
      </w:tr>
      <w:tr w:rsidR="00BB4AF8" w:rsidRPr="00C124DF" w14:paraId="6F467CB9" w14:textId="5103D715" w:rsidTr="00BB4AF8">
        <w:tc>
          <w:tcPr>
            <w:tcW w:w="1539" w:type="dxa"/>
          </w:tcPr>
          <w:p w14:paraId="13B510DF" w14:textId="6D79188E" w:rsidR="00BB4AF8" w:rsidRDefault="00BB4AF8" w:rsidP="00BB4AF8">
            <w:pPr>
              <w:rPr>
                <w:rFonts w:ascii="Times New Roman" w:hAnsi="Times New Roman" w:cs="Times New Roman"/>
                <w:szCs w:val="18"/>
              </w:rPr>
            </w:pPr>
            <w:r>
              <w:rPr>
                <w:rFonts w:ascii="Times New Roman" w:hAnsi="Times New Roman" w:cs="Times New Roman"/>
                <w:szCs w:val="18"/>
              </w:rPr>
              <w:lastRenderedPageBreak/>
              <w:t xml:space="preserve">% of total EI from </w:t>
            </w:r>
            <w:proofErr w:type="spellStart"/>
            <w:r>
              <w:rPr>
                <w:rFonts w:ascii="Times New Roman" w:hAnsi="Times New Roman" w:cs="Times New Roman"/>
                <w:szCs w:val="18"/>
              </w:rPr>
              <w:t>linolenic</w:t>
            </w:r>
            <w:proofErr w:type="spellEnd"/>
          </w:p>
        </w:tc>
        <w:tc>
          <w:tcPr>
            <w:tcW w:w="4537" w:type="dxa"/>
          </w:tcPr>
          <w:p w14:paraId="6CE2F9D3" w14:textId="77777777" w:rsidR="00BB4AF8" w:rsidRPr="00C124DF" w:rsidRDefault="00BB4AF8" w:rsidP="00BB4AF8">
            <w:pPr>
              <w:rPr>
                <w:rFonts w:ascii="Times New Roman" w:hAnsi="Times New Roman" w:cs="Times New Roman"/>
                <w:szCs w:val="18"/>
              </w:rPr>
            </w:pPr>
          </w:p>
        </w:tc>
        <w:tc>
          <w:tcPr>
            <w:tcW w:w="4532" w:type="dxa"/>
          </w:tcPr>
          <w:p w14:paraId="5A970923" w14:textId="77777777" w:rsidR="00BB4AF8" w:rsidRPr="00C124DF" w:rsidRDefault="00BB4AF8" w:rsidP="00BB4AF8">
            <w:pPr>
              <w:rPr>
                <w:rFonts w:ascii="Times New Roman" w:hAnsi="Times New Roman" w:cs="Times New Roman"/>
                <w:szCs w:val="18"/>
              </w:rPr>
            </w:pPr>
          </w:p>
        </w:tc>
        <w:tc>
          <w:tcPr>
            <w:tcW w:w="1366" w:type="dxa"/>
          </w:tcPr>
          <w:p w14:paraId="306AA738" w14:textId="77777777" w:rsidR="00BB4AF8" w:rsidRPr="00E542CD" w:rsidRDefault="00BB4AF8" w:rsidP="00BB4AF8">
            <w:pPr>
              <w:rPr>
                <w:rFonts w:ascii="Times New Roman" w:hAnsi="Times New Roman" w:cs="Times New Roman"/>
              </w:rPr>
            </w:pPr>
          </w:p>
        </w:tc>
        <w:tc>
          <w:tcPr>
            <w:tcW w:w="976" w:type="dxa"/>
          </w:tcPr>
          <w:p w14:paraId="1B5F270F" w14:textId="77777777" w:rsidR="00BB4AF8" w:rsidRPr="00E542CD" w:rsidRDefault="00BB4AF8" w:rsidP="00BB4AF8">
            <w:pPr>
              <w:rPr>
                <w:rFonts w:ascii="Times New Roman" w:hAnsi="Times New Roman" w:cs="Times New Roman"/>
              </w:rPr>
            </w:pPr>
          </w:p>
        </w:tc>
      </w:tr>
      <w:tr w:rsidR="00BB4AF8" w:rsidRPr="00C124DF" w14:paraId="33864796" w14:textId="2C6A298A" w:rsidTr="00BB4AF8">
        <w:tc>
          <w:tcPr>
            <w:tcW w:w="1539" w:type="dxa"/>
          </w:tcPr>
          <w:p w14:paraId="3E413E59" w14:textId="77777777" w:rsidR="00BB4AF8" w:rsidRDefault="00BB4AF8" w:rsidP="00BB4AF8">
            <w:pPr>
              <w:rPr>
                <w:rFonts w:ascii="Times New Roman" w:hAnsi="Times New Roman" w:cs="Times New Roman"/>
                <w:szCs w:val="18"/>
              </w:rPr>
            </w:pPr>
          </w:p>
        </w:tc>
        <w:tc>
          <w:tcPr>
            <w:tcW w:w="4537" w:type="dxa"/>
          </w:tcPr>
          <w:p w14:paraId="22C81DE7" w14:textId="77777777" w:rsidR="00BB4AF8" w:rsidRPr="00C124DF" w:rsidRDefault="00BB4AF8" w:rsidP="00BB4AF8">
            <w:pPr>
              <w:rPr>
                <w:rFonts w:ascii="Times New Roman" w:hAnsi="Times New Roman" w:cs="Times New Roman"/>
                <w:szCs w:val="18"/>
              </w:rPr>
            </w:pPr>
          </w:p>
        </w:tc>
        <w:tc>
          <w:tcPr>
            <w:tcW w:w="4532" w:type="dxa"/>
          </w:tcPr>
          <w:p w14:paraId="722FEC39" w14:textId="77777777" w:rsidR="00BB4AF8" w:rsidRPr="00C124DF" w:rsidRDefault="00BB4AF8" w:rsidP="00BB4AF8">
            <w:pPr>
              <w:rPr>
                <w:rFonts w:ascii="Times New Roman" w:hAnsi="Times New Roman" w:cs="Times New Roman"/>
                <w:szCs w:val="18"/>
              </w:rPr>
            </w:pPr>
          </w:p>
        </w:tc>
        <w:tc>
          <w:tcPr>
            <w:tcW w:w="1366" w:type="dxa"/>
          </w:tcPr>
          <w:p w14:paraId="71AE9143" w14:textId="77777777" w:rsidR="00BB4AF8" w:rsidRPr="00E542CD" w:rsidRDefault="00BB4AF8" w:rsidP="00BB4AF8">
            <w:pPr>
              <w:rPr>
                <w:rFonts w:ascii="Times New Roman" w:hAnsi="Times New Roman" w:cs="Times New Roman"/>
              </w:rPr>
            </w:pPr>
          </w:p>
        </w:tc>
        <w:tc>
          <w:tcPr>
            <w:tcW w:w="976" w:type="dxa"/>
          </w:tcPr>
          <w:p w14:paraId="7FC86AB8" w14:textId="77777777" w:rsidR="00BB4AF8" w:rsidRPr="00E542CD" w:rsidRDefault="00BB4AF8" w:rsidP="00BB4AF8">
            <w:pPr>
              <w:rPr>
                <w:rFonts w:ascii="Times New Roman" w:hAnsi="Times New Roman" w:cs="Times New Roman"/>
              </w:rPr>
            </w:pPr>
          </w:p>
        </w:tc>
      </w:tr>
      <w:bookmarkEnd w:id="3"/>
    </w:tbl>
    <w:p w14:paraId="13AC9E05" w14:textId="33D61CEF" w:rsidR="00C96EF9" w:rsidRPr="00C124DF" w:rsidRDefault="00C96EF9" w:rsidP="00EE5F8D">
      <w:pPr>
        <w:rPr>
          <w:rFonts w:ascii="Times New Roman" w:hAnsi="Times New Roman" w:cs="Times New Roman"/>
          <w:szCs w:val="18"/>
        </w:rPr>
      </w:pPr>
    </w:p>
    <w:p w14:paraId="26E1AFD3" w14:textId="77777777" w:rsidR="00C96EF9" w:rsidRPr="00C124DF" w:rsidRDefault="00C96EF9" w:rsidP="00EE5F8D">
      <w:pPr>
        <w:rPr>
          <w:rFonts w:ascii="Times New Roman" w:hAnsi="Times New Roman" w:cs="Times New Roman"/>
          <w:szCs w:val="18"/>
        </w:rPr>
      </w:pPr>
    </w:p>
    <w:p w14:paraId="3B22EFB2" w14:textId="77777777" w:rsidR="00C96EF9" w:rsidRPr="00C124DF" w:rsidRDefault="00C96EF9" w:rsidP="00EE5F8D">
      <w:pPr>
        <w:rPr>
          <w:rFonts w:ascii="Times New Roman" w:hAnsi="Times New Roman" w:cs="Times New Roman"/>
          <w:szCs w:val="18"/>
        </w:rPr>
      </w:pPr>
    </w:p>
    <w:sectPr w:rsidR="00C96EF9" w:rsidRPr="00C124DF" w:rsidSect="00C124DF">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lie Ennis" w:date="2020-02-27T08:56:00Z" w:initials="JE">
    <w:p w14:paraId="3066CEB7" w14:textId="101FAC94" w:rsidR="006137C0" w:rsidRDefault="006137C0">
      <w:pPr>
        <w:pStyle w:val="CommentText"/>
      </w:pPr>
      <w:r>
        <w:rPr>
          <w:rStyle w:val="CommentReference"/>
        </w:rPr>
        <w:annotationRef/>
      </w:r>
      <w:r>
        <w:t xml:space="preserve">I am open to limiting to only one nutrient or to allow selection of multiple nutrients. </w:t>
      </w:r>
    </w:p>
  </w:comment>
  <w:comment w:id="1" w:author="Julie Ennis" w:date="2019-12-10T11:45:00Z" w:initials="JE">
    <w:p w14:paraId="4451E858" w14:textId="2F855C32" w:rsidR="006137C0" w:rsidRDefault="006137C0" w:rsidP="009C2727">
      <w:pPr>
        <w:pStyle w:val="CommentText"/>
      </w:pPr>
      <w:r>
        <w:rPr>
          <w:rStyle w:val="CommentReference"/>
        </w:rPr>
        <w:annotationRef/>
      </w:r>
      <w:r>
        <w:t>Forest will work through to find the optimal way to present the title when there are multiple age-sex groups and regions selected</w:t>
      </w:r>
    </w:p>
  </w:comment>
  <w:comment w:id="2" w:author="Julie Ennis" w:date="2019-12-11T10:44:00Z" w:initials="JE">
    <w:p w14:paraId="26191703" w14:textId="1BA99C8D" w:rsidR="006137C0" w:rsidRDefault="006137C0">
      <w:pPr>
        <w:pStyle w:val="CommentText"/>
      </w:pPr>
      <w:r>
        <w:rPr>
          <w:rStyle w:val="CommentReference"/>
        </w:rPr>
        <w:annotationRef/>
      </w:r>
      <w:r>
        <w:t>To discuss</w:t>
      </w:r>
    </w:p>
  </w:comment>
  <w:comment w:id="4" w:author="Julie Ennis" w:date="2020-02-26T13:23:00Z" w:initials="JE">
    <w:p w14:paraId="6D824967" w14:textId="476444BB" w:rsidR="006137C0" w:rsidRDefault="006137C0">
      <w:pPr>
        <w:pStyle w:val="CommentText"/>
      </w:pPr>
      <w:r>
        <w:rPr>
          <w:rStyle w:val="CommentReference"/>
        </w:rPr>
        <w:annotationRef/>
      </w:r>
      <w:r>
        <w:t>Leaning toward excluding this. It isn’t a nutrient of public health concern and there are no DRIs</w:t>
      </w:r>
    </w:p>
  </w:comment>
  <w:comment w:id="5" w:author="Julie Ennis" w:date="2020-02-28T10:04:00Z" w:initials="JE">
    <w:p w14:paraId="790D75F8" w14:textId="26A9E242" w:rsidR="006137C0" w:rsidRDefault="006137C0">
      <w:pPr>
        <w:pStyle w:val="CommentText"/>
      </w:pPr>
      <w:r>
        <w:rPr>
          <w:rStyle w:val="CommentReference"/>
        </w:rPr>
        <w:annotationRef/>
      </w:r>
      <w:r>
        <w:t>It would be great to be able to refer to a tool where BMI from 2015 CCHS – Nutrition were presented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66CEB7" w15:done="0"/>
  <w15:commentEx w15:paraId="4451E858" w15:done="0"/>
  <w15:commentEx w15:paraId="26191703" w15:done="0"/>
  <w15:commentEx w15:paraId="6D824967" w15:done="0"/>
  <w15:commentEx w15:paraId="790D75F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B91EF" w14:textId="77777777" w:rsidR="006137C0" w:rsidRDefault="006137C0" w:rsidP="0077221F">
      <w:pPr>
        <w:spacing w:after="0" w:line="240" w:lineRule="auto"/>
      </w:pPr>
      <w:r>
        <w:separator/>
      </w:r>
    </w:p>
  </w:endnote>
  <w:endnote w:type="continuationSeparator" w:id="0">
    <w:p w14:paraId="4CB77042" w14:textId="77777777" w:rsidR="006137C0" w:rsidRDefault="006137C0" w:rsidP="00772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3F283" w14:textId="70A14EBF" w:rsidR="006137C0" w:rsidRPr="008C0D09" w:rsidRDefault="006137C0" w:rsidP="008C0D09">
    <w:pPr>
      <w:pStyle w:val="Footer"/>
    </w:pPr>
    <w:r>
      <w:rPr>
        <w:rFonts w:ascii="Times New Roman" w:hAnsi="Times New Roman" w:cs="Times New Roman"/>
      </w:rPr>
      <w:fldChar w:fldCharType="begin"/>
    </w:r>
    <w:r>
      <w:rPr>
        <w:rFonts w:ascii="Times New Roman" w:hAnsi="Times New Roman" w:cs="Times New Roman"/>
      </w:rPr>
      <w:instrText xml:space="preserve"> DATE \@ "yyyy-MM-dd" </w:instrText>
    </w:r>
    <w:r>
      <w:rPr>
        <w:rFonts w:ascii="Times New Roman" w:hAnsi="Times New Roman" w:cs="Times New Roman"/>
      </w:rPr>
      <w:fldChar w:fldCharType="separate"/>
    </w:r>
    <w:r>
      <w:rPr>
        <w:rFonts w:ascii="Times New Roman" w:hAnsi="Times New Roman" w:cs="Times New Roman"/>
        <w:noProof/>
      </w:rPr>
      <w:t>2020-02-28</w:t>
    </w:r>
    <w:r>
      <w:rPr>
        <w:rFonts w:ascii="Times New Roman" w:hAnsi="Times New Roman" w:cs="Times New Roman"/>
      </w:rPr>
      <w:fldChar w:fldCharType="end"/>
    </w:r>
    <w:r>
      <w:rPr>
        <w:rFonts w:ascii="Times New Roman" w:hAnsi="Times New Roman" w:cs="Times New Roman"/>
      </w:rPr>
      <w:tab/>
    </w:r>
    <w:r>
      <w:rPr>
        <w:rFonts w:ascii="Times New Roman" w:hAnsi="Times New Roman" w:cs="Times New Roman"/>
      </w:rPr>
      <w:tab/>
      <w:t>Julie Ennis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181CF" w14:textId="77777777" w:rsidR="006137C0" w:rsidRDefault="006137C0" w:rsidP="0077221F">
      <w:pPr>
        <w:spacing w:after="0" w:line="240" w:lineRule="auto"/>
      </w:pPr>
      <w:r>
        <w:separator/>
      </w:r>
    </w:p>
  </w:footnote>
  <w:footnote w:type="continuationSeparator" w:id="0">
    <w:p w14:paraId="4849DF93" w14:textId="77777777" w:rsidR="006137C0" w:rsidRDefault="006137C0" w:rsidP="00772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A60"/>
    <w:multiLevelType w:val="hybridMultilevel"/>
    <w:tmpl w:val="89144B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0864B29"/>
    <w:multiLevelType w:val="hybridMultilevel"/>
    <w:tmpl w:val="36F26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08209D"/>
    <w:multiLevelType w:val="hybridMultilevel"/>
    <w:tmpl w:val="07082B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75577ED"/>
    <w:multiLevelType w:val="hybridMultilevel"/>
    <w:tmpl w:val="329CE8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870739B"/>
    <w:multiLevelType w:val="hybridMultilevel"/>
    <w:tmpl w:val="2DAEB6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B5F794C"/>
    <w:multiLevelType w:val="hybridMultilevel"/>
    <w:tmpl w:val="67DE19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DA5BB4"/>
    <w:multiLevelType w:val="hybridMultilevel"/>
    <w:tmpl w:val="A052F3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1CD10B0"/>
    <w:multiLevelType w:val="hybridMultilevel"/>
    <w:tmpl w:val="DFE0141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20F6F02"/>
    <w:multiLevelType w:val="hybridMultilevel"/>
    <w:tmpl w:val="FA4E14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AEE62A1"/>
    <w:multiLevelType w:val="hybridMultilevel"/>
    <w:tmpl w:val="6A0604B0"/>
    <w:lvl w:ilvl="0" w:tplc="10090001">
      <w:start w:val="1"/>
      <w:numFmt w:val="bullet"/>
      <w:lvlText w:val=""/>
      <w:lvlJc w:val="left"/>
      <w:pPr>
        <w:ind w:left="895" w:hanging="360"/>
      </w:pPr>
      <w:rPr>
        <w:rFonts w:ascii="Symbol" w:hAnsi="Symbol" w:hint="default"/>
      </w:rPr>
    </w:lvl>
    <w:lvl w:ilvl="1" w:tplc="10090003">
      <w:start w:val="1"/>
      <w:numFmt w:val="bullet"/>
      <w:lvlText w:val="o"/>
      <w:lvlJc w:val="left"/>
      <w:pPr>
        <w:ind w:left="1615" w:hanging="360"/>
      </w:pPr>
      <w:rPr>
        <w:rFonts w:ascii="Courier New" w:hAnsi="Courier New" w:cs="Courier New" w:hint="default"/>
      </w:rPr>
    </w:lvl>
    <w:lvl w:ilvl="2" w:tplc="10090005" w:tentative="1">
      <w:start w:val="1"/>
      <w:numFmt w:val="bullet"/>
      <w:lvlText w:val=""/>
      <w:lvlJc w:val="left"/>
      <w:pPr>
        <w:ind w:left="2335" w:hanging="360"/>
      </w:pPr>
      <w:rPr>
        <w:rFonts w:ascii="Wingdings" w:hAnsi="Wingdings" w:hint="default"/>
      </w:rPr>
    </w:lvl>
    <w:lvl w:ilvl="3" w:tplc="10090001" w:tentative="1">
      <w:start w:val="1"/>
      <w:numFmt w:val="bullet"/>
      <w:lvlText w:val=""/>
      <w:lvlJc w:val="left"/>
      <w:pPr>
        <w:ind w:left="3055" w:hanging="360"/>
      </w:pPr>
      <w:rPr>
        <w:rFonts w:ascii="Symbol" w:hAnsi="Symbol" w:hint="default"/>
      </w:rPr>
    </w:lvl>
    <w:lvl w:ilvl="4" w:tplc="10090003" w:tentative="1">
      <w:start w:val="1"/>
      <w:numFmt w:val="bullet"/>
      <w:lvlText w:val="o"/>
      <w:lvlJc w:val="left"/>
      <w:pPr>
        <w:ind w:left="3775" w:hanging="360"/>
      </w:pPr>
      <w:rPr>
        <w:rFonts w:ascii="Courier New" w:hAnsi="Courier New" w:cs="Courier New" w:hint="default"/>
      </w:rPr>
    </w:lvl>
    <w:lvl w:ilvl="5" w:tplc="10090005" w:tentative="1">
      <w:start w:val="1"/>
      <w:numFmt w:val="bullet"/>
      <w:lvlText w:val=""/>
      <w:lvlJc w:val="left"/>
      <w:pPr>
        <w:ind w:left="4495" w:hanging="360"/>
      </w:pPr>
      <w:rPr>
        <w:rFonts w:ascii="Wingdings" w:hAnsi="Wingdings" w:hint="default"/>
      </w:rPr>
    </w:lvl>
    <w:lvl w:ilvl="6" w:tplc="10090001" w:tentative="1">
      <w:start w:val="1"/>
      <w:numFmt w:val="bullet"/>
      <w:lvlText w:val=""/>
      <w:lvlJc w:val="left"/>
      <w:pPr>
        <w:ind w:left="5215" w:hanging="360"/>
      </w:pPr>
      <w:rPr>
        <w:rFonts w:ascii="Symbol" w:hAnsi="Symbol" w:hint="default"/>
      </w:rPr>
    </w:lvl>
    <w:lvl w:ilvl="7" w:tplc="10090003" w:tentative="1">
      <w:start w:val="1"/>
      <w:numFmt w:val="bullet"/>
      <w:lvlText w:val="o"/>
      <w:lvlJc w:val="left"/>
      <w:pPr>
        <w:ind w:left="5935" w:hanging="360"/>
      </w:pPr>
      <w:rPr>
        <w:rFonts w:ascii="Courier New" w:hAnsi="Courier New" w:cs="Courier New" w:hint="default"/>
      </w:rPr>
    </w:lvl>
    <w:lvl w:ilvl="8" w:tplc="10090005" w:tentative="1">
      <w:start w:val="1"/>
      <w:numFmt w:val="bullet"/>
      <w:lvlText w:val=""/>
      <w:lvlJc w:val="left"/>
      <w:pPr>
        <w:ind w:left="6655" w:hanging="360"/>
      </w:pPr>
      <w:rPr>
        <w:rFonts w:ascii="Wingdings" w:hAnsi="Wingdings" w:hint="default"/>
      </w:rPr>
    </w:lvl>
  </w:abstractNum>
  <w:abstractNum w:abstractNumId="10" w15:restartNumberingAfterBreak="0">
    <w:nsid w:val="1FF70DD0"/>
    <w:multiLevelType w:val="hybridMultilevel"/>
    <w:tmpl w:val="2DAEB6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36C2DC5"/>
    <w:multiLevelType w:val="hybridMultilevel"/>
    <w:tmpl w:val="16F038B6"/>
    <w:lvl w:ilvl="0" w:tplc="10090001">
      <w:start w:val="1"/>
      <w:numFmt w:val="bullet"/>
      <w:lvlText w:val=""/>
      <w:lvlJc w:val="left"/>
      <w:pPr>
        <w:ind w:left="1034" w:hanging="360"/>
      </w:pPr>
      <w:rPr>
        <w:rFonts w:ascii="Symbol" w:hAnsi="Symbol" w:hint="default"/>
      </w:rPr>
    </w:lvl>
    <w:lvl w:ilvl="1" w:tplc="10090003" w:tentative="1">
      <w:start w:val="1"/>
      <w:numFmt w:val="bullet"/>
      <w:lvlText w:val="o"/>
      <w:lvlJc w:val="left"/>
      <w:pPr>
        <w:ind w:left="1754" w:hanging="360"/>
      </w:pPr>
      <w:rPr>
        <w:rFonts w:ascii="Courier New" w:hAnsi="Courier New" w:cs="Courier New" w:hint="default"/>
      </w:rPr>
    </w:lvl>
    <w:lvl w:ilvl="2" w:tplc="10090005" w:tentative="1">
      <w:start w:val="1"/>
      <w:numFmt w:val="bullet"/>
      <w:lvlText w:val=""/>
      <w:lvlJc w:val="left"/>
      <w:pPr>
        <w:ind w:left="2474" w:hanging="360"/>
      </w:pPr>
      <w:rPr>
        <w:rFonts w:ascii="Wingdings" w:hAnsi="Wingdings" w:hint="default"/>
      </w:rPr>
    </w:lvl>
    <w:lvl w:ilvl="3" w:tplc="10090001" w:tentative="1">
      <w:start w:val="1"/>
      <w:numFmt w:val="bullet"/>
      <w:lvlText w:val=""/>
      <w:lvlJc w:val="left"/>
      <w:pPr>
        <w:ind w:left="3194" w:hanging="360"/>
      </w:pPr>
      <w:rPr>
        <w:rFonts w:ascii="Symbol" w:hAnsi="Symbol" w:hint="default"/>
      </w:rPr>
    </w:lvl>
    <w:lvl w:ilvl="4" w:tplc="10090003" w:tentative="1">
      <w:start w:val="1"/>
      <w:numFmt w:val="bullet"/>
      <w:lvlText w:val="o"/>
      <w:lvlJc w:val="left"/>
      <w:pPr>
        <w:ind w:left="3914" w:hanging="360"/>
      </w:pPr>
      <w:rPr>
        <w:rFonts w:ascii="Courier New" w:hAnsi="Courier New" w:cs="Courier New" w:hint="default"/>
      </w:rPr>
    </w:lvl>
    <w:lvl w:ilvl="5" w:tplc="10090005" w:tentative="1">
      <w:start w:val="1"/>
      <w:numFmt w:val="bullet"/>
      <w:lvlText w:val=""/>
      <w:lvlJc w:val="left"/>
      <w:pPr>
        <w:ind w:left="4634" w:hanging="360"/>
      </w:pPr>
      <w:rPr>
        <w:rFonts w:ascii="Wingdings" w:hAnsi="Wingdings" w:hint="default"/>
      </w:rPr>
    </w:lvl>
    <w:lvl w:ilvl="6" w:tplc="10090001" w:tentative="1">
      <w:start w:val="1"/>
      <w:numFmt w:val="bullet"/>
      <w:lvlText w:val=""/>
      <w:lvlJc w:val="left"/>
      <w:pPr>
        <w:ind w:left="5354" w:hanging="360"/>
      </w:pPr>
      <w:rPr>
        <w:rFonts w:ascii="Symbol" w:hAnsi="Symbol" w:hint="default"/>
      </w:rPr>
    </w:lvl>
    <w:lvl w:ilvl="7" w:tplc="10090003" w:tentative="1">
      <w:start w:val="1"/>
      <w:numFmt w:val="bullet"/>
      <w:lvlText w:val="o"/>
      <w:lvlJc w:val="left"/>
      <w:pPr>
        <w:ind w:left="6074" w:hanging="360"/>
      </w:pPr>
      <w:rPr>
        <w:rFonts w:ascii="Courier New" w:hAnsi="Courier New" w:cs="Courier New" w:hint="default"/>
      </w:rPr>
    </w:lvl>
    <w:lvl w:ilvl="8" w:tplc="10090005" w:tentative="1">
      <w:start w:val="1"/>
      <w:numFmt w:val="bullet"/>
      <w:lvlText w:val=""/>
      <w:lvlJc w:val="left"/>
      <w:pPr>
        <w:ind w:left="6794" w:hanging="360"/>
      </w:pPr>
      <w:rPr>
        <w:rFonts w:ascii="Wingdings" w:hAnsi="Wingdings" w:hint="default"/>
      </w:rPr>
    </w:lvl>
  </w:abstractNum>
  <w:abstractNum w:abstractNumId="12" w15:restartNumberingAfterBreak="0">
    <w:nsid w:val="268B499F"/>
    <w:multiLevelType w:val="hybridMultilevel"/>
    <w:tmpl w:val="1B061D8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27EF30CB"/>
    <w:multiLevelType w:val="hybridMultilevel"/>
    <w:tmpl w:val="A1166FB8"/>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8550DA7"/>
    <w:multiLevelType w:val="hybridMultilevel"/>
    <w:tmpl w:val="55F6337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76A0DE6"/>
    <w:multiLevelType w:val="hybridMultilevel"/>
    <w:tmpl w:val="4C16452C"/>
    <w:lvl w:ilvl="0" w:tplc="1A186082">
      <w:start w:val="1"/>
      <w:numFmt w:val="lowerRoman"/>
      <w:lvlText w:val="%1."/>
      <w:lvlJc w:val="left"/>
      <w:pPr>
        <w:ind w:left="1080" w:hanging="72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05D7238"/>
    <w:multiLevelType w:val="hybridMultilevel"/>
    <w:tmpl w:val="249CBC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0AF40B7"/>
    <w:multiLevelType w:val="hybridMultilevel"/>
    <w:tmpl w:val="DCAC76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5B21161"/>
    <w:multiLevelType w:val="hybridMultilevel"/>
    <w:tmpl w:val="DFAC7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6697680"/>
    <w:multiLevelType w:val="hybridMultilevel"/>
    <w:tmpl w:val="1B7E12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6D76620"/>
    <w:multiLevelType w:val="hybridMultilevel"/>
    <w:tmpl w:val="6B30A6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EDC2356"/>
    <w:multiLevelType w:val="hybridMultilevel"/>
    <w:tmpl w:val="3482C4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FF411F8"/>
    <w:multiLevelType w:val="hybridMultilevel"/>
    <w:tmpl w:val="38ACA6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29F5DE5"/>
    <w:multiLevelType w:val="hybridMultilevel"/>
    <w:tmpl w:val="BFFC9B3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5A6194F"/>
    <w:multiLevelType w:val="hybridMultilevel"/>
    <w:tmpl w:val="63DC67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6C75D20"/>
    <w:multiLevelType w:val="hybridMultilevel"/>
    <w:tmpl w:val="0F7EA3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741218E"/>
    <w:multiLevelType w:val="hybridMultilevel"/>
    <w:tmpl w:val="DF3CB5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CDE02E2"/>
    <w:multiLevelType w:val="hybridMultilevel"/>
    <w:tmpl w:val="FA4CDD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D647EF9"/>
    <w:multiLevelType w:val="hybridMultilevel"/>
    <w:tmpl w:val="C1068F32"/>
    <w:lvl w:ilvl="0" w:tplc="1A186082">
      <w:start w:val="1"/>
      <w:numFmt w:val="lowerRoman"/>
      <w:lvlText w:val="%1."/>
      <w:lvlJc w:val="left"/>
      <w:pPr>
        <w:ind w:left="1080" w:hanging="72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E2C189E"/>
    <w:multiLevelType w:val="hybridMultilevel"/>
    <w:tmpl w:val="8926035C"/>
    <w:lvl w:ilvl="0" w:tplc="10090001">
      <w:start w:val="1"/>
      <w:numFmt w:val="bullet"/>
      <w:lvlText w:val=""/>
      <w:lvlJc w:val="left"/>
      <w:pPr>
        <w:ind w:left="720" w:hanging="360"/>
      </w:pPr>
      <w:rPr>
        <w:rFonts w:ascii="Symbol" w:hAnsi="Symbol" w:hint="default"/>
      </w:rPr>
    </w:lvl>
    <w:lvl w:ilvl="1" w:tplc="315044E6">
      <w:start w:val="1"/>
      <w:numFmt w:val="decimal"/>
      <w:lvlText w:val="%2."/>
      <w:lvlJc w:val="left"/>
      <w:pPr>
        <w:ind w:left="1440" w:hanging="360"/>
      </w:pPr>
      <w:rPr>
        <w:rFonts w:hint="default"/>
        <w:lang w:val="fr-CA"/>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01302B6"/>
    <w:multiLevelType w:val="hybridMultilevel"/>
    <w:tmpl w:val="1110EE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27F75EB"/>
    <w:multiLevelType w:val="hybridMultilevel"/>
    <w:tmpl w:val="EB7C7F7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8CB03AB"/>
    <w:multiLevelType w:val="hybridMultilevel"/>
    <w:tmpl w:val="A1166FB8"/>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DF224FD"/>
    <w:multiLevelType w:val="hybridMultilevel"/>
    <w:tmpl w:val="A1166FB8"/>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3A1432F"/>
    <w:multiLevelType w:val="hybridMultilevel"/>
    <w:tmpl w:val="85544A42"/>
    <w:lvl w:ilvl="0" w:tplc="10090011">
      <w:start w:val="1"/>
      <w:numFmt w:val="decimal"/>
      <w:lvlText w:val="%1)"/>
      <w:lvlJc w:val="left"/>
      <w:pPr>
        <w:ind w:left="720" w:hanging="360"/>
      </w:pPr>
      <w:rPr>
        <w:rFonts w:hint="default"/>
      </w:rPr>
    </w:lvl>
    <w:lvl w:ilvl="1" w:tplc="4954A13A">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44B38DD"/>
    <w:multiLevelType w:val="hybridMultilevel"/>
    <w:tmpl w:val="F85694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45F20D3"/>
    <w:multiLevelType w:val="hybridMultilevel"/>
    <w:tmpl w:val="D862B4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88E2827"/>
    <w:multiLevelType w:val="hybridMultilevel"/>
    <w:tmpl w:val="3B5CBC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6"/>
  </w:num>
  <w:num w:numId="4">
    <w:abstractNumId w:val="33"/>
  </w:num>
  <w:num w:numId="5">
    <w:abstractNumId w:val="24"/>
  </w:num>
  <w:num w:numId="6">
    <w:abstractNumId w:val="32"/>
  </w:num>
  <w:num w:numId="7">
    <w:abstractNumId w:val="29"/>
  </w:num>
  <w:num w:numId="8">
    <w:abstractNumId w:val="37"/>
  </w:num>
  <w:num w:numId="9">
    <w:abstractNumId w:val="7"/>
  </w:num>
  <w:num w:numId="10">
    <w:abstractNumId w:val="21"/>
  </w:num>
  <w:num w:numId="11">
    <w:abstractNumId w:val="15"/>
  </w:num>
  <w:num w:numId="12">
    <w:abstractNumId w:val="27"/>
  </w:num>
  <w:num w:numId="13">
    <w:abstractNumId w:val="20"/>
  </w:num>
  <w:num w:numId="14">
    <w:abstractNumId w:val="10"/>
  </w:num>
  <w:num w:numId="15">
    <w:abstractNumId w:val="30"/>
  </w:num>
  <w:num w:numId="16">
    <w:abstractNumId w:val="28"/>
  </w:num>
  <w:num w:numId="17">
    <w:abstractNumId w:val="5"/>
  </w:num>
  <w:num w:numId="18">
    <w:abstractNumId w:val="6"/>
  </w:num>
  <w:num w:numId="19">
    <w:abstractNumId w:val="12"/>
  </w:num>
  <w:num w:numId="20">
    <w:abstractNumId w:val="4"/>
  </w:num>
  <w:num w:numId="21">
    <w:abstractNumId w:val="3"/>
  </w:num>
  <w:num w:numId="22">
    <w:abstractNumId w:val="9"/>
  </w:num>
  <w:num w:numId="23">
    <w:abstractNumId w:val="18"/>
  </w:num>
  <w:num w:numId="24">
    <w:abstractNumId w:val="36"/>
  </w:num>
  <w:num w:numId="25">
    <w:abstractNumId w:val="2"/>
  </w:num>
  <w:num w:numId="26">
    <w:abstractNumId w:val="34"/>
  </w:num>
  <w:num w:numId="27">
    <w:abstractNumId w:val="31"/>
  </w:num>
  <w:num w:numId="28">
    <w:abstractNumId w:val="19"/>
  </w:num>
  <w:num w:numId="29">
    <w:abstractNumId w:val="35"/>
  </w:num>
  <w:num w:numId="30">
    <w:abstractNumId w:val="17"/>
  </w:num>
  <w:num w:numId="31">
    <w:abstractNumId w:val="1"/>
  </w:num>
  <w:num w:numId="32">
    <w:abstractNumId w:val="26"/>
  </w:num>
  <w:num w:numId="33">
    <w:abstractNumId w:val="23"/>
  </w:num>
  <w:num w:numId="34">
    <w:abstractNumId w:val="0"/>
  </w:num>
  <w:num w:numId="35">
    <w:abstractNumId w:val="25"/>
  </w:num>
  <w:num w:numId="36">
    <w:abstractNumId w:val="11"/>
  </w:num>
  <w:num w:numId="37">
    <w:abstractNumId w:val="8"/>
  </w:num>
  <w:num w:numId="3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e Ennis">
    <w15:presenceInfo w15:providerId="AD" w15:userId="S-1-5-21-3874007654-1566841883-3423792957-62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8DB"/>
    <w:rsid w:val="00011077"/>
    <w:rsid w:val="000141B2"/>
    <w:rsid w:val="00031EDE"/>
    <w:rsid w:val="0003279D"/>
    <w:rsid w:val="000403F0"/>
    <w:rsid w:val="00047F96"/>
    <w:rsid w:val="0006154A"/>
    <w:rsid w:val="000625AB"/>
    <w:rsid w:val="0006773C"/>
    <w:rsid w:val="00074A35"/>
    <w:rsid w:val="00076147"/>
    <w:rsid w:val="000944E1"/>
    <w:rsid w:val="000A26D9"/>
    <w:rsid w:val="000A709B"/>
    <w:rsid w:val="000B4466"/>
    <w:rsid w:val="000B7A95"/>
    <w:rsid w:val="000C0E14"/>
    <w:rsid w:val="000C1EFA"/>
    <w:rsid w:val="000E0197"/>
    <w:rsid w:val="000E5083"/>
    <w:rsid w:val="000F3251"/>
    <w:rsid w:val="00122AB3"/>
    <w:rsid w:val="00122BFE"/>
    <w:rsid w:val="00137F5D"/>
    <w:rsid w:val="0014132A"/>
    <w:rsid w:val="00156F54"/>
    <w:rsid w:val="00160226"/>
    <w:rsid w:val="001602BC"/>
    <w:rsid w:val="00182EC1"/>
    <w:rsid w:val="001C39B1"/>
    <w:rsid w:val="001C4DF4"/>
    <w:rsid w:val="001D180D"/>
    <w:rsid w:val="002047B1"/>
    <w:rsid w:val="00216500"/>
    <w:rsid w:val="00223315"/>
    <w:rsid w:val="0023400D"/>
    <w:rsid w:val="00235944"/>
    <w:rsid w:val="002477DC"/>
    <w:rsid w:val="00270155"/>
    <w:rsid w:val="002726DF"/>
    <w:rsid w:val="00294B64"/>
    <w:rsid w:val="002A3132"/>
    <w:rsid w:val="002E3E7D"/>
    <w:rsid w:val="002F1537"/>
    <w:rsid w:val="00304D77"/>
    <w:rsid w:val="00307686"/>
    <w:rsid w:val="00315B4D"/>
    <w:rsid w:val="00361828"/>
    <w:rsid w:val="003729E7"/>
    <w:rsid w:val="00395209"/>
    <w:rsid w:val="003B3261"/>
    <w:rsid w:val="003B6A4A"/>
    <w:rsid w:val="003B7C64"/>
    <w:rsid w:val="003C48AD"/>
    <w:rsid w:val="003E644D"/>
    <w:rsid w:val="004023AD"/>
    <w:rsid w:val="004128DB"/>
    <w:rsid w:val="00420436"/>
    <w:rsid w:val="00433C1D"/>
    <w:rsid w:val="00437FE3"/>
    <w:rsid w:val="00483E0A"/>
    <w:rsid w:val="00484322"/>
    <w:rsid w:val="004862FA"/>
    <w:rsid w:val="00494959"/>
    <w:rsid w:val="004A0E1A"/>
    <w:rsid w:val="004A244B"/>
    <w:rsid w:val="004B14C7"/>
    <w:rsid w:val="004C5855"/>
    <w:rsid w:val="004D23EF"/>
    <w:rsid w:val="004E4F8B"/>
    <w:rsid w:val="004E630C"/>
    <w:rsid w:val="00521424"/>
    <w:rsid w:val="005257FA"/>
    <w:rsid w:val="005370FD"/>
    <w:rsid w:val="0055664B"/>
    <w:rsid w:val="0056683E"/>
    <w:rsid w:val="00570739"/>
    <w:rsid w:val="00585289"/>
    <w:rsid w:val="005B3F9F"/>
    <w:rsid w:val="005B7FAE"/>
    <w:rsid w:val="005C337C"/>
    <w:rsid w:val="005C44EC"/>
    <w:rsid w:val="005D2A2E"/>
    <w:rsid w:val="005E1982"/>
    <w:rsid w:val="005E3698"/>
    <w:rsid w:val="005F4905"/>
    <w:rsid w:val="005F4C7D"/>
    <w:rsid w:val="00605357"/>
    <w:rsid w:val="006137C0"/>
    <w:rsid w:val="006321A1"/>
    <w:rsid w:val="00644C51"/>
    <w:rsid w:val="00654D73"/>
    <w:rsid w:val="00655FA5"/>
    <w:rsid w:val="0066408B"/>
    <w:rsid w:val="006864F3"/>
    <w:rsid w:val="0069134E"/>
    <w:rsid w:val="006A4B42"/>
    <w:rsid w:val="006A765A"/>
    <w:rsid w:val="006E7523"/>
    <w:rsid w:val="006F3260"/>
    <w:rsid w:val="00705CF1"/>
    <w:rsid w:val="00707DFB"/>
    <w:rsid w:val="00717263"/>
    <w:rsid w:val="00740C2E"/>
    <w:rsid w:val="007423C6"/>
    <w:rsid w:val="00747603"/>
    <w:rsid w:val="00766B63"/>
    <w:rsid w:val="0077221F"/>
    <w:rsid w:val="0077378E"/>
    <w:rsid w:val="007865FF"/>
    <w:rsid w:val="007A03A8"/>
    <w:rsid w:val="007A3A33"/>
    <w:rsid w:val="007C111E"/>
    <w:rsid w:val="007C4CDB"/>
    <w:rsid w:val="007C68C3"/>
    <w:rsid w:val="007D716E"/>
    <w:rsid w:val="007E6C4F"/>
    <w:rsid w:val="007E7F24"/>
    <w:rsid w:val="007F5532"/>
    <w:rsid w:val="008128F6"/>
    <w:rsid w:val="00816E8A"/>
    <w:rsid w:val="00820538"/>
    <w:rsid w:val="0084465B"/>
    <w:rsid w:val="00874741"/>
    <w:rsid w:val="008819B2"/>
    <w:rsid w:val="00890A27"/>
    <w:rsid w:val="00894F5B"/>
    <w:rsid w:val="008A02F2"/>
    <w:rsid w:val="008B63A7"/>
    <w:rsid w:val="008C0D09"/>
    <w:rsid w:val="00904DD5"/>
    <w:rsid w:val="0090511E"/>
    <w:rsid w:val="00950D7B"/>
    <w:rsid w:val="00970C27"/>
    <w:rsid w:val="00983150"/>
    <w:rsid w:val="00993C76"/>
    <w:rsid w:val="009A11A1"/>
    <w:rsid w:val="009A766F"/>
    <w:rsid w:val="009C1250"/>
    <w:rsid w:val="009C2727"/>
    <w:rsid w:val="009D46BD"/>
    <w:rsid w:val="009E0E33"/>
    <w:rsid w:val="009E1CD5"/>
    <w:rsid w:val="009E2A7A"/>
    <w:rsid w:val="009F420E"/>
    <w:rsid w:val="009F699D"/>
    <w:rsid w:val="00A20BE4"/>
    <w:rsid w:val="00A33DAA"/>
    <w:rsid w:val="00A80F50"/>
    <w:rsid w:val="00A833D4"/>
    <w:rsid w:val="00AB59EF"/>
    <w:rsid w:val="00AD07FC"/>
    <w:rsid w:val="00AD79DF"/>
    <w:rsid w:val="00B0393E"/>
    <w:rsid w:val="00B300ED"/>
    <w:rsid w:val="00B335AD"/>
    <w:rsid w:val="00B335B5"/>
    <w:rsid w:val="00B34A5D"/>
    <w:rsid w:val="00B53FCD"/>
    <w:rsid w:val="00B74128"/>
    <w:rsid w:val="00B845C1"/>
    <w:rsid w:val="00BA2EE8"/>
    <w:rsid w:val="00BA44CE"/>
    <w:rsid w:val="00BB4AF8"/>
    <w:rsid w:val="00BC66F5"/>
    <w:rsid w:val="00C060A3"/>
    <w:rsid w:val="00C124DF"/>
    <w:rsid w:val="00C44165"/>
    <w:rsid w:val="00C73108"/>
    <w:rsid w:val="00C82535"/>
    <w:rsid w:val="00C96EF9"/>
    <w:rsid w:val="00CA2B3F"/>
    <w:rsid w:val="00CA614F"/>
    <w:rsid w:val="00CE1498"/>
    <w:rsid w:val="00CF15BA"/>
    <w:rsid w:val="00CF237C"/>
    <w:rsid w:val="00D14356"/>
    <w:rsid w:val="00D25C78"/>
    <w:rsid w:val="00D3397A"/>
    <w:rsid w:val="00D51AA4"/>
    <w:rsid w:val="00D5610C"/>
    <w:rsid w:val="00D662D6"/>
    <w:rsid w:val="00D77391"/>
    <w:rsid w:val="00DC219A"/>
    <w:rsid w:val="00DD3486"/>
    <w:rsid w:val="00DD4B3A"/>
    <w:rsid w:val="00DE7E10"/>
    <w:rsid w:val="00DF4852"/>
    <w:rsid w:val="00E47C48"/>
    <w:rsid w:val="00E542CD"/>
    <w:rsid w:val="00E62ADB"/>
    <w:rsid w:val="00E77650"/>
    <w:rsid w:val="00E801FF"/>
    <w:rsid w:val="00EC3F79"/>
    <w:rsid w:val="00ED4925"/>
    <w:rsid w:val="00EE1229"/>
    <w:rsid w:val="00EE5F8D"/>
    <w:rsid w:val="00EF1512"/>
    <w:rsid w:val="00EF35E3"/>
    <w:rsid w:val="00F22F22"/>
    <w:rsid w:val="00F2582D"/>
    <w:rsid w:val="00F337B7"/>
    <w:rsid w:val="00F34D06"/>
    <w:rsid w:val="00F420FB"/>
    <w:rsid w:val="00F42158"/>
    <w:rsid w:val="00F64EE0"/>
    <w:rsid w:val="00F81A38"/>
    <w:rsid w:val="00F940F8"/>
    <w:rsid w:val="00FA33B2"/>
    <w:rsid w:val="00FC7923"/>
    <w:rsid w:val="00FE0BB4"/>
    <w:rsid w:val="00FE49AE"/>
    <w:rsid w:val="00FE5C22"/>
    <w:rsid w:val="00FF5E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481A"/>
  <w15:docId w15:val="{D947FE27-46C3-4B75-B74A-B22701EB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8DB"/>
    <w:rPr>
      <w:rFonts w:ascii="Tahoma" w:hAnsi="Tahoma" w:cs="Tahoma"/>
      <w:sz w:val="16"/>
      <w:szCs w:val="16"/>
    </w:rPr>
  </w:style>
  <w:style w:type="character" w:styleId="CommentReference">
    <w:name w:val="annotation reference"/>
    <w:basedOn w:val="DefaultParagraphFont"/>
    <w:uiPriority w:val="99"/>
    <w:semiHidden/>
    <w:unhideWhenUsed/>
    <w:rsid w:val="004128DB"/>
    <w:rPr>
      <w:sz w:val="16"/>
      <w:szCs w:val="16"/>
    </w:rPr>
  </w:style>
  <w:style w:type="paragraph" w:styleId="CommentText">
    <w:name w:val="annotation text"/>
    <w:basedOn w:val="Normal"/>
    <w:link w:val="CommentTextChar"/>
    <w:uiPriority w:val="99"/>
    <w:semiHidden/>
    <w:unhideWhenUsed/>
    <w:rsid w:val="004128DB"/>
    <w:pPr>
      <w:spacing w:line="240" w:lineRule="auto"/>
    </w:pPr>
    <w:rPr>
      <w:sz w:val="20"/>
      <w:szCs w:val="20"/>
    </w:rPr>
  </w:style>
  <w:style w:type="character" w:customStyle="1" w:styleId="CommentTextChar">
    <w:name w:val="Comment Text Char"/>
    <w:basedOn w:val="DefaultParagraphFont"/>
    <w:link w:val="CommentText"/>
    <w:uiPriority w:val="99"/>
    <w:semiHidden/>
    <w:rsid w:val="004128DB"/>
    <w:rPr>
      <w:sz w:val="20"/>
      <w:szCs w:val="20"/>
    </w:rPr>
  </w:style>
  <w:style w:type="paragraph" w:styleId="CommentSubject">
    <w:name w:val="annotation subject"/>
    <w:basedOn w:val="CommentText"/>
    <w:next w:val="CommentText"/>
    <w:link w:val="CommentSubjectChar"/>
    <w:uiPriority w:val="99"/>
    <w:semiHidden/>
    <w:unhideWhenUsed/>
    <w:rsid w:val="004128DB"/>
    <w:rPr>
      <w:b/>
      <w:bCs/>
    </w:rPr>
  </w:style>
  <w:style w:type="character" w:customStyle="1" w:styleId="CommentSubjectChar">
    <w:name w:val="Comment Subject Char"/>
    <w:basedOn w:val="CommentTextChar"/>
    <w:link w:val="CommentSubject"/>
    <w:uiPriority w:val="99"/>
    <w:semiHidden/>
    <w:rsid w:val="004128DB"/>
    <w:rPr>
      <w:b/>
      <w:bCs/>
      <w:sz w:val="20"/>
      <w:szCs w:val="20"/>
    </w:rPr>
  </w:style>
  <w:style w:type="paragraph" w:styleId="ListParagraph">
    <w:name w:val="List Paragraph"/>
    <w:basedOn w:val="Normal"/>
    <w:uiPriority w:val="34"/>
    <w:qFormat/>
    <w:rsid w:val="004128DB"/>
    <w:pPr>
      <w:ind w:left="720"/>
      <w:contextualSpacing/>
    </w:pPr>
  </w:style>
  <w:style w:type="character" w:styleId="Hyperlink">
    <w:name w:val="Hyperlink"/>
    <w:basedOn w:val="DefaultParagraphFont"/>
    <w:uiPriority w:val="99"/>
    <w:unhideWhenUsed/>
    <w:rsid w:val="00270155"/>
    <w:rPr>
      <w:color w:val="0000FF" w:themeColor="hyperlink"/>
      <w:u w:val="single"/>
    </w:rPr>
  </w:style>
  <w:style w:type="character" w:styleId="FollowedHyperlink">
    <w:name w:val="FollowedHyperlink"/>
    <w:basedOn w:val="DefaultParagraphFont"/>
    <w:uiPriority w:val="99"/>
    <w:semiHidden/>
    <w:unhideWhenUsed/>
    <w:rsid w:val="009E2A7A"/>
    <w:rPr>
      <w:color w:val="800080" w:themeColor="followedHyperlink"/>
      <w:u w:val="single"/>
    </w:rPr>
  </w:style>
  <w:style w:type="paragraph" w:styleId="Header">
    <w:name w:val="header"/>
    <w:basedOn w:val="Normal"/>
    <w:link w:val="HeaderChar"/>
    <w:uiPriority w:val="99"/>
    <w:unhideWhenUsed/>
    <w:rsid w:val="00772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21F"/>
  </w:style>
  <w:style w:type="paragraph" w:styleId="Footer">
    <w:name w:val="footer"/>
    <w:basedOn w:val="Normal"/>
    <w:link w:val="FooterChar"/>
    <w:uiPriority w:val="99"/>
    <w:unhideWhenUsed/>
    <w:rsid w:val="00772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21F"/>
  </w:style>
  <w:style w:type="paragraph" w:styleId="NormalWeb">
    <w:name w:val="Normal (Web)"/>
    <w:basedOn w:val="Normal"/>
    <w:uiPriority w:val="99"/>
    <w:semiHidden/>
    <w:unhideWhenUsed/>
    <w:rsid w:val="00047F96"/>
    <w:pPr>
      <w:spacing w:before="100" w:beforeAutospacing="1" w:after="100" w:afterAutospacing="1" w:line="240" w:lineRule="auto"/>
    </w:pPr>
    <w:rPr>
      <w:rFonts w:ascii="Times New Roman" w:eastAsiaTheme="minorEastAsia" w:hAnsi="Times New Roman" w:cs="Times New Roman"/>
      <w:sz w:val="24"/>
      <w:szCs w:val="24"/>
      <w:lang w:eastAsia="en-CA"/>
    </w:rPr>
  </w:style>
  <w:style w:type="table" w:styleId="TableGrid">
    <w:name w:val="Table Grid"/>
    <w:basedOn w:val="TableNormal"/>
    <w:uiPriority w:val="59"/>
    <w:rsid w:val="006A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963771">
      <w:bodyDiv w:val="1"/>
      <w:marLeft w:val="0"/>
      <w:marRight w:val="0"/>
      <w:marTop w:val="0"/>
      <w:marBottom w:val="0"/>
      <w:divBdr>
        <w:top w:val="none" w:sz="0" w:space="0" w:color="auto"/>
        <w:left w:val="none" w:sz="0" w:space="0" w:color="auto"/>
        <w:bottom w:val="none" w:sz="0" w:space="0" w:color="auto"/>
        <w:right w:val="none" w:sz="0" w:space="0" w:color="auto"/>
      </w:divBdr>
    </w:div>
    <w:div w:id="330566515">
      <w:bodyDiv w:val="1"/>
      <w:marLeft w:val="0"/>
      <w:marRight w:val="0"/>
      <w:marTop w:val="0"/>
      <w:marBottom w:val="0"/>
      <w:divBdr>
        <w:top w:val="none" w:sz="0" w:space="0" w:color="auto"/>
        <w:left w:val="none" w:sz="0" w:space="0" w:color="auto"/>
        <w:bottom w:val="none" w:sz="0" w:space="0" w:color="auto"/>
        <w:right w:val="none" w:sz="0" w:space="0" w:color="auto"/>
      </w:divBdr>
    </w:div>
    <w:div w:id="404038313">
      <w:bodyDiv w:val="1"/>
      <w:marLeft w:val="0"/>
      <w:marRight w:val="0"/>
      <w:marTop w:val="0"/>
      <w:marBottom w:val="0"/>
      <w:divBdr>
        <w:top w:val="none" w:sz="0" w:space="0" w:color="auto"/>
        <w:left w:val="none" w:sz="0" w:space="0" w:color="auto"/>
        <w:bottom w:val="none" w:sz="0" w:space="0" w:color="auto"/>
        <w:right w:val="none" w:sz="0" w:space="0" w:color="auto"/>
      </w:divBdr>
    </w:div>
    <w:div w:id="657342441">
      <w:bodyDiv w:val="1"/>
      <w:marLeft w:val="0"/>
      <w:marRight w:val="0"/>
      <w:marTop w:val="0"/>
      <w:marBottom w:val="0"/>
      <w:divBdr>
        <w:top w:val="none" w:sz="0" w:space="0" w:color="auto"/>
        <w:left w:val="none" w:sz="0" w:space="0" w:color="auto"/>
        <w:bottom w:val="none" w:sz="0" w:space="0" w:color="auto"/>
        <w:right w:val="none" w:sz="0" w:space="0" w:color="auto"/>
      </w:divBdr>
    </w:div>
    <w:div w:id="959336565">
      <w:bodyDiv w:val="1"/>
      <w:marLeft w:val="0"/>
      <w:marRight w:val="0"/>
      <w:marTop w:val="0"/>
      <w:marBottom w:val="0"/>
      <w:divBdr>
        <w:top w:val="none" w:sz="0" w:space="0" w:color="auto"/>
        <w:left w:val="none" w:sz="0" w:space="0" w:color="auto"/>
        <w:bottom w:val="none" w:sz="0" w:space="0" w:color="auto"/>
        <w:right w:val="none" w:sz="0" w:space="0" w:color="auto"/>
      </w:divBdr>
      <w:divsChild>
        <w:div w:id="1026904935">
          <w:marLeft w:val="547"/>
          <w:marRight w:val="0"/>
          <w:marTop w:val="91"/>
          <w:marBottom w:val="0"/>
          <w:divBdr>
            <w:top w:val="none" w:sz="0" w:space="0" w:color="auto"/>
            <w:left w:val="none" w:sz="0" w:space="0" w:color="auto"/>
            <w:bottom w:val="none" w:sz="0" w:space="0" w:color="auto"/>
            <w:right w:val="none" w:sz="0" w:space="0" w:color="auto"/>
          </w:divBdr>
        </w:div>
      </w:divsChild>
    </w:div>
    <w:div w:id="1058625966">
      <w:bodyDiv w:val="1"/>
      <w:marLeft w:val="0"/>
      <w:marRight w:val="0"/>
      <w:marTop w:val="0"/>
      <w:marBottom w:val="0"/>
      <w:divBdr>
        <w:top w:val="none" w:sz="0" w:space="0" w:color="auto"/>
        <w:left w:val="none" w:sz="0" w:space="0" w:color="auto"/>
        <w:bottom w:val="none" w:sz="0" w:space="0" w:color="auto"/>
        <w:right w:val="none" w:sz="0" w:space="0" w:color="auto"/>
      </w:divBdr>
    </w:div>
    <w:div w:id="1133249089">
      <w:bodyDiv w:val="1"/>
      <w:marLeft w:val="0"/>
      <w:marRight w:val="0"/>
      <w:marTop w:val="0"/>
      <w:marBottom w:val="0"/>
      <w:divBdr>
        <w:top w:val="none" w:sz="0" w:space="0" w:color="auto"/>
        <w:left w:val="none" w:sz="0" w:space="0" w:color="auto"/>
        <w:bottom w:val="none" w:sz="0" w:space="0" w:color="auto"/>
        <w:right w:val="none" w:sz="0" w:space="0" w:color="auto"/>
      </w:divBdr>
    </w:div>
    <w:div w:id="1526559902">
      <w:bodyDiv w:val="1"/>
      <w:marLeft w:val="0"/>
      <w:marRight w:val="0"/>
      <w:marTop w:val="0"/>
      <w:marBottom w:val="0"/>
      <w:divBdr>
        <w:top w:val="none" w:sz="0" w:space="0" w:color="auto"/>
        <w:left w:val="none" w:sz="0" w:space="0" w:color="auto"/>
        <w:bottom w:val="none" w:sz="0" w:space="0" w:color="auto"/>
        <w:right w:val="none" w:sz="0" w:space="0" w:color="auto"/>
      </w:divBdr>
    </w:div>
    <w:div w:id="1592155396">
      <w:bodyDiv w:val="1"/>
      <w:marLeft w:val="0"/>
      <w:marRight w:val="0"/>
      <w:marTop w:val="0"/>
      <w:marBottom w:val="0"/>
      <w:divBdr>
        <w:top w:val="none" w:sz="0" w:space="0" w:color="auto"/>
        <w:left w:val="none" w:sz="0" w:space="0" w:color="auto"/>
        <w:bottom w:val="none" w:sz="0" w:space="0" w:color="auto"/>
        <w:right w:val="none" w:sz="0" w:space="0" w:color="auto"/>
      </w:divBdr>
    </w:div>
    <w:div w:id="1792550483">
      <w:bodyDiv w:val="1"/>
      <w:marLeft w:val="0"/>
      <w:marRight w:val="0"/>
      <w:marTop w:val="0"/>
      <w:marBottom w:val="0"/>
      <w:divBdr>
        <w:top w:val="none" w:sz="0" w:space="0" w:color="auto"/>
        <w:left w:val="none" w:sz="0" w:space="0" w:color="auto"/>
        <w:bottom w:val="none" w:sz="0" w:space="0" w:color="auto"/>
        <w:right w:val="none" w:sz="0" w:space="0" w:color="auto"/>
      </w:divBdr>
    </w:div>
    <w:div w:id="1930775434">
      <w:bodyDiv w:val="1"/>
      <w:marLeft w:val="0"/>
      <w:marRight w:val="0"/>
      <w:marTop w:val="0"/>
      <w:marBottom w:val="0"/>
      <w:divBdr>
        <w:top w:val="none" w:sz="0" w:space="0" w:color="auto"/>
        <w:left w:val="none" w:sz="0" w:space="0" w:color="auto"/>
        <w:bottom w:val="none" w:sz="0" w:space="0" w:color="auto"/>
        <w:right w:val="none" w:sz="0" w:space="0" w:color="auto"/>
      </w:divBdr>
    </w:div>
    <w:div w:id="207627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b18d19c9-f0d4-455b-b3eb-4cc38d6a3c53" TargetMode="External"/><Relationship Id="rId13" Type="http://schemas.openxmlformats.org/officeDocument/2006/relationships/hyperlink" Target="https://www.canada.ca/fr/sante-canada/services/aliments-nutrition/surveillance-aliments-nutrition/sondages-sante-nutrition/enquete-sante-collectivites-canadiennes-escc/guide-reference-comprendre-utiliser-donnees-2015.html" TargetMode="External"/><Relationship Id="rId18" Type="http://schemas.openxmlformats.org/officeDocument/2006/relationships/hyperlink" Target="https://www.canada.ca/en/health-canada/services/food-nutrition/food-nutrition-surveillance/health-nutrition-surveys/canadian-community-health-survey-cchs/reference-guide-understanding-using-data-2015.html" TargetMode="External"/><Relationship Id="rId26" Type="http://schemas.openxmlformats.org/officeDocument/2006/relationships/hyperlink" Target="https://www.nap.edu/catalog/11537/dietary-reference-intakes-the-essential-guide-to-nutrient-requirements"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canada.ca/en/health-canada/services/food-nutrition/food-nutrition-surveillance/health-nutrition-surveys/canadian-community-health-survey-cchs/reference-guide-understanding-using-data-2015.html" TargetMode="External"/><Relationship Id="rId34" Type="http://schemas.openxmlformats.org/officeDocument/2006/relationships/hyperlink" Target="https://www.canada.ca/en/health-canada/services/publications/food-nutrition/sodium-intake-canadians-2017.html" TargetMode="External"/><Relationship Id="rId7" Type="http://schemas.openxmlformats.org/officeDocument/2006/relationships/endnotes" Target="endnotes.xml"/><Relationship Id="rId12" Type="http://schemas.openxmlformats.org/officeDocument/2006/relationships/hyperlink" Target="https://www.canada.ca/en/health-canada/services/food-nutrition/food-nutrition-surveillance/health-nutrition-surveys/canadian-community-health-survey-cchs/compendium-data-tables-intakes-energy-nutrients-other-food.html" TargetMode="External"/><Relationship Id="rId17" Type="http://schemas.openxmlformats.org/officeDocument/2006/relationships/hyperlink" Target="https://www.canada.ca/en/health-canada/services/food-nutrition/healthy-eating/dietary-reference-intakes.html" TargetMode="External"/><Relationship Id="rId25" Type="http://schemas.openxmlformats.org/officeDocument/2006/relationships/hyperlink" Target="http://www.nationalacademies.org/hmd/Reports/2017/guiding-principles-for-developing-dietary-reference-intakes-based-on-chronic-disease.aspx" TargetMode="External"/><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anada.ca/en/health-canada/services/food-nutrition/food-nutrition-surveillance/health-nutrition-surveys/canadian-community-health-survey-cchs/2015-canadian-community-health-survey-nutrition-food-nutrition-surveillance.html" TargetMode="External"/><Relationship Id="rId20" Type="http://schemas.openxmlformats.org/officeDocument/2006/relationships/hyperlink" Target="https://www.canada.ca/en/health-canada/services/food-nutrition/food-nutrition-surveillance/health-nutrition-surveys/canadian-community-health-survey-cchs/compendium-data-tables-intakes-energy-nutrients-other-food.html"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ada.ca/en/health-canada/services/food-nutrition/food-nutrition-surveillance/health-nutrition-surveys/canadian-community-health-survey-cchs/reference-guide-understanding-using-data-2015.html" TargetMode="External"/><Relationship Id="rId24" Type="http://schemas.openxmlformats.org/officeDocument/2006/relationships/hyperlink" Target="https://www.canada.ca/en/health-canada/services/food-nutrition/food-nutrition-surveillance/health-nutrition-surveys/canadian-community-health-survey-cchs/reference-guide-understanding-using-data-2015.html" TargetMode="External"/><Relationship Id="rId32" Type="http://schemas.openxmlformats.org/officeDocument/2006/relationships/image" Target="media/image1.png"/><Relationship Id="rId37" Type="http://schemas.openxmlformats.org/officeDocument/2006/relationships/hyperlink" Target="https://guide-alimentaire.canada.ca/fr/directrice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www.canada.ca/en/health-canada/services/food-nutrition/food-nutrition-surveillance/health-nutrition-surveys/canadian-community-health-survey-cchs/reference-guide-understanding-using-data-2015.html" TargetMode="External"/><Relationship Id="rId28" Type="http://schemas.openxmlformats.org/officeDocument/2006/relationships/comments" Target="comments.xml"/><Relationship Id="rId36" Type="http://schemas.openxmlformats.org/officeDocument/2006/relationships/hyperlink" Target="https://food-guide.canada.ca/en/guidelines/" TargetMode="External"/><Relationship Id="rId10" Type="http://schemas.openxmlformats.org/officeDocument/2006/relationships/hyperlink" Target="https://infobase.phac-aspc.gc.ca/index-en.html" TargetMode="External"/><Relationship Id="rId19" Type="http://schemas.openxmlformats.org/officeDocument/2006/relationships/hyperlink" Target="https://www.canada.ca/en/health-canada/services/food-nutrition/food-nutrition-surveillance/health-nutrition-surveys/canadian-community-health-survey-cchs/compendium-data-tables-intakes-energy-nutrients-other-food.html" TargetMode="External"/><Relationship Id="rId31" Type="http://schemas.openxmlformats.org/officeDocument/2006/relationships/hyperlink" Target="https://www.canada.ca/fr/sante-canada/services/aliments-nutrition/surveillance-aliments-nutrition/sondages-sante-nutrition/enquete-sante-collectivites-canadiennes-escc/compendium-tableaux-donnees-apports-energie-nutriments-autres-aliments.html" TargetMode="External"/><Relationship Id="rId4" Type="http://schemas.openxmlformats.org/officeDocument/2006/relationships/settings" Target="settings.xml"/><Relationship Id="rId9" Type="http://schemas.openxmlformats.org/officeDocument/2006/relationships/hyperlink" Target="https://www.canada.ca/en/health-canada/services/food-nutrition/food-nutrition-surveillance/canada-nutrition-atlas.html" TargetMode="External"/><Relationship Id="rId14" Type="http://schemas.openxmlformats.org/officeDocument/2006/relationships/hyperlink" Target="https://www.canada.ca/fr/sante-canada/services/aliments-nutrition/surveillance-aliments-nutrition/sondages-sante-nutrition/enquete-sante-collectivites-canadiennes-escc/compendium-tableaux-donnees-apports-energie-nutriments-autres-aliments.html" TargetMode="External"/><Relationship Id="rId22" Type="http://schemas.openxmlformats.org/officeDocument/2006/relationships/hyperlink" Target="https://www.canada.ca/en/health-canada/services/food-nutrition/food-nutrition-surveillance/health-nutrition-surveys/canadian-community-health-survey-cchs/reference-guide-understanding-using-data-2015.html" TargetMode="External"/><Relationship Id="rId27" Type="http://schemas.openxmlformats.org/officeDocument/2006/relationships/hyperlink" Target="https://www.nap.edu/catalog/25353/dietary-reference-intakes-for-sodium-and-potassium" TargetMode="External"/><Relationship Id="rId30" Type="http://schemas.openxmlformats.org/officeDocument/2006/relationships/hyperlink" Target="https://www.canada.ca/en/health-canada/services/food-nutrition/food-nutrition-surveillance/health-nutrition-surveys/canadian-community-health-survey-cchs/compendium-data-tables-intakes-energy-nutrients-other-food.html" TargetMode="External"/><Relationship Id="rId35" Type="http://schemas.openxmlformats.org/officeDocument/2006/relationships/hyperlink" Target="https://www.canada.ca/fr/sante-canada/services/publications/aliments-et-nutrition/sodium-chez-canadiens-20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9705F-FBC9-4A25-BC3B-1189FD5FC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19</Pages>
  <Words>5867</Words>
  <Characters>33444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39233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Ennis</dc:creator>
  <cp:lastModifiedBy>Julie Ennis</cp:lastModifiedBy>
  <cp:revision>8</cp:revision>
  <cp:lastPrinted>2019-12-19T19:12:00Z</cp:lastPrinted>
  <dcterms:created xsi:type="dcterms:W3CDTF">2020-02-27T13:50:00Z</dcterms:created>
  <dcterms:modified xsi:type="dcterms:W3CDTF">2020-02-28T15:39:00Z</dcterms:modified>
</cp:coreProperties>
</file>