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047A" w14:textId="77777777" w:rsidR="000C26DD" w:rsidRPr="00020BB6" w:rsidRDefault="000C26DD" w:rsidP="00020BB6">
      <w:pPr>
        <w:pStyle w:val="Title"/>
      </w:pPr>
    </w:p>
    <w:p w14:paraId="777D4B02" w14:textId="77777777" w:rsidR="000C26DD" w:rsidRDefault="000C26DD" w:rsidP="00514566">
      <w:pPr>
        <w:pStyle w:val="Title"/>
      </w:pPr>
    </w:p>
    <w:p w14:paraId="30454D0A" w14:textId="77777777" w:rsidR="000C26DD" w:rsidRDefault="000C26DD" w:rsidP="00514566">
      <w:pPr>
        <w:pStyle w:val="Title"/>
      </w:pPr>
    </w:p>
    <w:p w14:paraId="0FA90D5A" w14:textId="77777777" w:rsidR="000C26DD" w:rsidRDefault="000C26DD" w:rsidP="00514566">
      <w:pPr>
        <w:pStyle w:val="Title"/>
      </w:pPr>
    </w:p>
    <w:p w14:paraId="27A8A504" w14:textId="77777777" w:rsidR="000C26DD" w:rsidRDefault="000C26DD" w:rsidP="00514566">
      <w:pPr>
        <w:pStyle w:val="Title"/>
      </w:pPr>
    </w:p>
    <w:p w14:paraId="26A64798" w14:textId="77777777" w:rsidR="00020BB6" w:rsidRDefault="00020BB6" w:rsidP="00CE4FB6">
      <w:pPr>
        <w:pStyle w:val="Title"/>
        <w:rPr>
          <w:rFonts w:cs="Arial"/>
        </w:rPr>
      </w:pPr>
    </w:p>
    <w:p w14:paraId="53471F7C" w14:textId="77777777" w:rsidR="00020BB6" w:rsidRDefault="00020BB6" w:rsidP="00CE4FB6">
      <w:pPr>
        <w:pStyle w:val="Title"/>
        <w:rPr>
          <w:rFonts w:cs="Arial"/>
        </w:rPr>
      </w:pPr>
    </w:p>
    <w:p w14:paraId="134143D2" w14:textId="5415616B" w:rsidR="000F0A71" w:rsidRDefault="00514566" w:rsidP="00CE4FB6">
      <w:pPr>
        <w:pStyle w:val="Title"/>
        <w:rPr>
          <w:rFonts w:cs="Arial"/>
        </w:rPr>
      </w:pPr>
      <w:r>
        <w:t>Incident Response Program Template - Instructions</w:t>
      </w:r>
    </w:p>
    <w:p w14:paraId="0C080127" w14:textId="1CB8611C" w:rsidR="00514566" w:rsidRDefault="00533DC6" w:rsidP="00BA7709">
      <w:pPr>
        <w:pStyle w:val="Subtitle"/>
        <w:rPr>
          <w:rFonts w:cs="Arial"/>
        </w:rPr>
      </w:pPr>
      <w:r/>
    </w:p>
    <w:p w14:paraId="0031AEC1" w14:textId="77777777" w:rsidR="00533DC6" w:rsidRDefault="00533DC6" w:rsidP="00533DC6"/>
    <w:p w14:paraId="4BAA66AB" w14:textId="77777777" w:rsidR="00533DC6" w:rsidRDefault="00533DC6" w:rsidP="00533DC6"/>
    <w:p w14:paraId="7FBA8CB2" w14:textId="77777777" w:rsidR="00533DC6" w:rsidRDefault="00533DC6" w:rsidP="00533DC6"/>
    <w:p w14:paraId="504D1CEA" w14:textId="77777777" w:rsidR="00533DC6" w:rsidRDefault="00533DC6" w:rsidP="00533DC6"/>
    <w:p w14:paraId="7987D1F8" w14:textId="77777777" w:rsidR="00533DC6" w:rsidRDefault="00533DC6" w:rsidP="00533DC6"/>
    <w:p w14:paraId="1040DBFB" w14:textId="77777777" w:rsidR="00533DC6" w:rsidRDefault="00533DC6" w:rsidP="00533DC6"/>
    <w:p w14:paraId="7E9D3FEA" w14:textId="77777777" w:rsidR="00533DC6" w:rsidRDefault="00533DC6" w:rsidP="00533DC6"/>
    <w:p w14:paraId="214F5EAD" w14:textId="77777777" w:rsidR="00533DC6" w:rsidRDefault="00533DC6" w:rsidP="00533DC6"/>
    <w:p w14:paraId="1A7D7771" w14:textId="77777777" w:rsidR="00533DC6" w:rsidRDefault="00533DC6" w:rsidP="00533DC6"/>
    <w:p w14:paraId="12344B5F" w14:textId="77777777" w:rsidR="00533DC6" w:rsidRDefault="00533DC6" w:rsidP="00533DC6"/>
    <w:p w14:paraId="51281775" w14:textId="77777777" w:rsidR="00533DC6" w:rsidRDefault="00533DC6" w:rsidP="00533DC6"/>
    <w:p w14:paraId="73CE177F" w14:textId="77777777" w:rsidR="00533DC6" w:rsidRDefault="00533DC6" w:rsidP="00533DC6"/>
    <w:p w14:paraId="743C0C66" w14:textId="77777777" w:rsidR="00533DC6" w:rsidRDefault="00533DC6" w:rsidP="00533DC6"/>
    <w:p w14:paraId="3484F785" w14:textId="77777777" w:rsidR="00533DC6" w:rsidRDefault="00533DC6" w:rsidP="00533DC6"/>
    <w:p w14:paraId="0016AD9E" w14:textId="77777777" w:rsidR="00533DC6" w:rsidRDefault="00533DC6" w:rsidP="00533DC6"/>
    <w:p w14:paraId="3F90DF08" w14:textId="77777777" w:rsidR="00533DC6" w:rsidRDefault="00533DC6" w:rsidP="00533DC6"/>
    <w:p w14:paraId="444346F9" w14:textId="77777777" w:rsidR="00533DC6" w:rsidRDefault="00533DC6" w:rsidP="00533DC6"/>
    <w:p w14:paraId="6D1021A4" w14:textId="77777777" w:rsidR="00533DC6" w:rsidRDefault="00533DC6" w:rsidP="00533DC6"/>
    <w:p w14:paraId="30C1C769" w14:textId="77777777" w:rsidR="00533DC6" w:rsidRDefault="00533DC6" w:rsidP="00533DC6"/>
    <w:p w14:paraId="0130B2D7" w14:textId="77777777" w:rsidR="00533DC6" w:rsidRDefault="00533DC6" w:rsidP="00533DC6"/>
    <w:p w14:paraId="539DC217" w14:textId="77777777" w:rsidR="00533DC6" w:rsidRDefault="00533DC6" w:rsidP="00533DC6"/>
    <w:p w14:paraId="6FD40742" w14:textId="77777777" w:rsidR="00020BB6" w:rsidRDefault="00020BB6" w:rsidP="00533DC6"/>
    <w:p w14:paraId="6856E414" w14:textId="77777777" w:rsidR="00020BB6" w:rsidRDefault="00020BB6" w:rsidP="00533DC6"/>
    <w:p w14:paraId="7BF12FCF" w14:textId="77777777" w:rsidR="00020BB6" w:rsidRDefault="00020BB6" w:rsidP="00533DC6"/>
    <w:p w14:paraId="732861C0" w14:textId="77777777" w:rsidR="00020BB6" w:rsidRDefault="00020BB6" w:rsidP="00533DC6"/>
    <w:p w14:paraId="47010FF9" w14:textId="77777777" w:rsidR="00020BB6" w:rsidRDefault="00020BB6" w:rsidP="00533DC6"/>
    <w:p w14:paraId="381A40F1" w14:textId="6F3B0A25" w:rsidR="00533DC6" w:rsidRPr="00533DC6" w:rsidRDefault="00533DC6" w:rsidP="00533DC6">
      <w:r/>
    </w:p>
    <w:p w14:paraId="62B8305F" w14:textId="574EECC7" w:rsidR="006E089E" w:rsidRDefault="006E089E">
      <w:r>
        <w:br w:type="page"/>
      </w:r>
    </w:p>
    <w:p>
      <w:pPr>
        <w:pStyle w:val="Heading1"/>
        <w:spacing w:after="240"/>
      </w:pPr>
      <w:r>
        <w:t>Incident Response Program Template - Instructions</w:t>
      </w:r>
    </w:p>
    <w:p>
      <w:pPr>
        <w:pStyle w:val="Heading2"/>
        <w:spacing w:after="240"/>
      </w:pPr>
      <w:r>
        <w:t>Document Purpose</w:t>
      </w:r>
    </w:p>
    <w:p>
      <w:pPr>
        <w:spacing w:after="240"/>
      </w:pPr>
      <w:r>
        <w:t>The Incident Response Program Template is a comprehensive tracking and workflow management tool used to document, manage, and respond to security incidents, data breaches, system outages, and other operational incidents. This template provides a structured approach to incident identification, assessment, containment, resolution, and post-incident review, ensuring consistent and effective incident management while maintaining detailed records for compliance, audit, and continuous improvement purposes.</w:t>
      </w:r>
    </w:p>
    <w:p>
      <w:pPr>
        <w:pStyle w:val="Heading2"/>
        <w:spacing w:after="240"/>
      </w:pPr>
      <w:r>
        <w:t>SOC 2 Relevance</w:t>
      </w:r>
    </w:p>
    <w:p>
      <w:pPr>
        <w:spacing w:after="240"/>
      </w:pPr>
      <w:r>
        <w:t>This document provides evidence for:</w:t>
        <w:br/>
        <w:t>-</w:t>
      </w:r>
      <w:r>
        <w:rPr>
          <w:b/>
        </w:rPr>
        <w:t>CC7.2</w:t>
      </w:r>
      <w:r>
        <w:t>- The entity monitors system components and the operation of those components for anomalies that are indicative of malicious acts, natural disasters, and errors</w:t>
        <w:br/>
        <w:t>-</w:t>
      </w:r>
      <w:r>
        <w:rPr>
          <w:b/>
        </w:rPr>
        <w:t>CC7.3</w:t>
      </w:r>
      <w:r>
        <w:t>- The entity evaluates security events to determine whether they could or have resulted in a failure of the entity to meet its objectives (security incidents)</w:t>
        <w:br/>
        <w:t>-</w:t>
      </w:r>
      <w:r>
        <w:rPr>
          <w:b/>
        </w:rPr>
        <w:t>CC7.4</w:t>
      </w:r>
      <w:r>
        <w:t>- The entity responds to identified security incidents by executing a defined incident response program</w:t>
        <w:br/>
        <w:t>-</w:t>
      </w:r>
      <w:r>
        <w:rPr>
          <w:b/>
        </w:rPr>
        <w:t>CC7.5</w:t>
      </w:r>
      <w:r>
        <w:t>- The entity identifies, develops, and implements activities to recover from identified security incidents</w:t>
        <w:br/>
        <w:t>-</w:t>
      </w:r>
      <w:r>
        <w:rPr>
          <w:b/>
        </w:rPr>
        <w:t>A1.2</w:t>
      </w:r>
      <w:r>
        <w:t>- The entity authorizes, designs, develops, implements, operates, approves, maintains, and monitors environmental protections, software, data backup processes, and recovery infrastructure to meet its objectives related to availability</w:t>
        <w:br/>
        <w:t>-</w:t>
      </w:r>
      <w:r>
        <w:rPr>
          <w:b/>
        </w:rPr>
        <w:t>A1.3</w:t>
      </w:r>
      <w:r>
        <w:t>- The entity provides for restoration of data and system components if there is a disaster, error, or failure</w:t>
      </w:r>
    </w:p>
    <w:p>
      <w:pPr>
        <w:pStyle w:val="Heading2"/>
        <w:spacing w:after="240"/>
      </w:pPr>
      <w:r>
        <w:t>When to Use This Template</w:t>
      </w:r>
    </w:p>
    <w:p>
      <w:pPr>
        <w:pStyle w:val="Heading3"/>
        <w:spacing w:after="240"/>
      </w:pPr>
      <w:r>
        <w:t>Incident Types to Track</w:t>
      </w:r>
    </w:p>
    <w:p>
      <w:pPr>
        <w:pStyle w:val="ListBullet"/>
        <w:spacing w:after="120"/>
      </w:pPr>
      <w:r>
        <w:rPr>
          <w:b/>
        </w:rPr>
        <w:t>Security incidents</w:t>
      </w:r>
      <w:r>
        <w:t>- Malware, unauthorized access, data breaches, phishing attacks, DDoS</w:t>
      </w:r>
    </w:p>
    <w:p>
      <w:pPr>
        <w:pStyle w:val="ListBullet"/>
        <w:spacing w:after="120"/>
      </w:pPr>
      <w:r>
        <w:rPr>
          <w:b/>
        </w:rPr>
        <w:t>Data breaches</w:t>
      </w:r>
      <w:r>
        <w:t>- Unauthorized access to or disclosure of sensitive data (customer, employee, financial)</w:t>
      </w:r>
    </w:p>
    <w:p>
      <w:pPr>
        <w:pStyle w:val="ListBullet"/>
        <w:spacing w:after="120"/>
      </w:pPr>
      <w:r>
        <w:rPr>
          <w:b/>
        </w:rPr>
        <w:t>System outages</w:t>
      </w:r>
      <w:r>
        <w:t>- Service disruptions, infrastructure failures, network outages</w:t>
      </w:r>
    </w:p>
    <w:p>
      <w:pPr>
        <w:pStyle w:val="ListBullet"/>
        <w:spacing w:after="120"/>
      </w:pPr>
      <w:r>
        <w:rPr>
          <w:b/>
        </w:rPr>
        <w:t>Availability incidents</w:t>
      </w:r>
      <w:r>
        <w:t>- Performance degradation, capacity issues, system unavailability</w:t>
      </w:r>
    </w:p>
    <w:p>
      <w:pPr>
        <w:pStyle w:val="ListBullet"/>
        <w:spacing w:after="120"/>
      </w:pPr>
      <w:r>
        <w:rPr>
          <w:b/>
        </w:rPr>
        <w:t>Compliance violations</w:t>
      </w:r>
      <w:r>
        <w:t>- Regulatory breaches, policy violations</w:t>
      </w:r>
    </w:p>
    <w:p>
      <w:pPr>
        <w:pStyle w:val="ListBullet"/>
        <w:spacing w:after="120"/>
      </w:pPr>
      <w:r>
        <w:rPr>
          <w:b/>
        </w:rPr>
        <w:t>Physical security incidents</w:t>
      </w:r>
      <w:r>
        <w:t>- Unauthorized facility access, theft, damage</w:t>
      </w:r>
    </w:p>
    <w:p>
      <w:pPr>
        <w:pStyle w:val="ListBullet"/>
        <w:spacing w:after="120"/>
      </w:pPr>
      <w:r>
        <w:rPr>
          <w:b/>
        </w:rPr>
        <w:t>Third-party incidents</w:t>
      </w:r>
      <w:r>
        <w:t>- Vendor security breaches affecting your systems or data</w:t>
      </w:r>
    </w:p>
    <w:p>
      <w:pPr>
        <w:pStyle w:val="ListBullet"/>
        <w:spacing w:after="240"/>
      </w:pPr>
      <w:r>
        <w:rPr>
          <w:b/>
        </w:rPr>
        <w:t>Near misses</w:t>
      </w:r>
      <w:r>
        <w:t>- Events that could have become incidents but were prevented</w:t>
      </w:r>
    </w:p>
    <w:p>
      <w:pPr>
        <w:pStyle w:val="Heading3"/>
        <w:spacing w:after="240"/>
      </w:pPr>
      <w:r>
        <w:t>When to Create an Incident Record</w:t>
      </w:r>
    </w:p>
    <w:p>
      <w:pPr>
        <w:pStyle w:val="ListBullet"/>
        <w:spacing w:after="120"/>
      </w:pPr>
      <w:r>
        <w:t>Any event that impacts or could impact security, availability, confidentiality, or integrity</w:t>
      </w:r>
    </w:p>
    <w:p>
      <w:pPr>
        <w:pStyle w:val="ListBullet"/>
        <w:spacing w:after="120"/>
      </w:pPr>
      <w:r>
        <w:t>Any event requiring investigation or coordinated response</w:t>
      </w:r>
    </w:p>
    <w:p>
      <w:pPr>
        <w:pStyle w:val="ListBullet"/>
        <w:spacing w:after="120"/>
      </w:pPr>
      <w:r>
        <w:t>Any event that could affect customers, operations, or compliance</w:t>
      </w:r>
    </w:p>
    <w:p>
      <w:pPr>
        <w:pStyle w:val="ListBullet"/>
        <w:spacing w:after="240"/>
      </w:pPr>
      <w:r>
        <w:t>Even if incident is quickly resolved—documentation is essential for learning and audit</w:t>
      </w:r>
    </w:p>
    <w:p>
      <w:pPr>
        <w:pStyle w:val="Heading3"/>
        <w:spacing w:after="240"/>
      </w:pPr>
      <w:r>
        <w:t>Who Uses This Template</w:t>
      </w:r>
    </w:p>
    <w:p>
      <w:pPr>
        <w:pStyle w:val="ListBullet"/>
        <w:spacing w:after="120"/>
      </w:pPr>
      <w:r>
        <w:rPr>
          <w:b/>
        </w:rPr>
        <w:t>Security Operations Center (SOC)</w:t>
      </w:r>
      <w:r>
        <w:t>- Monitors and responds to security events</w:t>
      </w:r>
    </w:p>
    <w:p>
      <w:pPr>
        <w:pStyle w:val="ListBullet"/>
        <w:spacing w:after="120"/>
      </w:pPr>
      <w:r>
        <w:rPr>
          <w:b/>
        </w:rPr>
        <w:t>Incident Response Team</w:t>
      </w:r>
      <w:r>
        <w:t>- Coordinates incident response activities</w:t>
      </w:r>
    </w:p>
    <w:p>
      <w:pPr>
        <w:pStyle w:val="ListBullet"/>
        <w:spacing w:after="120"/>
      </w:pPr>
      <w:r>
        <w:rPr>
          <w:b/>
        </w:rPr>
        <w:t>IT Operations</w:t>
      </w:r>
      <w:r>
        <w:t>- Responds to system and infrastructure incidents</w:t>
      </w:r>
    </w:p>
    <w:p>
      <w:pPr>
        <w:pStyle w:val="ListBullet"/>
        <w:spacing w:after="120"/>
      </w:pPr>
      <w:r>
        <w:rPr>
          <w:b/>
        </w:rPr>
        <w:t>Help Desk/Support</w:t>
      </w:r>
      <w:r>
        <w:t>- Escalates potential incidents</w:t>
      </w:r>
    </w:p>
    <w:p>
      <w:pPr>
        <w:pStyle w:val="ListBullet"/>
        <w:spacing w:after="120"/>
      </w:pPr>
      <w:r>
        <w:rPr>
          <w:b/>
        </w:rPr>
        <w:t>Management</w:t>
      </w:r>
      <w:r>
        <w:t>- Reviews incident metrics and trends</w:t>
      </w:r>
    </w:p>
    <w:p>
      <w:pPr>
        <w:pStyle w:val="ListBullet"/>
        <w:spacing w:after="120"/>
      </w:pPr>
      <w:r>
        <w:rPr>
          <w:b/>
        </w:rPr>
        <w:t>Compliance/Legal</w:t>
      </w:r>
      <w:r>
        <w:t>- Assesses regulatory implications and breach notification requirements</w:t>
      </w:r>
    </w:p>
    <w:p>
      <w:pPr>
        <w:pStyle w:val="ListBullet"/>
        <w:spacing w:after="240"/>
      </w:pPr>
      <w:r>
        <w:rPr>
          <w:b/>
        </w:rPr>
        <w:t>Communications</w:t>
      </w:r>
      <w:r>
        <w:t>- Manages internal and external communications during major incidents</w:t>
      </w:r>
    </w:p>
    <w:p>
      <w:pPr>
        <w:pStyle w:val="Heading2"/>
        <w:spacing w:after="240"/>
      </w:pPr>
      <w:r>
        <w:t>How to Use the Excel Template</w:t>
      </w:r>
    </w:p>
    <w:p>
      <w:pPr>
        <w:pStyle w:val="Heading3"/>
        <w:spacing w:after="240"/>
      </w:pPr>
      <w:r>
        <w:t>1. Incident Identification and Logging</w:t>
      </w:r>
    </w:p>
    <w:p>
      <w:pPr>
        <w:spacing w:after="240"/>
      </w:pPr>
      <w:r>
        <w:t>When a potential incident is identified:</w:t>
        <w:br/>
        <w:t>1. Create new incident record in</w:t>
      </w:r>
      <w:r>
        <w:rPr>
          <w:b/>
        </w:rPr>
        <w:t>Incident_Log</w:t>
      </w:r>
      <w:r>
        <w:t>tab</w:t>
        <w:br/>
        <w:t>2. Assign unique</w:t>
      </w:r>
      <w:r>
        <w:rPr>
          <w:b/>
        </w:rPr>
        <w:t>Incident ID</w:t>
      </w:r>
      <w:r>
        <w:t>(auto-generated or manual format like INC-2025-001)</w:t>
        <w:br/>
        <w:t>3. Document</w:t>
      </w:r>
      <w:r>
        <w:rPr>
          <w:b/>
        </w:rPr>
        <w:t>Detection Date/Time</w:t>
      </w:r>
      <w:r>
        <w:t>- when incident was first discovered</w:t>
        <w:br/>
        <w:t>4. Record</w:t>
      </w:r>
      <w:r>
        <w:rPr>
          <w:b/>
        </w:rPr>
        <w:t>Detection Method</w:t>
      </w:r>
      <w:r>
        <w:t>- how incident was discovered (monitoring alert, user report, etc.)</w:t>
        <w:br/>
        <w:t>5. Enter</w:t>
      </w:r>
      <w:r>
        <w:rPr>
          <w:b/>
        </w:rPr>
        <w:t>Initial Description</w:t>
      </w:r>
      <w:r>
        <w:t>- brief summary of what happened</w:t>
        <w:br/>
        <w:t>6. Assign</w:t>
      </w:r>
      <w:r>
        <w:rPr>
          <w:b/>
        </w:rPr>
        <w:t>Incident Reporter</w:t>
      </w:r>
      <w:r>
        <w:t>- who identified/reported the incident</w:t>
        <w:br/>
        <w:t>7. Set</w:t>
      </w:r>
      <w:r>
        <w:rPr>
          <w:b/>
        </w:rPr>
        <w:t>Initial Severity</w:t>
      </w:r>
      <w:r>
        <w:t>- preliminary assessment (Critical/High/Medium/Low)</w:t>
      </w:r>
    </w:p>
    <w:p>
      <w:pPr>
        <w:pStyle w:val="Heading3"/>
        <w:spacing w:after="240"/>
      </w:pPr>
      <w:r>
        <w:t>2. Incident Classification and Assessment</w:t>
      </w:r>
    </w:p>
    <w:p>
      <w:pPr>
        <w:spacing w:after="240"/>
      </w:pPr>
      <w:r>
        <w:t>Once initial information gathered:</w:t>
        <w:br/>
        <w:t>1. Classify</w:t>
      </w:r>
      <w:r>
        <w:rPr>
          <w:b/>
        </w:rPr>
        <w:t>Incident Type</w:t>
      </w:r>
      <w:r>
        <w:t>- security, availability, data breach, etc.</w:t>
        <w:br/>
        <w:t>2. Assign</w:t>
      </w:r>
      <w:r>
        <w:rPr>
          <w:b/>
        </w:rPr>
        <w:t>Incident Category</w:t>
      </w:r>
      <w:r>
        <w:t>- more specific classification (malware, phishing, outage, etc.)</w:t>
        <w:br/>
        <w:t>3. Document</w:t>
      </w:r>
      <w:r>
        <w:rPr>
          <w:b/>
        </w:rPr>
        <w:t>Affected Systems</w:t>
      </w:r>
      <w:r>
        <w:t>- which systems, applications, or data are impacted</w:t>
        <w:br/>
        <w:t>4. Identify</w:t>
      </w:r>
      <w:r>
        <w:rPr>
          <w:b/>
        </w:rPr>
        <w:t>Affected Users/Customers</w:t>
      </w:r>
      <w:r>
        <w:t>- who is impacted (count or description)</w:t>
        <w:br/>
        <w:t>5. Assess</w:t>
      </w:r>
      <w:r>
        <w:rPr>
          <w:b/>
        </w:rPr>
        <w:t>Impact Level</w:t>
      </w:r>
      <w:r>
        <w:t>- business impact (Critical/High/Medium/Low)</w:t>
        <w:br/>
        <w:t>6. Determine</w:t>
      </w:r>
      <w:r>
        <w:rPr>
          <w:b/>
        </w:rPr>
        <w:t>Urgency</w:t>
      </w:r>
      <w:r>
        <w:t>- time-sensitivity for resolution</w:t>
        <w:br/>
        <w:t>7. Calculate</w:t>
      </w:r>
      <w:r>
        <w:rPr>
          <w:b/>
        </w:rPr>
        <w:t>Priority</w:t>
      </w:r>
      <w:r>
        <w:t>- combination of impact and urgency</w:t>
      </w:r>
    </w:p>
    <w:p>
      <w:pPr>
        <w:pStyle w:val="Heading3"/>
        <w:spacing w:after="240"/>
      </w:pPr>
      <w:r>
        <w:t>3. Incident Response Assignment</w:t>
      </w:r>
    </w:p>
    <w:p>
      <w:pPr>
        <w:spacing w:after="240"/>
      </w:pPr>
      <w:r>
        <w:t>Assign ownership and resources:</w:t>
        <w:br/>
        <w:t>1. Assign</w:t>
      </w:r>
      <w:r>
        <w:rPr>
          <w:b/>
        </w:rPr>
        <w:t>Incident Manager</w:t>
      </w:r>
      <w:r>
        <w:t>- person coordinating response</w:t>
        <w:br/>
        <w:t>2. Identify</w:t>
      </w:r>
      <w:r>
        <w:rPr>
          <w:b/>
        </w:rPr>
        <w:t>Response Team Members</w:t>
      </w:r>
      <w:r>
        <w:t>- who is involved in resolution</w:t>
        <w:br/>
        <w:t>3. Set</w:t>
      </w:r>
      <w:r>
        <w:rPr>
          <w:b/>
        </w:rPr>
        <w:t>Status</w:t>
      </w:r>
      <w:r>
        <w:t>- New, Assigned, In Progress, Escalated, Resolved, Closed</w:t>
        <w:br/>
        <w:t>4. Establish</w:t>
      </w:r>
      <w:r>
        <w:rPr>
          <w:b/>
        </w:rPr>
        <w:t>Target Resolution Time</w:t>
      </w:r>
      <w:r>
        <w:t>- based on severity and SLA</w:t>
      </w:r>
    </w:p>
    <w:p>
      <w:pPr>
        <w:pStyle w:val="Heading3"/>
        <w:spacing w:after="240"/>
      </w:pPr>
      <w:r>
        <w:t>4. Incident Containment and Resolution</w:t>
      </w:r>
    </w:p>
    <w:p>
      <w:pPr>
        <w:spacing w:after="240"/>
      </w:pPr>
      <w:r>
        <w:t>Document response actions:</w:t>
        <w:br/>
        <w:t>1. Record</w:t>
      </w:r>
      <w:r>
        <w:rPr>
          <w:b/>
        </w:rPr>
        <w:t>Containment Actions</w:t>
      </w:r>
      <w:r>
        <w:t>- immediate steps to prevent spread/impact</w:t>
        <w:br/>
        <w:t>2. Document</w:t>
      </w:r>
      <w:r>
        <w:rPr>
          <w:b/>
        </w:rPr>
        <w:t>Root Cause Analysis</w:t>
      </w:r>
      <w:r>
        <w:t>- what caused the incident</w:t>
        <w:br/>
        <w:t>3. Log</w:t>
      </w:r>
      <w:r>
        <w:rPr>
          <w:b/>
        </w:rPr>
        <w:t>Resolution Actions</w:t>
      </w:r>
      <w:r>
        <w:t>- steps taken to fully resolve incident</w:t>
        <w:br/>
        <w:t>4. Note</w:t>
      </w:r>
      <w:r>
        <w:rPr>
          <w:b/>
        </w:rPr>
        <w:t>Workarounds</w:t>
      </w:r>
      <w:r>
        <w:t>- temporary measures if permanent fix delayed</w:t>
        <w:br/>
        <w:t>5. Update</w:t>
      </w:r>
      <w:r>
        <w:rPr>
          <w:b/>
        </w:rPr>
        <w:t>Status</w:t>
      </w:r>
      <w:r>
        <w:t>throughout response lifecycle</w:t>
        <w:br/>
        <w:t>6. Document</w:t>
      </w:r>
      <w:r>
        <w:rPr>
          <w:b/>
        </w:rPr>
        <w:t>Resolution Date/Time</w:t>
      </w:r>
      <w:r>
        <w:t>- when incident fully resolved</w:t>
        <w:br/>
        <w:t>7. Calculate</w:t>
      </w:r>
      <w:r>
        <w:rPr>
          <w:b/>
        </w:rPr>
        <w:t>Time to Detect</w:t>
      </w:r>
      <w:r>
        <w:t>and</w:t>
      </w:r>
      <w:r>
        <w:rPr>
          <w:b/>
        </w:rPr>
        <w:t>Time to Resolve</w:t>
      </w:r>
      <w:r>
        <w:t>- key metrics</w:t>
      </w:r>
    </w:p>
    <w:p>
      <w:pPr>
        <w:pStyle w:val="Heading3"/>
        <w:spacing w:after="240"/>
      </w:pPr>
      <w:r>
        <w:t>5. Communication and Escalation</w:t>
      </w:r>
    </w:p>
    <w:p>
      <w:pPr>
        <w:spacing w:after="240"/>
      </w:pPr>
      <w:r>
        <w:t>Manage stakeholder communications:</w:t>
        <w:br/>
        <w:t>1. Log</w:t>
      </w:r>
      <w:r>
        <w:rPr>
          <w:b/>
        </w:rPr>
        <w:t>Internal Communications</w:t>
      </w:r>
      <w:r>
        <w:t>- updates to team, management</w:t>
        <w:br/>
        <w:t>2. Document</w:t>
      </w:r>
      <w:r>
        <w:rPr>
          <w:b/>
        </w:rPr>
        <w:t>Customer Communications</w:t>
      </w:r>
      <w:r>
        <w:t>- if customers impacted</w:t>
        <w:br/>
        <w:t>3. Record</w:t>
      </w:r>
      <w:r>
        <w:rPr>
          <w:b/>
        </w:rPr>
        <w:t>External Notifications</w:t>
      </w:r>
      <w:r>
        <w:t>- regulatory, vendor, law enforcement if required</w:t>
        <w:br/>
        <w:t>4. Note</w:t>
      </w:r>
      <w:r>
        <w:rPr>
          <w:b/>
        </w:rPr>
        <w:t>Escalations</w:t>
      </w:r>
      <w:r>
        <w:t>- when and to whom incident escalated</w:t>
        <w:br/>
        <w:t>5. Track</w:t>
      </w:r>
      <w:r>
        <w:rPr>
          <w:b/>
        </w:rPr>
        <w:t>Stakeholder Updates</w:t>
      </w:r>
      <w:r>
        <w:t>- who was informed and when</w:t>
      </w:r>
    </w:p>
    <w:p>
      <w:pPr>
        <w:pStyle w:val="Heading3"/>
        <w:spacing w:after="240"/>
      </w:pPr>
      <w:r>
        <w:t>6. Post-Incident Activities</w:t>
      </w:r>
    </w:p>
    <w:p>
      <w:pPr>
        <w:spacing w:after="240"/>
      </w:pPr>
      <w:r>
        <w:t>After incident resolved:</w:t>
        <w:br/>
        <w:t>1. Conduct</w:t>
      </w:r>
      <w:r>
        <w:rPr>
          <w:b/>
        </w:rPr>
        <w:t>Post-Incident Review (PIR)</w:t>
      </w:r>
      <w:r>
        <w:t>- lessons learned meeting</w:t>
        <w:br/>
        <w:t>2. Document</w:t>
      </w:r>
      <w:r>
        <w:rPr>
          <w:b/>
        </w:rPr>
        <w:t>Root Cause</w:t>
      </w:r>
      <w:r>
        <w:t>- definitive cause of incident</w:t>
        <w:br/>
        <w:t>3. Identify</w:t>
      </w:r>
      <w:r>
        <w:rPr>
          <w:b/>
        </w:rPr>
        <w:t>Contributing Factors</w:t>
      </w:r>
      <w:r>
        <w:t>- what enabled or worsened incident</w:t>
        <w:br/>
        <w:t>4. Create</w:t>
      </w:r>
      <w:r>
        <w:rPr>
          <w:b/>
        </w:rPr>
        <w:t>Action Items</w:t>
      </w:r>
      <w:r>
        <w:t>- improvements to prevent recurrence</w:t>
        <w:br/>
        <w:t>5. Assign</w:t>
      </w:r>
      <w:r>
        <w:rPr>
          <w:b/>
        </w:rPr>
        <w:t>Action Item Owners</w:t>
      </w:r>
      <w:r>
        <w:t>and</w:t>
      </w:r>
      <w:r>
        <w:rPr>
          <w:b/>
        </w:rPr>
        <w:t>Due Dates</w:t>
      </w:r>
      <w:r>
        <w:t>6. Update</w:t>
      </w:r>
      <w:r>
        <w:rPr>
          <w:b/>
        </w:rPr>
        <w:t>Final Severity</w:t>
      </w:r>
      <w:r>
        <w:t>- may differ from initial assessment</w:t>
        <w:br/>
        <w:t>7. Set</w:t>
      </w:r>
      <w:r>
        <w:rPr>
          <w:b/>
        </w:rPr>
        <w:t>Status to Closed</w:t>
      </w:r>
      <w:r>
        <w:t>- when all follow-up complete</w:t>
        <w:br/>
        <w:t>8. Archive incident record for future reference</w:t>
      </w:r>
    </w:p>
    <w:p>
      <w:pPr>
        <w:pStyle w:val="Heading3"/>
        <w:spacing w:after="240"/>
      </w:pPr>
      <w:r>
        <w:t>7. Metrics and Reporting</w:t>
      </w:r>
    </w:p>
    <w:p>
      <w:pPr>
        <w:spacing w:after="240"/>
      </w:pPr>
      <w:r>
        <w:t>Use template to generate:</w:t>
        <w:br/>
        <w:t>-</w:t>
      </w:r>
      <w:r>
        <w:rPr>
          <w:b/>
        </w:rPr>
        <w:t>Incident counts</w:t>
      </w:r>
      <w:r>
        <w:t>by type, severity, month</w:t>
        <w:br/>
        <w:t>-</w:t>
      </w:r>
      <w:r>
        <w:rPr>
          <w:b/>
        </w:rPr>
        <w:t>Mean Time to Detect (MTTD)</w:t>
      </w:r>
      <w:r>
        <w:t>- average time from occurrence to detection</w:t>
        <w:br/>
        <w:t>-</w:t>
      </w:r>
      <w:r>
        <w:rPr>
          <w:b/>
        </w:rPr>
        <w:t>Mean Time to Respond (MTTR)</w:t>
      </w:r>
      <w:r>
        <w:t>- average time from detection to containment</w:t>
        <w:br/>
        <w:t>-</w:t>
      </w:r>
      <w:r>
        <w:rPr>
          <w:b/>
        </w:rPr>
        <w:t>Mean Time to Resolve</w:t>
      </w:r>
      <w:r>
        <w:t>- average time from detection to full resolution</w:t>
        <w:br/>
        <w:t>-</w:t>
      </w:r>
      <w:r>
        <w:rPr>
          <w:b/>
        </w:rPr>
        <w:t>Incident trends</w:t>
      </w:r>
      <w:r>
        <w:t>- increasing/decreasing, patterns</w:t>
        <w:br/>
        <w:t>-</w:t>
      </w:r>
      <w:r>
        <w:rPr>
          <w:b/>
        </w:rPr>
        <w:t>Top incident types</w:t>
      </w:r>
      <w:r>
        <w:t>- where to focus improvement efforts</w:t>
        <w:br/>
        <w:t>-</w:t>
      </w:r>
      <w:r>
        <w:rPr>
          <w:b/>
        </w:rPr>
        <w:t>Repeat incidents</w:t>
      </w:r>
      <w:r>
        <w:t>- indicating systemic issues</w:t>
        <w:br/>
        <w:t>-</w:t>
      </w:r>
      <w:r>
        <w:rPr>
          <w:b/>
        </w:rPr>
        <w:t>SLA compliance</w:t>
      </w:r>
      <w:r>
        <w:t>- percentage meeting resolution time targets</w:t>
      </w:r>
    </w:p>
    <w:p>
      <w:pPr>
        <w:pStyle w:val="Heading2"/>
        <w:spacing w:after="240"/>
      </w:pPr>
      <w:r>
        <w:t>Incident Severity Levels</w:t>
      </w:r>
    </w:p>
    <w:p>
      <w:pPr>
        <w:spacing w:after="240"/>
      </w:pPr>
      <w:r>
        <w:t>Define clear criteria for severity ratings: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Severity</w:t>
            </w:r>
          </w:p>
        </w:tc>
        <w:tc>
          <w:tcPr>
            <w:tcW w:type="dxa" w:w="1872"/>
          </w:tcPr>
          <w:p>
            <w:r>
              <w:t>Impact</w:t>
            </w:r>
          </w:p>
        </w:tc>
        <w:tc>
          <w:tcPr>
            <w:tcW w:type="dxa" w:w="1872"/>
          </w:tcPr>
          <w:p>
            <w:r>
              <w:t>Response Time</w:t>
            </w:r>
          </w:p>
        </w:tc>
        <w:tc>
          <w:tcPr>
            <w:tcW w:type="dxa" w:w="1872"/>
          </w:tcPr>
          <w:p>
            <w:r>
              <w:t>Examples</w:t>
            </w:r>
          </w:p>
        </w:tc>
        <w:tc>
          <w:tcPr>
            <w:tcW w:type="dxa" w:w="1872"/>
          </w:tcPr>
          <w:p>
            <w:r>
              <w:t>Escalation</w:t>
            </w:r>
          </w:p>
        </w:tc>
      </w:tr>
      <w:tr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Severe impact on business operations, customer data breach, complete system outage</w:t>
            </w:r>
          </w:p>
        </w:tc>
        <w:tc>
          <w:tcPr>
            <w:tcW w:type="dxa" w:w="1872"/>
          </w:tcPr>
          <w:p>
            <w:r>
              <w:t>Immediate (&lt; 1 hour)</w:t>
            </w:r>
          </w:p>
        </w:tc>
        <w:tc>
          <w:tcPr>
            <w:tcW w:type="dxa" w:w="1872"/>
          </w:tcPr>
          <w:p>
            <w:r>
              <w:t>Data breach with customer PII exposure, ransomware attack, complete service outage, unauthorized root access</w:t>
            </w:r>
          </w:p>
        </w:tc>
        <w:tc>
          <w:tcPr>
            <w:tcW w:type="dxa" w:w="1872"/>
          </w:tcPr>
          <w:p>
            <w:r>
              <w:t>Executive leadership, legal, PR</w:t>
            </w:r>
          </w:p>
        </w:tc>
      </w:tr>
      <w:tr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Significant impact on operations or limited data exposure</w:t>
            </w:r>
          </w:p>
        </w:tc>
        <w:tc>
          <w:tcPr>
            <w:tcW w:type="dxa" w:w="1872"/>
          </w:tcPr>
          <w:p>
            <w:r>
              <w:t>&lt; 4 hours</w:t>
            </w:r>
          </w:p>
        </w:tc>
        <w:tc>
          <w:tcPr>
            <w:tcW w:type="dxa" w:w="1872"/>
          </w:tcPr>
          <w:p>
            <w:r>
              <w:t>Partial system outage, successful phishing attack, malware on critical system, unauthorized access to internal systems</w:t>
            </w:r>
          </w:p>
        </w:tc>
        <w:tc>
          <w:tcPr>
            <w:tcW w:type="dxa" w:w="1872"/>
          </w:tcPr>
          <w:p>
            <w:r>
              <w:t>IT leadership, security team</w:t>
            </w:r>
          </w:p>
        </w:tc>
      </w:tr>
      <w:tr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Moderate impact, degraded service, potential security issue</w:t>
            </w:r>
          </w:p>
        </w:tc>
        <w:tc>
          <w:tcPr>
            <w:tcW w:type="dxa" w:w="1872"/>
          </w:tcPr>
          <w:p>
            <w:r>
              <w:t>&lt; 24 hours</w:t>
            </w:r>
          </w:p>
        </w:tc>
        <w:tc>
          <w:tcPr>
            <w:tcW w:type="dxa" w:w="1872"/>
          </w:tcPr>
          <w:p>
            <w:r>
              <w:t>Performance degradation, unsuccessful attack attempts, policy violations, localized system failures</w:t>
            </w:r>
          </w:p>
        </w:tc>
        <w:tc>
          <w:tcPr>
            <w:tcW w:type="dxa" w:w="1872"/>
          </w:tcPr>
          <w:p>
            <w:r>
              <w:t>IT management, incident response team</w:t>
            </w:r>
          </w:p>
        </w:tc>
      </w:tr>
      <w:tr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Minimal impact, informational, isolated issue</w:t>
            </w:r>
          </w:p>
        </w:tc>
        <w:tc>
          <w:tcPr>
            <w:tcW w:type="dxa" w:w="1872"/>
          </w:tcPr>
          <w:p>
            <w:r>
              <w:t>&lt; 72 hours</w:t>
            </w:r>
          </w:p>
        </w:tc>
        <w:tc>
          <w:tcPr>
            <w:tcW w:type="dxa" w:w="1872"/>
          </w:tcPr>
          <w:p>
            <w:r>
              <w:t>Single user issues, minor policy violations, isolated non-critical system issues</w:t>
            </w:r>
          </w:p>
        </w:tc>
        <w:tc>
          <w:tcPr>
            <w:tcW w:type="dxa" w:w="1872"/>
          </w:tcPr>
          <w:p>
            <w:r>
              <w:t>Standard operational response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Note:</w:t>
      </w:r>
      <w:r>
        <w:t>Severity may be adjusted as investigation progresses and more information becomes available.</w:t>
      </w:r>
    </w:p>
    <w:p>
      <w:pPr>
        <w:pStyle w:val="Heading2"/>
        <w:spacing w:after="240"/>
      </w:pPr>
      <w:r>
        <w:t>Incident Response Workflow</w:t>
      </w:r>
    </w:p>
    <w:p>
      <w:pPr>
        <w:spacing w:after="240"/>
      </w:pPr>
      <w:r>
        <w:t>Standard incident response follows these phases:</w:t>
      </w:r>
    </w:p>
    <w:p>
      <w:pPr>
        <w:pStyle w:val="Heading3"/>
        <w:spacing w:after="240"/>
      </w:pPr>
      <w:r>
        <w:t>Phase 1: Detection and Identification (Detect)</w:t>
      </w:r>
    </w:p>
    <w:p>
      <w:pPr>
        <w:pStyle w:val="ListBullet"/>
        <w:spacing w:after="120"/>
      </w:pPr>
      <w:r>
        <w:t>Monitor for anomalies and security events</w:t>
      </w:r>
    </w:p>
    <w:p>
      <w:pPr>
        <w:pStyle w:val="ListBullet"/>
        <w:spacing w:after="120"/>
      </w:pPr>
      <w:r>
        <w:t>Receive reports from users, systems, or external sources</w:t>
      </w:r>
    </w:p>
    <w:p>
      <w:pPr>
        <w:pStyle w:val="ListBullet"/>
        <w:spacing w:after="120"/>
      </w:pPr>
      <w:r>
        <w:t>Validate that event constitutes an incident</w:t>
      </w:r>
    </w:p>
    <w:p>
      <w:pPr>
        <w:pStyle w:val="ListBullet"/>
        <w:spacing w:after="240"/>
      </w:pPr>
      <w:r>
        <w:t>Create incident record</w:t>
      </w:r>
    </w:p>
    <w:p>
      <w:pPr>
        <w:pStyle w:val="Heading3"/>
        <w:spacing w:after="240"/>
      </w:pPr>
      <w:r>
        <w:t>Phase 2: Assessment and Classification (Assess)</w:t>
      </w:r>
    </w:p>
    <w:p>
      <w:pPr>
        <w:pStyle w:val="ListBullet"/>
        <w:spacing w:after="120"/>
      </w:pPr>
      <w:r>
        <w:t>Determine incident type, severity, and scope</w:t>
      </w:r>
    </w:p>
    <w:p>
      <w:pPr>
        <w:pStyle w:val="ListBullet"/>
        <w:spacing w:after="120"/>
      </w:pPr>
      <w:r>
        <w:t>Identify affected systems, data, and users</w:t>
      </w:r>
    </w:p>
    <w:p>
      <w:pPr>
        <w:pStyle w:val="ListBullet"/>
        <w:spacing w:after="120"/>
      </w:pPr>
      <w:r>
        <w:t>Assess business impact</w:t>
      </w:r>
    </w:p>
    <w:p>
      <w:pPr>
        <w:pStyle w:val="ListBullet"/>
        <w:spacing w:after="240"/>
      </w:pPr>
      <w:r>
        <w:t>Assign appropriate resources</w:t>
      </w:r>
    </w:p>
    <w:p>
      <w:pPr>
        <w:pStyle w:val="Heading3"/>
        <w:spacing w:after="240"/>
      </w:pPr>
      <w:r>
        <w:t>Phase 3: Containment (Contain)</w:t>
      </w:r>
    </w:p>
    <w:p>
      <w:pPr>
        <w:pStyle w:val="ListBullet"/>
        <w:spacing w:after="120"/>
      </w:pPr>
      <w:r>
        <w:rPr>
          <w:b/>
        </w:rPr>
        <w:t>Short-term containment:</w:t>
      </w:r>
      <w:r>
        <w:t>Immediate actions to stop spread (isolate systems, block IPs, disable accounts)</w:t>
      </w:r>
    </w:p>
    <w:p>
      <w:pPr>
        <w:pStyle w:val="ListBullet"/>
        <w:spacing w:after="120"/>
      </w:pPr>
      <w:r>
        <w:rPr>
          <w:b/>
        </w:rPr>
        <w:t>Long-term containment:</w:t>
      </w:r>
      <w:r>
        <w:t>Temporary fixes allowing business continuity while permanent solution developed</w:t>
      </w:r>
    </w:p>
    <w:p>
      <w:pPr>
        <w:pStyle w:val="ListBullet"/>
        <w:spacing w:after="240"/>
      </w:pPr>
      <w:r>
        <w:t>Preserve evidence for forensics and investigation</w:t>
      </w:r>
    </w:p>
    <w:p>
      <w:pPr>
        <w:pStyle w:val="Heading3"/>
        <w:spacing w:after="240"/>
      </w:pPr>
      <w:r>
        <w:t>Phase 4: Eradication (Eradicate)</w:t>
      </w:r>
    </w:p>
    <w:p>
      <w:pPr>
        <w:pStyle w:val="ListBullet"/>
        <w:spacing w:after="120"/>
      </w:pPr>
      <w:r>
        <w:t>Remove threat from environment (malware, unauthorized access, vulnerabilities)</w:t>
      </w:r>
    </w:p>
    <w:p>
      <w:pPr>
        <w:pStyle w:val="ListBullet"/>
        <w:spacing w:after="120"/>
      </w:pPr>
      <w:r>
        <w:t>Address root cause</w:t>
      </w:r>
    </w:p>
    <w:p>
      <w:pPr>
        <w:pStyle w:val="ListBullet"/>
        <w:spacing w:after="120"/>
      </w:pPr>
      <w:r>
        <w:t>Apply patches or security updates</w:t>
      </w:r>
    </w:p>
    <w:p>
      <w:pPr>
        <w:pStyle w:val="ListBullet"/>
        <w:spacing w:after="240"/>
      </w:pPr>
      <w:r>
        <w:t>Validate removal</w:t>
      </w:r>
    </w:p>
    <w:p>
      <w:pPr>
        <w:pStyle w:val="Heading3"/>
        <w:spacing w:after="240"/>
      </w:pPr>
      <w:r>
        <w:t>Phase 5: Recovery (Recover)</w:t>
      </w:r>
    </w:p>
    <w:p>
      <w:pPr>
        <w:pStyle w:val="ListBullet"/>
        <w:spacing w:after="120"/>
      </w:pPr>
      <w:r>
        <w:t>Restore systems to normal operations</w:t>
      </w:r>
    </w:p>
    <w:p>
      <w:pPr>
        <w:pStyle w:val="ListBullet"/>
        <w:spacing w:after="120"/>
      </w:pPr>
      <w:r>
        <w:t>Verify systems functioning properly</w:t>
      </w:r>
    </w:p>
    <w:p>
      <w:pPr>
        <w:pStyle w:val="ListBullet"/>
        <w:spacing w:after="120"/>
      </w:pPr>
      <w:r>
        <w:t>Monitor for recurrence</w:t>
      </w:r>
    </w:p>
    <w:p>
      <w:pPr>
        <w:pStyle w:val="ListBullet"/>
        <w:spacing w:after="240"/>
      </w:pPr>
      <w:r>
        <w:t>Return to business as usual</w:t>
      </w:r>
    </w:p>
    <w:p>
      <w:pPr>
        <w:pStyle w:val="Heading3"/>
        <w:spacing w:after="240"/>
      </w:pPr>
      <w:r>
        <w:t>Phase 6: Post-Incident Review (Learn)</w:t>
      </w:r>
    </w:p>
    <w:p>
      <w:pPr>
        <w:pStyle w:val="ListBullet"/>
        <w:spacing w:after="120"/>
      </w:pPr>
      <w:r>
        <w:t>Conduct lessons learned session</w:t>
      </w:r>
    </w:p>
    <w:p>
      <w:pPr>
        <w:pStyle w:val="ListBullet"/>
        <w:spacing w:after="120"/>
      </w:pPr>
      <w:r>
        <w:t>Document findings and improvements</w:t>
      </w:r>
    </w:p>
    <w:p>
      <w:pPr>
        <w:pStyle w:val="ListBullet"/>
        <w:spacing w:after="120"/>
      </w:pPr>
      <w:r>
        <w:t>Update runbooks, procedures, security controls</w:t>
      </w:r>
    </w:p>
    <w:p>
      <w:pPr>
        <w:pStyle w:val="ListBullet"/>
        <w:spacing w:after="120"/>
      </w:pPr>
      <w:r>
        <w:t>Track action items to completion</w:t>
      </w:r>
    </w:p>
    <w:p>
      <w:pPr>
        <w:pStyle w:val="ListBullet"/>
        <w:spacing w:after="240"/>
      </w:pPr>
      <w:r>
        <w:t>Close incident</w:t>
      </w:r>
    </w:p>
    <w:p>
      <w:pPr>
        <w:pStyle w:val="Heading2"/>
        <w:spacing w:after="240"/>
      </w:pPr>
      <w:r>
        <w:t>Breach Notification Requirements</w:t>
      </w:r>
    </w:p>
    <w:p>
      <w:pPr>
        <w:spacing w:after="240"/>
      </w:pPr>
      <w:r>
        <w:t>For data breaches involving personal information, be aware of legal notification obligations:</w:t>
      </w:r>
    </w:p>
    <w:p>
      <w:pPr>
        <w:pStyle w:val="Heading3"/>
        <w:spacing w:after="240"/>
      </w:pPr>
      <w:r>
        <w:t>GDPR (EU/EEA residents)</w:t>
      </w:r>
    </w:p>
    <w:p>
      <w:pPr>
        <w:pStyle w:val="ListBullet"/>
        <w:spacing w:after="120"/>
      </w:pPr>
      <w:r>
        <w:rPr>
          <w:b/>
        </w:rPr>
        <w:t>Timeline:</w:t>
      </w:r>
      <w:r>
        <w:t>72 hours to notify data protection authority</w:t>
      </w:r>
    </w:p>
    <w:p>
      <w:pPr>
        <w:pStyle w:val="ListBullet"/>
        <w:spacing w:after="120"/>
      </w:pPr>
      <w:r>
        <w:rPr>
          <w:b/>
        </w:rPr>
        <w:t>Requirements:</w:t>
      </w:r>
      <w:r>
        <w:t>Nature of breach, affected data subjects, likely consequences, mitigation measures</w:t>
      </w:r>
    </w:p>
    <w:p>
      <w:pPr>
        <w:pStyle w:val="ListBullet"/>
        <w:spacing w:after="240"/>
      </w:pPr>
      <w:r>
        <w:rPr>
          <w:b/>
        </w:rPr>
        <w:t>Individual notification:</w:t>
      </w:r>
      <w:r>
        <w:t>Required if high risk to rights and freedoms</w:t>
      </w:r>
    </w:p>
    <w:p>
      <w:pPr>
        <w:pStyle w:val="Heading3"/>
        <w:spacing w:after="240"/>
      </w:pPr>
      <w:r>
        <w:t>CCPA/CPRA (California residents)</w:t>
      </w:r>
    </w:p>
    <w:p>
      <w:pPr>
        <w:pStyle w:val="ListBullet"/>
        <w:spacing w:after="120"/>
      </w:pPr>
      <w:r>
        <w:rPr>
          <w:b/>
        </w:rPr>
        <w:t>Timeline:</w:t>
      </w:r>
      <w:r>
        <w:t>"Without unreasonable delay"</w:t>
      </w:r>
    </w:p>
    <w:p>
      <w:pPr>
        <w:pStyle w:val="ListBullet"/>
        <w:spacing w:after="240"/>
      </w:pPr>
      <w:r>
        <w:rPr>
          <w:b/>
        </w:rPr>
        <w:t>Requirements:</w:t>
      </w:r>
      <w:r>
        <w:t>Notice to affected individuals and California Attorney General (if affecting 500+ California residents)</w:t>
      </w:r>
    </w:p>
    <w:p>
      <w:pPr>
        <w:pStyle w:val="Heading3"/>
        <w:spacing w:after="240"/>
      </w:pPr>
      <w:r>
        <w:t>State Breach Notification Laws (US)</w:t>
      </w:r>
    </w:p>
    <w:p>
      <w:pPr>
        <w:pStyle w:val="ListBullet"/>
        <w:spacing w:after="120"/>
      </w:pPr>
      <w:r>
        <w:t>All 50 US states have breach notification laws</w:t>
      </w:r>
    </w:p>
    <w:p>
      <w:pPr>
        <w:pStyle w:val="ListBullet"/>
        <w:spacing w:after="120"/>
      </w:pPr>
      <w:r>
        <w:t>Timelines and requirements vary (typically "without unreasonable delay" or specific timeframes like 30-90 days)</w:t>
      </w:r>
    </w:p>
    <w:p>
      <w:pPr>
        <w:pStyle w:val="ListBullet"/>
        <w:spacing w:after="240"/>
      </w:pPr>
      <w:r>
        <w:t>May require notification to state attorney general, credit bureaus</w:t>
      </w:r>
    </w:p>
    <w:p>
      <w:pPr>
        <w:pStyle w:val="Heading3"/>
        <w:spacing w:after="240"/>
      </w:pPr>
      <w:r>
        <w:t>Industry-Specific Requirements</w:t>
      </w:r>
    </w:p>
    <w:p>
      <w:pPr>
        <w:pStyle w:val="ListBullet"/>
        <w:spacing w:after="120"/>
      </w:pPr>
      <w:r>
        <w:rPr>
          <w:b/>
        </w:rPr>
        <w:t>HIPAA (Healthcare):</w:t>
      </w:r>
      <w:r>
        <w:t>60 days to notify affected individuals and HHS</w:t>
      </w:r>
    </w:p>
    <w:p>
      <w:pPr>
        <w:pStyle w:val="ListBullet"/>
        <w:spacing w:after="120"/>
      </w:pPr>
      <w:r>
        <w:rPr>
          <w:b/>
        </w:rPr>
        <w:t>PCI DSS (Payment cards):</w:t>
      </w:r>
      <w:r>
        <w:t>Immediate notification to payment brands and acquiring bank</w:t>
      </w:r>
    </w:p>
    <w:p>
      <w:pPr>
        <w:pStyle w:val="ListBullet"/>
        <w:spacing w:after="240"/>
      </w:pPr>
      <w:r>
        <w:rPr>
          <w:b/>
        </w:rPr>
        <w:t>Other regulations:</w:t>
      </w:r>
      <w:r>
        <w:t>Check industry-specific requirements (financial services, telecommunications, etc.)</w:t>
      </w:r>
    </w:p>
    <w:p>
      <w:pPr>
        <w:spacing w:after="240"/>
      </w:pPr>
      <w:r>
        <w:rPr>
          <w:b/>
        </w:rPr>
        <w:t>Work with legal counsel to determine notification obligations for each data breach.</w:t>
      </w:r>
    </w:p>
    <w:p>
      <w:pPr>
        <w:pStyle w:val="Heading2"/>
        <w:spacing w:after="240"/>
      </w:pPr>
      <w:r>
        <w:t>Integration with Other Processes</w:t>
      </w:r>
    </w:p>
    <w:p>
      <w:pPr>
        <w:pStyle w:val="Heading3"/>
        <w:spacing w:after="240"/>
      </w:pPr>
      <w:r>
        <w:t>Incident Management integrates with:</w:t>
      </w:r>
    </w:p>
    <w:p>
      <w:pPr>
        <w:pStyle w:val="ListBullet"/>
        <w:spacing w:after="120"/>
      </w:pPr>
      <w:r>
        <w:rPr>
          <w:b/>
        </w:rPr>
        <w:t>Change Management</w:t>
      </w:r>
      <w:r>
        <w:t>- Emergency changes to resolve incidents</w:t>
      </w:r>
    </w:p>
    <w:p>
      <w:pPr>
        <w:pStyle w:val="ListBullet"/>
        <w:spacing w:after="120"/>
      </w:pPr>
      <w:r>
        <w:rPr>
          <w:b/>
        </w:rPr>
        <w:t>Problem Management</w:t>
      </w:r>
      <w:r>
        <w:t>- Root cause analysis for recurring incidents</w:t>
      </w:r>
    </w:p>
    <w:p>
      <w:pPr>
        <w:pStyle w:val="ListBullet"/>
        <w:spacing w:after="120"/>
      </w:pPr>
      <w:r>
        <w:rPr>
          <w:b/>
        </w:rPr>
        <w:t>Vulnerability Management</w:t>
      </w:r>
      <w:r>
        <w:t>- Incidents may reveal vulnerabilities needing patching</w:t>
      </w:r>
    </w:p>
    <w:p>
      <w:pPr>
        <w:pStyle w:val="ListBullet"/>
        <w:spacing w:after="120"/>
      </w:pPr>
      <w:r>
        <w:rPr>
          <w:b/>
        </w:rPr>
        <w:t>Risk Management</w:t>
      </w:r>
      <w:r>
        <w:t>- Incidents inform risk assessments</w:t>
      </w:r>
    </w:p>
    <w:p>
      <w:pPr>
        <w:pStyle w:val="ListBullet"/>
        <w:spacing w:after="120"/>
      </w:pPr>
      <w:r>
        <w:rPr>
          <w:b/>
        </w:rPr>
        <w:t>Business Continuity</w:t>
      </w:r>
      <w:r>
        <w:t>- Major incidents may trigger BC/DR plans</w:t>
      </w:r>
    </w:p>
    <w:p>
      <w:pPr>
        <w:pStyle w:val="ListBullet"/>
        <w:spacing w:after="120"/>
      </w:pPr>
      <w:r>
        <w:rPr>
          <w:b/>
        </w:rPr>
        <w:t>Audit/Compliance</w:t>
      </w:r>
      <w:r>
        <w:t>- Incident records provide compliance evidence</w:t>
      </w:r>
    </w:p>
    <w:p>
      <w:pPr>
        <w:pStyle w:val="ListBullet"/>
        <w:spacing w:after="240"/>
      </w:pPr>
      <w:r>
        <w:rPr>
          <w:b/>
        </w:rPr>
        <w:t>Vendor Management</w:t>
      </w:r>
      <w:r>
        <w:t>- Third-party incidents require vendor coordination</w:t>
      </w:r>
    </w:p>
    <w:p>
      <w:pPr>
        <w:pStyle w:val="Heading2"/>
        <w:spacing w:after="240"/>
      </w:pPr>
      <w:r>
        <w:t>Best Practices</w:t>
      </w:r>
    </w:p>
    <w:p>
      <w:pPr>
        <w:spacing w:after="240"/>
      </w:pPr>
      <w:r>
        <w:t>✓</w:t>
      </w:r>
      <w:r>
        <w:rPr>
          <w:b/>
        </w:rPr>
        <w:t>Document everything</w:t>
      </w:r>
      <w:r>
        <w:t>- Comprehensive records essential for investigation, legal, audit</w:t>
      </w:r>
      <w:r>
        <w:t>✓</w:t>
      </w:r>
      <w:r>
        <w:rPr>
          <w:b/>
        </w:rPr>
        <w:t>Act quickly</w:t>
      </w:r>
      <w:r>
        <w:t>- Fast response reduces impact</w:t>
      </w:r>
      <w:r>
        <w:t>✓</w:t>
      </w:r>
      <w:r>
        <w:rPr>
          <w:b/>
        </w:rPr>
        <w:t>Communicate clearly</w:t>
      </w:r>
      <w:r>
        <w:t>- Keep stakeholders informed with accurate, timely updates</w:t>
      </w:r>
      <w:r>
        <w:t>✓</w:t>
      </w:r>
      <w:r>
        <w:rPr>
          <w:b/>
        </w:rPr>
        <w:t>Preserve evidence</w:t>
      </w:r>
      <w:r>
        <w:t>- Don't destroy logs, systems, or data needed for forensics</w:t>
      </w:r>
      <w:r>
        <w:t>✓</w:t>
      </w:r>
      <w:r>
        <w:rPr>
          <w:b/>
        </w:rPr>
        <w:t>Learn from incidents</w:t>
      </w:r>
      <w:r>
        <w:t>- Every incident is opportunity for improvement</w:t>
      </w:r>
      <w:r>
        <w:t>✓</w:t>
      </w:r>
      <w:r>
        <w:rPr>
          <w:b/>
        </w:rPr>
        <w:t>Test regularly</w:t>
      </w:r>
      <w:r>
        <w:t>- Conduct tabletop exercises and simulations</w:t>
      </w:r>
      <w:r>
        <w:t>✓</w:t>
      </w:r>
      <w:r>
        <w:rPr>
          <w:b/>
        </w:rPr>
        <w:t>Update procedures</w:t>
      </w:r>
      <w:r>
        <w:t>- Keep runbooks and playbooks current based on lessons learned</w:t>
      </w:r>
      <w:r>
        <w:t>✓</w:t>
      </w:r>
      <w:r>
        <w:rPr>
          <w:b/>
        </w:rPr>
        <w:t>Automate where possible</w:t>
      </w:r>
      <w:r>
        <w:t>- Use SOAR tools, automated alerts, orchestration</w:t>
      </w:r>
      <w:r>
        <w:t>✓</w:t>
      </w:r>
      <w:r>
        <w:rPr>
          <w:b/>
        </w:rPr>
        <w:t>Measure performance</w:t>
      </w:r>
      <w:r>
        <w:t>- Track MTTD, MTTR, and other key metrics</w:t>
      </w:r>
      <w:r>
        <w:t>✓</w:t>
      </w:r>
      <w:r>
        <w:rPr>
          <w:b/>
        </w:rPr>
        <w:t>Maintain confidentiality</w:t>
      </w:r>
      <w:r>
        <w:t>- Incident details are sensitive—limit distribution</w:t>
      </w:r>
    </w:p>
    <w:p>
      <w:pPr>
        <w:pStyle w:val="Heading2"/>
        <w:spacing w:after="240"/>
      </w:pPr>
      <w:r>
        <w:t>Common Mistakes to Avoid</w:t>
      </w:r>
    </w:p>
    <w:p>
      <w:pPr>
        <w:spacing w:after="240"/>
      </w:pPr>
      <w:r>
        <w:t>❌</w:t>
      </w:r>
      <w:r>
        <w:rPr>
          <w:b/>
        </w:rPr>
        <w:t>Delayed reporting</w:t>
      </w:r>
      <w:r>
        <w:t>- Waiting too long to escalate or report incidents</w:t>
      </w:r>
      <w:r>
        <w:t>❌</w:t>
      </w:r>
      <w:r>
        <w:rPr>
          <w:b/>
        </w:rPr>
        <w:t>Incomplete documentation</w:t>
      </w:r>
      <w:r>
        <w:t>- Missing critical details needed for investigation or compliance</w:t>
      </w:r>
      <w:r>
        <w:t>❌</w:t>
      </w:r>
      <w:r>
        <w:rPr>
          <w:b/>
        </w:rPr>
        <w:t>Poor communication</w:t>
      </w:r>
      <w:r>
        <w:t>- Inadequate stakeholder updates causing confusion</w:t>
      </w:r>
      <w:r>
        <w:t>❌</w:t>
      </w:r>
      <w:r>
        <w:rPr>
          <w:b/>
        </w:rPr>
        <w:t>Skipping PIR</w:t>
      </w:r>
      <w:r>
        <w:t>- Not conducting post-incident review means repeating mistakes</w:t>
      </w:r>
      <w:r>
        <w:t>❌</w:t>
      </w:r>
      <w:r>
        <w:rPr>
          <w:b/>
        </w:rPr>
        <w:t>No follow-through</w:t>
      </w:r>
      <w:r>
        <w:t>- Creating action items but not completing them</w:t>
      </w:r>
      <w:r>
        <w:t>❌</w:t>
      </w:r>
      <w:r>
        <w:rPr>
          <w:b/>
        </w:rPr>
        <w:t>Over-classifying severity</w:t>
      </w:r>
      <w:r>
        <w:t>- Everything as "Critical" reduces effectiveness</w:t>
      </w:r>
      <w:r>
        <w:t>❌</w:t>
      </w:r>
      <w:r>
        <w:rPr>
          <w:b/>
        </w:rPr>
        <w:t>Under-classifying severity</w:t>
      </w:r>
      <w:r>
        <w:t>- Minimizing incidents to avoid escalation</w:t>
      </w:r>
      <w:r>
        <w:t>❌</w:t>
      </w:r>
      <w:r>
        <w:rPr>
          <w:b/>
        </w:rPr>
        <w:t>Destroying evidence</w:t>
      </w:r>
      <w:r>
        <w:t>- Rebooting systems or clearing logs before forensics</w:t>
      </w:r>
      <w:r>
        <w:t>❌</w:t>
      </w:r>
      <w:r>
        <w:rPr>
          <w:b/>
        </w:rPr>
        <w:t>No legal involvement</w:t>
      </w:r>
      <w:r>
        <w:t>- Failing to involve legal for potential breaches or regulatory issues</w:t>
      </w:r>
    </w:p>
    <w:p>
      <w:pPr>
        <w:pStyle w:val="Heading2"/>
        <w:spacing w:after="240"/>
      </w:pPr>
      <w:r>
        <w:t>Audit Evidence Usage</w:t>
      </w:r>
    </w:p>
    <w:p>
      <w:pPr>
        <w:spacing w:after="240"/>
      </w:pPr>
      <w:r>
        <w:t>For SOC 2 audits, incident response records demonstrate:</w:t>
        <w:br/>
        <w:t>- ✓ Monitoring and detection capabilities (CC7.2)</w:t>
        <w:br/>
        <w:t>- ✓ Incident assessment and evaluation (CC7.3)</w:t>
        <w:br/>
        <w:t>- ✓ Defined incident response program execution (CC7.4)</w:t>
        <w:br/>
        <w:t>- ✓ Recovery and restoration capabilities (CC7.5, A1.3)</w:t>
        <w:br/>
        <w:t>- ✓ Continuous improvement through lessons learned</w:t>
      </w:r>
    </w:p>
    <w:p>
      <w:pPr>
        <w:spacing w:after="240"/>
      </w:pPr>
      <w:r>
        <w:t>Auditors will review:</w:t>
        <w:br/>
        <w:t>- Sample incident records showing complete lifecycle</w:t>
        <w:br/>
        <w:t>- Evidence of timely response per severity</w:t>
        <w:br/>
        <w:t>- Documentation of root cause analysis</w:t>
        <w:br/>
        <w:t>- Post-incident review documentation</w:t>
        <w:br/>
        <w:t>- Action items implemented to prevent recurrence</w:t>
        <w:br/>
        <w:t>- Metrics and trending analysis</w:t>
        <w:br/>
        <w:t>- Communication and escalation evidence</w:t>
      </w:r>
    </w:p>
    <w:p>
      <w:pPr>
        <w:pStyle w:val="Heading2"/>
        <w:spacing w:after="240"/>
      </w:pPr>
      <w:r>
        <w:t>Related Documents</w:t>
      </w:r>
    </w:p>
    <w:p>
      <w:pPr>
        <w:pStyle w:val="ListBullet"/>
        <w:spacing w:after="120"/>
      </w:pPr>
      <w:r>
        <w:t>Incident Response Plan/Policy</w:t>
      </w:r>
    </w:p>
    <w:p>
      <w:pPr>
        <w:pStyle w:val="ListBullet"/>
        <w:spacing w:after="120"/>
      </w:pPr>
      <w:r>
        <w:t>Security Incident Response Playbooks</w:t>
      </w:r>
    </w:p>
    <w:p>
      <w:pPr>
        <w:pStyle w:val="ListBullet"/>
        <w:spacing w:after="120"/>
      </w:pPr>
      <w:r>
        <w:t>Data Breach Response Plan</w:t>
      </w:r>
    </w:p>
    <w:p>
      <w:pPr>
        <w:pStyle w:val="ListBullet"/>
        <w:spacing w:after="120"/>
      </w:pPr>
      <w:r>
        <w:t>Business Continuity Plan</w:t>
      </w:r>
    </w:p>
    <w:p>
      <w:pPr>
        <w:pStyle w:val="ListBullet"/>
        <w:spacing w:after="120"/>
      </w:pPr>
      <w:r>
        <w:t>Disaster Recovery Plan</w:t>
      </w:r>
    </w:p>
    <w:p>
      <w:pPr>
        <w:pStyle w:val="ListBullet"/>
        <w:spacing w:after="120"/>
      </w:pPr>
      <w:r>
        <w:t>Communication Plan and Templates</w:t>
      </w:r>
    </w:p>
    <w:p>
      <w:pPr>
        <w:pStyle w:val="ListBullet"/>
        <w:spacing w:after="120"/>
      </w:pPr>
      <w:r>
        <w:t>Escalation Matrix</w:t>
      </w:r>
    </w:p>
    <w:p>
      <w:pPr>
        <w:pStyle w:val="ListBullet"/>
        <w:spacing w:after="240"/>
      </w:pPr>
      <w:r>
        <w:t>Contact Lists (on-call schedules)</w:t>
      </w:r>
    </w:p>
    <w:sectPr w:rsidR="00B00019" w:rsidRPr="006E089E" w:rsidSect="003526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DF083" w14:textId="77777777" w:rsidR="008541B5" w:rsidRDefault="008541B5" w:rsidP="00B824FE">
      <w:r>
        <w:separator/>
      </w:r>
    </w:p>
  </w:endnote>
  <w:endnote w:type="continuationSeparator" w:id="0">
    <w:p w14:paraId="354191E1" w14:textId="77777777" w:rsidR="008541B5" w:rsidRDefault="008541B5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32466758"/>
      <w:docPartObj>
        <w:docPartGallery w:val="Page Numbers (Bottom of Page)"/>
        <w:docPartUnique/>
      </w:docPartObj>
    </w:sdtPr>
    <w:sdtContent>
      <w:p w14:paraId="0C0D2983" w14:textId="0828C2CA" w:rsidR="00E5559D" w:rsidRDefault="00E5559D" w:rsidP="008D2EB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3A7346E" w14:textId="77777777" w:rsidR="00E5559D" w:rsidRDefault="00E5559D" w:rsidP="00E555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34659615"/>
      <w:docPartObj>
        <w:docPartGallery w:val="Page Numbers (Bottom of Page)"/>
        <w:docPartUnique/>
      </w:docPartObj>
    </w:sdtPr>
    <w:sdtContent>
      <w:p w14:paraId="4699EFBC" w14:textId="1502DFA9" w:rsidR="00E5559D" w:rsidRDefault="00E5559D" w:rsidP="008D2EB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620F892" w14:textId="188D3832" w:rsidR="00E5559D" w:rsidRPr="00E5559D" w:rsidRDefault="00E5559D" w:rsidP="00E5559D">
    <w:pPr>
      <w:pStyle w:val="Footer"/>
      <w:ind w:right="360"/>
      <w:rPr>
        <w:rFonts w:ascii="Calibri" w:hAnsi="Calibri" w:cs="Calibri"/>
        <w:color w:val="465569"/>
        <w:sz w:val="18"/>
        <w:szCs w:val="18"/>
      </w:rPr>
    </w:pPr>
    <w:r w:rsidRPr="00514566">
      <w:rPr>
        <w:rFonts w:ascii="Calibri" w:hAnsi="Calibri" w:cs="Calibri"/>
        <w:color w:val="465569"/>
        <w:sz w:val="18"/>
        <w:szCs w:val="18"/>
      </w:rPr>
      <w:t>Security-Docs.com – SOC 2 Compliance Templates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95C431A" w14:textId="765E5DEF" w:rsidR="00514566" w:rsidRPr="00514566" w:rsidRDefault="00514566" w:rsidP="00BA7709">
    <w:pPr>
      <w:pStyle w:val="Footer"/>
      <w:ind w:right="360"/>
      <w:rPr>
        <w:rFonts w:ascii="Calibri" w:hAnsi="Calibri" w:cs="Calibri"/>
        <w:color w:val="465569"/>
        <w:sz w:val="18"/>
        <w:szCs w:val="18"/>
      </w:rPr>
    </w:pPr>
    <w:r w:rsidRPr="00514566">
      <w:rPr>
        <w:rFonts w:ascii="Calibri" w:hAnsi="Calibri" w:cs="Calibri"/>
        <w:color w:val="465569"/>
        <w:sz w:val="18"/>
        <w:szCs w:val="18"/>
      </w:rPr>
      <w:t>Security-Docs.com – SOC 2 Compliance Templates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31085" w14:textId="77777777" w:rsidR="008541B5" w:rsidRDefault="008541B5" w:rsidP="00B824FE">
      <w:r>
        <w:separator/>
      </w:r>
    </w:p>
  </w:footnote>
  <w:footnote w:type="continuationSeparator" w:id="0">
    <w:p w14:paraId="58FFDD9D" w14:textId="77777777" w:rsidR="008541B5" w:rsidRDefault="008541B5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BF63A" w14:textId="77777777" w:rsidR="00E5559D" w:rsidRDefault="00E555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167A3" w14:textId="77777777" w:rsidR="00E5559D" w:rsidRDefault="00E555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6D9593C0" w:rsidR="00B824FE" w:rsidRDefault="00B824FE" w:rsidP="00514566">
    <w:pPr>
      <w:pStyle w:val="Header"/>
      <w:ind w:left="-450"/>
    </w:pPr>
    <w:r>
      <w:rPr>
        <w:noProof/>
      </w:rPr>
      <w:drawing>
        <wp:inline distT="0" distB="0" distL="0" distR="0" wp14:anchorId="1E52156D" wp14:editId="59FFDB39">
          <wp:extent cx="2175102" cy="418289"/>
          <wp:effectExtent l="0" t="0" r="0" b="1270"/>
          <wp:docPr id="905938974" name="Graphic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938974" name="Graphic 90593897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794" cy="4505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6914C0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7CE643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C5D2B56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93CC92DC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03B740E4"/>
    <w:multiLevelType w:val="hybridMultilevel"/>
    <w:tmpl w:val="3A427F76"/>
    <w:lvl w:ilvl="0" w:tplc="447CD1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51DAD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8146170"/>
    <w:multiLevelType w:val="hybridMultilevel"/>
    <w:tmpl w:val="C1B600AA"/>
    <w:lvl w:ilvl="0" w:tplc="D8C6C05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6"/>
  </w:num>
  <w:num w:numId="2" w16cid:durableId="234437838">
    <w:abstractNumId w:val="3"/>
  </w:num>
  <w:num w:numId="3" w16cid:durableId="814950308">
    <w:abstractNumId w:val="11"/>
  </w:num>
  <w:num w:numId="4" w16cid:durableId="320043107">
    <w:abstractNumId w:val="10"/>
  </w:num>
  <w:num w:numId="5" w16cid:durableId="1499418388">
    <w:abstractNumId w:val="4"/>
  </w:num>
  <w:num w:numId="6" w16cid:durableId="1967350321">
    <w:abstractNumId w:val="9"/>
  </w:num>
  <w:num w:numId="7" w16cid:durableId="931284340">
    <w:abstractNumId w:val="8"/>
  </w:num>
  <w:num w:numId="8" w16cid:durableId="202835995">
    <w:abstractNumId w:val="10"/>
  </w:num>
  <w:num w:numId="9" w16cid:durableId="563954290">
    <w:abstractNumId w:val="3"/>
  </w:num>
  <w:num w:numId="10" w16cid:durableId="1287390308">
    <w:abstractNumId w:val="11"/>
  </w:num>
  <w:num w:numId="11" w16cid:durableId="251624213">
    <w:abstractNumId w:val="7"/>
  </w:num>
  <w:num w:numId="12" w16cid:durableId="590818287">
    <w:abstractNumId w:val="5"/>
  </w:num>
  <w:num w:numId="13" w16cid:durableId="272712524">
    <w:abstractNumId w:val="2"/>
  </w:num>
  <w:num w:numId="14" w16cid:durableId="1532917521">
    <w:abstractNumId w:val="2"/>
  </w:num>
  <w:num w:numId="15" w16cid:durableId="382950448">
    <w:abstractNumId w:val="2"/>
  </w:num>
  <w:num w:numId="16" w16cid:durableId="49695385">
    <w:abstractNumId w:val="2"/>
  </w:num>
  <w:num w:numId="17" w16cid:durableId="518204003">
    <w:abstractNumId w:val="2"/>
  </w:num>
  <w:num w:numId="18" w16cid:durableId="583222150">
    <w:abstractNumId w:val="1"/>
  </w:num>
  <w:num w:numId="19" w16cid:durableId="99695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0BB6"/>
    <w:rsid w:val="00044C7F"/>
    <w:rsid w:val="000869DF"/>
    <w:rsid w:val="000C26DD"/>
    <w:rsid w:val="000F0A71"/>
    <w:rsid w:val="00141DEC"/>
    <w:rsid w:val="00147CD2"/>
    <w:rsid w:val="001563F7"/>
    <w:rsid w:val="00162083"/>
    <w:rsid w:val="00180CF8"/>
    <w:rsid w:val="00200FF4"/>
    <w:rsid w:val="0021237B"/>
    <w:rsid w:val="002446C2"/>
    <w:rsid w:val="00293E82"/>
    <w:rsid w:val="002A7662"/>
    <w:rsid w:val="002B6640"/>
    <w:rsid w:val="00345520"/>
    <w:rsid w:val="00352662"/>
    <w:rsid w:val="0039617A"/>
    <w:rsid w:val="00402C19"/>
    <w:rsid w:val="00433E33"/>
    <w:rsid w:val="004C7B44"/>
    <w:rsid w:val="00514566"/>
    <w:rsid w:val="00533DC6"/>
    <w:rsid w:val="00550A5B"/>
    <w:rsid w:val="00557CEC"/>
    <w:rsid w:val="005653CD"/>
    <w:rsid w:val="00573740"/>
    <w:rsid w:val="0058441E"/>
    <w:rsid w:val="005856CA"/>
    <w:rsid w:val="00660DC2"/>
    <w:rsid w:val="006C6BE7"/>
    <w:rsid w:val="006E089E"/>
    <w:rsid w:val="00712284"/>
    <w:rsid w:val="00761A62"/>
    <w:rsid w:val="007803A1"/>
    <w:rsid w:val="00782957"/>
    <w:rsid w:val="007843F2"/>
    <w:rsid w:val="00784994"/>
    <w:rsid w:val="0081307D"/>
    <w:rsid w:val="008541B5"/>
    <w:rsid w:val="00864D28"/>
    <w:rsid w:val="0086728D"/>
    <w:rsid w:val="008F0E63"/>
    <w:rsid w:val="00910787"/>
    <w:rsid w:val="00913EB6"/>
    <w:rsid w:val="009272A3"/>
    <w:rsid w:val="009564B0"/>
    <w:rsid w:val="00956FEF"/>
    <w:rsid w:val="00985DC7"/>
    <w:rsid w:val="00994EBB"/>
    <w:rsid w:val="009B12E3"/>
    <w:rsid w:val="009B61F3"/>
    <w:rsid w:val="009C62D4"/>
    <w:rsid w:val="009F49C0"/>
    <w:rsid w:val="00A47091"/>
    <w:rsid w:val="00A93307"/>
    <w:rsid w:val="00A9486B"/>
    <w:rsid w:val="00AA07D8"/>
    <w:rsid w:val="00AC584E"/>
    <w:rsid w:val="00AE0061"/>
    <w:rsid w:val="00B00019"/>
    <w:rsid w:val="00B07EF5"/>
    <w:rsid w:val="00B20756"/>
    <w:rsid w:val="00B26390"/>
    <w:rsid w:val="00B57970"/>
    <w:rsid w:val="00B824FE"/>
    <w:rsid w:val="00BA7709"/>
    <w:rsid w:val="00BB0EFC"/>
    <w:rsid w:val="00C2094E"/>
    <w:rsid w:val="00C33925"/>
    <w:rsid w:val="00CE4FB6"/>
    <w:rsid w:val="00D267FD"/>
    <w:rsid w:val="00D343BC"/>
    <w:rsid w:val="00D4414D"/>
    <w:rsid w:val="00D54D07"/>
    <w:rsid w:val="00D86F8D"/>
    <w:rsid w:val="00DE0B58"/>
    <w:rsid w:val="00E5559D"/>
    <w:rsid w:val="00E636A7"/>
    <w:rsid w:val="00EE5344"/>
    <w:rsid w:val="00EF2FC1"/>
    <w:rsid w:val="00EF6320"/>
    <w:rsid w:val="00F46276"/>
    <w:rsid w:val="00F51FDA"/>
    <w:rsid w:val="00F71888"/>
    <w:rsid w:val="00F82F06"/>
    <w:rsid w:val="00F91377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20BB6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20BB6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E5344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20BB6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020BB6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B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B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B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B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BB6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E5344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20BB6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0BB6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020BB6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BB6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BB6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BB6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BB6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BB6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BB6"/>
    <w:rPr>
      <w:rFonts w:ascii="Arial" w:eastAsiaTheme="majorEastAsia" w:hAnsi="Arial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20BB6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BB6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B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BB6"/>
    <w:rPr>
      <w:rFonts w:ascii="Arial" w:hAnsi="Arial"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BB6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B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0B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0BB6"/>
    <w:rPr>
      <w:rFonts w:ascii="Arial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020B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0BB6"/>
    <w:rPr>
      <w:rFonts w:ascii="Arial" w:hAnsi="Arial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020BB6"/>
  </w:style>
  <w:style w:type="paragraph" w:styleId="ListBullet">
    <w:name w:val="List Bullet"/>
    <w:basedOn w:val="Normal"/>
    <w:autoRedefine/>
    <w:uiPriority w:val="99"/>
    <w:unhideWhenUsed/>
    <w:qFormat/>
    <w:rsid w:val="009F49C0"/>
    <w:pPr>
      <w:numPr>
        <w:numId w:val="9"/>
      </w:numPr>
      <w:contextualSpacing/>
    </w:pPr>
  </w:style>
  <w:style w:type="numbering" w:customStyle="1" w:styleId="CurrentList1">
    <w:name w:val="Current List1"/>
    <w:uiPriority w:val="99"/>
    <w:rsid w:val="00020BB6"/>
    <w:pPr>
      <w:numPr>
        <w:numId w:val="4"/>
      </w:numPr>
    </w:pPr>
  </w:style>
  <w:style w:type="numbering" w:customStyle="1" w:styleId="CurrentList2">
    <w:name w:val="Current List2"/>
    <w:uiPriority w:val="99"/>
    <w:rsid w:val="00712284"/>
    <w:pPr>
      <w:numPr>
        <w:numId w:val="7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rsid w:val="00020BB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20BB6"/>
    <w:rPr>
      <w:rFonts w:ascii="Arial" w:hAnsi="Arial" w:cs="Times New Roman"/>
    </w:rPr>
  </w:style>
  <w:style w:type="paragraph" w:customStyle="1" w:styleId="Code">
    <w:name w:val="Code"/>
    <w:basedOn w:val="Normal"/>
    <w:autoRedefine/>
    <w:qFormat/>
    <w:rsid w:val="00020BB6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paragraph" w:customStyle="1" w:styleId="Filename">
    <w:name w:val="Filename"/>
    <w:basedOn w:val="Code"/>
    <w:autoRedefine/>
    <w:qFormat/>
    <w:rsid w:val="00020BB6"/>
  </w:style>
  <w:style w:type="paragraph" w:styleId="ListNumber">
    <w:name w:val="List Number"/>
    <w:basedOn w:val="Normal"/>
    <w:autoRedefine/>
    <w:uiPriority w:val="99"/>
    <w:unhideWhenUsed/>
    <w:qFormat/>
    <w:rsid w:val="00A9486B"/>
    <w:pPr>
      <w:numPr>
        <w:numId w:val="17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B00019"/>
    <w:pPr>
      <w:numPr>
        <w:numId w:val="18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B00019"/>
    <w:pPr>
      <w:numPr>
        <w:numId w:val="1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8</cp:revision>
  <dcterms:created xsi:type="dcterms:W3CDTF">2025-10-08T19:52:00Z</dcterms:created>
  <dcterms:modified xsi:type="dcterms:W3CDTF">2025-10-08T23:48:00Z</dcterms:modified>
</cp:coreProperties>
</file>