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t xml:space="preserve"/>
      </w:r>
    </w:p>
    <w:p>
      <w:pPr>
        <w:spacing w:before="0" w:after="80"/>
        <w:jc w:val="center"/>
      </w:pPr>
      <w:r>
        <w:rPr>
          <w:rFonts w:ascii="Arial" w:cs="Arial" w:eastAsia="Arial" w:hAnsi="Arial"/>
          <w:b/>
          <w:bCs/>
          <w:color w:val="1B3A6B"/>
          <w:sz w:val="72"/>
          <w:szCs w:val="72"/>
        </w:rPr>
        <w:t xml:space="preserve">BORDERWATCH</w:t>
      </w:r>
    </w:p>
    <w:p>
      <w:pPr>
        <w:spacing w:before="0" w:after="80"/>
        <w:jc w:val="center"/>
      </w:pPr>
      <w:r>
        <w:rPr>
          <w:rFonts w:ascii="Arial" w:cs="Arial" w:eastAsia="Arial" w:hAnsi="Arial"/>
          <w:i/>
          <w:iCs/>
          <w:color w:val="0F6E56"/>
          <w:sz w:val="26"/>
          <w:szCs w:val="26"/>
        </w:rPr>
        <w:t xml:space="preserve">High-Availability Goods-in-Transit Surveillance System</w:t>
      </w:r>
    </w:p>
    <w:p>
      <w:pPr>
        <w:spacing w:before="0" w:after="400"/>
        <w:jc w:val="center"/>
      </w:pPr>
      <w:r>
        <w:rPr>
          <w:rFonts w:ascii="Arial" w:cs="Arial" w:eastAsia="Arial" w:hAnsi="Arial"/>
          <w:color w:val="9CA3AF"/>
          <w:sz w:val="20"/>
          <w:szCs w:val="20"/>
        </w:rPr>
        <w:t xml:space="preserve">Douala–N'Djamena · Douala–Bangui Customs Corridors · CEMAC Region</w:t>
      </w:r>
    </w:p>
    <w:p>
      <w:pPr>
        <w:pBdr>
          <w:top w:val="single" w:color="0F6E56" w:sz="6"/>
          <w:bottom w:val="single" w:color="0F6E56" w:sz="6"/>
        </w:pBdr>
        <w:spacing w:before="160" w:after="160"/>
        <w:jc w:val="center"/>
      </w:pPr>
      <w:r>
        <w:rPr>
          <w:rFonts w:ascii="Arial" w:cs="Arial" w:eastAsia="Arial" w:hAnsi="Arial"/>
          <w:b/>
          <w:bCs/>
          <w:color w:val="1B3A6B"/>
          <w:sz w:val="28"/>
          <w:szCs w:val="28"/>
        </w:rPr>
        <w:t xml:space="preserve">SECTION 8 — ARCHITECTURE STRUCTURES AND CHARACTERISTICS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 — Architecture Structures &amp; Characteristics (20 Marks)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Architecture Style</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Service-Oriented Architecture (SOA) + Hexagonal (Ports &amp; Adapters) within each service</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Communication</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REST (synchronous inbound) + AMQP/RabbitMQ (asynchronous event bus)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Quality Attributes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Performance, Scalability, Availability, Security, Maintainability, Observability</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Views Covered</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Component View · Deployment View · Module View · Sequence View · Data View</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Design Process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ISO/IEC 25010 · ADD (Attribute-Driven Design) · C4 Model · 4+1 View Model</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UML Diagrams</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Component, Deployment, Sequence, Class, State, Package, Activity diagrams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Marks Alignment</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Architecture style (5M) · Structures &amp; views (5M) · Trade-offs &amp; QA (5M) · Pros/Cons (5M)</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1. Architectural Design Process</w:t>
      </w:r>
    </w:p>
    <w:p>
      <w:pPr>
        <w:spacing w:before="40" w:after="40"/>
        <w:jc w:val="both"/>
      </w:pPr>
      <w:r>
        <w:rPr>
          <w:rFonts w:ascii="Arial" w:cs="Arial" w:eastAsia="Arial" w:hAnsi="Arial"/>
          <w:color w:val="374151"/>
          <w:sz w:val="22"/>
          <w:szCs w:val="22"/>
        </w:rPr>
        <w:t xml:space="preserve">The BorderWatch architecture was not chosen by guesswork — it emerged from a structured engineering process that followed the Attribute-Driven Design (ADD) methodology. ADD is a recursive design technique that makes architectural decisions driven by quality attribute requirements (QARs) — measurable, testable statements about system behaviour under specific conditions. This section documents every step of that process, from problem understanding through architectural decision records (ADRs).</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1.1  Step 1: Understand the Problem — Architectural Drivers</w:t>
      </w:r>
    </w:p>
    <w:p>
      <w:pPr>
        <w:spacing w:before="40" w:after="40"/>
        <w:jc w:val="both"/>
      </w:pPr>
      <w:r>
        <w:rPr>
          <w:rFonts w:ascii="Arial" w:cs="Arial" w:eastAsia="Arial" w:hAnsi="Arial"/>
          <w:color w:val="374151"/>
          <w:sz w:val="22"/>
          <w:szCs w:val="22"/>
        </w:rPr>
        <w:t xml:space="preserve">The first step in ADD is to identify the architectural drivers: the functional requirements, quality attribute requirements, and constraints that have the most architectural impact. The jury requirement document specifies two hard constraints that immediately determined the architecture: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200"/>
        <w:gridCol w:w="4026"/>
      </w:tblGrid>
      <w:tr>
        <w:trPr>
          <w:tblHeader/>
        </w:trPr>
        <w:tc>
          <w:tcPr>
            <w:tcW w:type="dxa" w:w="7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Driver ID</w:t>
            </w:r>
          </w:p>
        </w:tc>
        <w:tc>
          <w:tcPr>
            <w:tcW w:type="dxa" w:w="11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Statement</w:t>
            </w:r>
          </w:p>
        </w:tc>
        <w:tc>
          <w:tcPr>
            <w:tcW w:type="dxa" w:w="4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Architectural Impact</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AD-01</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Performance QAR</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The system must process 10,000 GPS requests per second with P95 latency &lt; 200ms under full load</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Eliminates monolithic architecture; requires horizontal scaling and non-blocking I/O</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AD-02</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Availability QAR</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The system must self-heal from Chaos Monkey container kills with zero request loss</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Requires 3+ replicas per tier, health checks, and load balancing; eliminates single points of failure</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AD-03</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Functional</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Geofencing must detect off-route trucks within one processing cycle of the GPS ping</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Drives event-driven design: GPS ping → immediate async downstream processing</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AD-04</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Functional</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Legal audit trail: every violation must be immutably recorded with chain of custody</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Drives immutable append-only persistence; compliance service cannot share DB write path with ingestion</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AD-05</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Scalability QAR</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System must be expandable to cover all CEMAC member states without code modification</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Drives externally-configurable corridor data; eliminates hardcoded routing rules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AD-06</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Security QAR</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Sensitive customs data must remain under national control</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Drives VPS hosting over public cloud SaaS; TLS everywhere; network isolation</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AD-07</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Constraint</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Budget: 8,000–15,000 FCFA/month on a single 16 GB VPS</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Eliminates managed Kubernetes, multi-region deployment; constrains to self-hosted orchestration</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AD-08</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Constraint</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Academic demonstration: system must visually demonstrate 10k rps to a jury</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Drives Grafana dashboard integration as a first-class architectural concern</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1.2  Step 2: Identify Candidate Architecture Styles</w:t>
      </w:r>
    </w:p>
    <w:p>
      <w:pPr>
        <w:spacing w:before="40" w:after="40"/>
        <w:jc w:val="both"/>
      </w:pPr>
      <w:r>
        <w:rPr>
          <w:rFonts w:ascii="Arial" w:cs="Arial" w:eastAsia="Arial" w:hAnsi="Arial"/>
          <w:color w:val="374151"/>
          <w:sz w:val="22"/>
          <w:szCs w:val="22"/>
        </w:rPr>
        <w:t xml:space="preserve">Based on the architectural drivers, four candidate architecture styles were evaluated. Each was assessed against the top five drivers (AD-01, AD-02, AD-03, AD-04, AD-06) using a structured decision matrix.</w:t>
      </w:r>
    </w:p>
    <w:p>
      <w:pPr>
        <w:spacing w:before="0" w:after="80"/>
      </w:pPr>
      <w:r>
        <w:t xml:space="preserve"/>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900"/>
        <w:gridCol w:w="900"/>
        <w:gridCol w:w="1126"/>
      </w:tblGrid>
      <w:tr>
        <w:trPr>
          <w:tblHeader/>
        </w:trPr>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Style</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AD-01 Perf.</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AD-02 Avail.</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AD-03 Event</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AD-04 Audit</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AD-06 Security</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11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Monolith (layered)</w:t>
            </w:r>
          </w:p>
        </w:tc>
        <w:tc>
          <w:tcPr>
            <w:tcW w:type="dxa" w:w="9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A32D2D"/>
                <w:sz w:val="20"/>
                <w:szCs w:val="20"/>
              </w:rPr>
              <w:t xml:space="preserve">✗  1</w:t>
            </w:r>
          </w:p>
        </w:tc>
        <w:tc>
          <w:tcPr>
            <w:tcW w:type="dxa" w:w="9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A32D2D"/>
                <w:sz w:val="20"/>
                <w:szCs w:val="20"/>
              </w:rPr>
              <w:t xml:space="preserve">✗  1</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  2</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  2</w:t>
            </w:r>
          </w:p>
        </w:tc>
        <w:tc>
          <w:tcPr>
            <w:tcW w:type="dxa" w:w="9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4</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10/25</w:t>
            </w:r>
          </w:p>
        </w:tc>
        <w:tc>
          <w:tcPr>
            <w:tcW w:type="dxa" w:w="1126"/>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A32D2D"/>
                <w:sz w:val="20"/>
                <w:szCs w:val="20"/>
              </w:rPr>
              <w:t xml:space="preserve">REJECTED</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Pipe &amp; Filter</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  3</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  2</w:t>
            </w:r>
          </w:p>
        </w:tc>
        <w:tc>
          <w:tcPr>
            <w:tcW w:type="dxa" w:w="9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4</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  2</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  3</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14/25</w:t>
            </w:r>
          </w:p>
        </w:tc>
        <w:tc>
          <w:tcPr>
            <w:tcW w:type="dxa" w:w="1126"/>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A32D2D"/>
                <w:sz w:val="20"/>
                <w:szCs w:val="20"/>
              </w:rPr>
              <w:t xml:space="preserve">REJECTED</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Microservices (pure REST)</w:t>
            </w:r>
          </w:p>
        </w:tc>
        <w:tc>
          <w:tcPr>
            <w:tcW w:type="dxa" w:w="9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4</w:t>
            </w:r>
          </w:p>
        </w:tc>
        <w:tc>
          <w:tcPr>
            <w:tcW w:type="dxa" w:w="9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4</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  3</w:t>
            </w:r>
          </w:p>
        </w:tc>
        <w:tc>
          <w:tcPr>
            <w:tcW w:type="dxa" w:w="9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4</w:t>
            </w:r>
          </w:p>
        </w:tc>
        <w:tc>
          <w:tcPr>
            <w:tcW w:type="dxa" w:w="9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4</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19/25</w:t>
            </w:r>
          </w:p>
        </w:tc>
        <w:tc>
          <w:tcPr>
            <w:tcW w:type="dxa" w:w="1126"/>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CANDIDATE</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SOA + Event-Driven (AMQP)</w:t>
            </w:r>
          </w:p>
        </w:tc>
        <w:tc>
          <w:tcPr>
            <w:tcW w:type="dxa" w:w="9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5</w:t>
            </w:r>
          </w:p>
        </w:tc>
        <w:tc>
          <w:tcPr>
            <w:tcW w:type="dxa" w:w="9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5</w:t>
            </w:r>
          </w:p>
        </w:tc>
        <w:tc>
          <w:tcPr>
            <w:tcW w:type="dxa" w:w="9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5</w:t>
            </w:r>
          </w:p>
        </w:tc>
        <w:tc>
          <w:tcPr>
            <w:tcW w:type="dxa" w:w="9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5</w:t>
            </w:r>
          </w:p>
        </w:tc>
        <w:tc>
          <w:tcPr>
            <w:tcW w:type="dxa" w:w="9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4</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24/25</w:t>
            </w:r>
          </w:p>
        </w:tc>
        <w:tc>
          <w:tcPr>
            <w:tcW w:type="dxa" w:w="11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SELECTED</w:t>
            </w:r>
          </w:p>
        </w:tc>
      </w:tr>
    </w:tbl>
    <w:p>
      <w:pPr>
        <w:spacing w:before="0" w:after="80"/>
      </w:pPr>
      <w:r>
        <w:t xml:space="preserve"/>
      </w:r>
    </w:p>
    <w:p>
      <w:pPr>
        <w:spacing w:before="40" w:after="40"/>
        <w:jc w:val="both"/>
      </w:pPr>
      <w:r>
        <w:rPr>
          <w:rFonts w:ascii="Arial" w:cs="Arial" w:eastAsia="Arial" w:hAnsi="Arial"/>
          <w:color w:val="374151"/>
          <w:sz w:val="22"/>
          <w:szCs w:val="22"/>
        </w:rPr>
        <w:t xml:space="preserve">Pure REST microservices scored 19/25 — a viable choice. The deciding factor for SOA + Event-Driven was driver AD-01: at 10,000 GPS pings per second, a synchronous REST call from Ingestion to Tracking to Compliance would create a latency chain of three sequential HTTP round-trips. Using RabbitMQ as an asynchronous event bus decouples the ingestion path from geofencing and compliance — the Ingestion Service returns a 202 Accepted in under 10ms, while tracking and compliance process in the background. This is the only way to achieve P95 &lt; 200ms at 10k rps on a single VPS.</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1.3  Step 3: Make Architectural Decisions — ADR Log</w:t>
      </w:r>
    </w:p>
    <w:p>
      <w:pPr>
        <w:spacing w:before="40" w:after="40"/>
        <w:jc w:val="both"/>
      </w:pPr>
      <w:r>
        <w:rPr>
          <w:rFonts w:ascii="Arial" w:cs="Arial" w:eastAsia="Arial" w:hAnsi="Arial"/>
          <w:color w:val="374151"/>
          <w:sz w:val="22"/>
          <w:szCs w:val="22"/>
        </w:rPr>
        <w:t xml:space="preserve">Architectural Decision Records (ADRs) document every significant architectural decision, the alternatives considered, and the rationale. They provide the audit trail that demonstrates architectural thinking — the primary goal of this section.</w:t>
      </w:r>
    </w:p>
    <w:p>
      <w:pPr>
        <w:spacing w:before="0" w:after="80"/>
      </w:pPr>
      <w:r>
        <w:t xml:space="preserve"/>
      </w:r>
    </w:p>
    <w:p>
      <w:pPr>
        <w:pStyle w:val="Heading4"/>
        <w:spacing w:before="160" w:after="80"/>
      </w:pPr>
      <w:r>
        <w:rPr>
          <w:rFonts w:ascii="Arial" w:cs="Arial" w:eastAsia="Arial" w:hAnsi="Arial"/>
          <w:b/>
          <w:bCs/>
          <w:color w:val="4B3F9E"/>
          <w:sz w:val="22"/>
          <w:szCs w:val="22"/>
        </w:rPr>
        <w:t xml:space="preserve">ADR-001: Architecture Style — SOA with Hexagonal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Status</w:t>
            </w:r>
          </w:p>
        </w:tc>
        <w:tc>
          <w:tcPr>
            <w:tcW w:type="dxa" w:w="7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Accepted</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Context</w:t>
            </w:r>
          </w:p>
        </w:tc>
        <w:tc>
          <w:tcPr>
            <w:tcW w:type="dxa" w:w="7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10k rps requirement and Chaos Monkey self-healing requirement cannot both be met by a monolith. The system must be decomposable into independently deployable, independently scalable units.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Decision</w:t>
            </w:r>
          </w:p>
        </w:tc>
        <w:tc>
          <w:tcPr>
            <w:tcW w:type="dxa" w:w="7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Adopt Service-Oriented Architecture (SOA) with three core services: Ingestion, Tracking, Compliance. Each service internally follows the Hexagonal Architecture (Ports &amp; Adapters) pattern to decouple business logic from infrastructure.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Alternatives</w:t>
            </w:r>
          </w:p>
        </w:tc>
        <w:tc>
          <w:tcPr>
            <w:tcW w:type="dxa" w:w="7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Layered monolith: rejected — cannot scale independently; one slow service blocks all. (2) Pure microservices with REST: rejected — synchronous chain creates latency cascade at 10k rps.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Consequences</w:t>
            </w:r>
          </w:p>
        </w:tc>
        <w:tc>
          <w:tcPr>
            <w:tcW w:type="dxa" w:w="7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Each service can be scaled, deployed, and restarted independently. Domain logic is testable without infrastructure. Adds operational complexity (message broker needed).</w:t>
            </w:r>
          </w:p>
        </w:tc>
      </w:tr>
    </w:tbl>
    <w:p>
      <w:pPr>
        <w:spacing w:before="0" w:after="80"/>
      </w:pPr>
      <w:r>
        <w:t xml:space="preserve"/>
      </w:r>
    </w:p>
    <w:p>
      <w:pPr>
        <w:pStyle w:val="Heading4"/>
        <w:spacing w:before="160" w:after="80"/>
      </w:pPr>
      <w:r>
        <w:rPr>
          <w:rFonts w:ascii="Arial" w:cs="Arial" w:eastAsia="Arial" w:hAnsi="Arial"/>
          <w:b/>
          <w:bCs/>
          <w:color w:val="4B3F9E"/>
          <w:sz w:val="22"/>
          <w:szCs w:val="22"/>
        </w:rPr>
        <w:t xml:space="preserve">ADR-002: Asynchronous Communication — AMQP/RabbitMQ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Status</w:t>
            </w:r>
          </w:p>
        </w:tc>
        <w:tc>
          <w:tcPr>
            <w:tcW w:type="dxa" w:w="7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Accepted</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Context</w:t>
            </w:r>
          </w:p>
        </w:tc>
        <w:tc>
          <w:tcPr>
            <w:tcW w:type="dxa" w:w="7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 must respond in &lt;10ms. Geofencing (Haversine algorithm + corridor loop) takes ~3ms per position. At 10k rps these cannot be in the same HTTP call chain without violating the P95 SLA.</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Decision</w:t>
            </w:r>
          </w:p>
        </w:tc>
        <w:tc>
          <w:tcPr>
            <w:tcW w:type="dxa" w:w="7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Use RabbitMQ with AMQP for all service-to-service communication after ingestion. Ingestion publishes to 'telemetry.events' topic exchange. Tracking consumes from 'tracking.queue'. Compliance consumes from 'compliance.alerts' fanout exchange.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Alternatives</w:t>
            </w:r>
          </w:p>
        </w:tc>
        <w:tc>
          <w:tcPr>
            <w:tcW w:type="dxa" w:w="7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Apache Kafka: rejected — heavier operational footprint, Zookeeper dependency, overkill for single-VPS deployment. (2) Redis Pub/Sub: rejected — not durable; messages lost if consumer is restarting during Chaos Monkey test. (3) HTTP callbacks: rejected — tight coupling, no backpressure.</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Consequences</w:t>
            </w:r>
          </w:p>
        </w:tc>
        <w:tc>
          <w:tcPr>
            <w:tcW w:type="dxa" w:w="7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Durable queues survive broker restarts. Backpressure via prefetch(100). Message fanout supports future compliance consumers. Adds one more stateful component to operate.</w:t>
            </w:r>
          </w:p>
        </w:tc>
      </w:tr>
    </w:tbl>
    <w:p>
      <w:pPr>
        <w:spacing w:before="0" w:after="80"/>
      </w:pPr>
      <w:r>
        <w:t xml:space="preserve"/>
      </w:r>
    </w:p>
    <w:p>
      <w:pPr>
        <w:pStyle w:val="Heading4"/>
        <w:spacing w:before="160" w:after="80"/>
      </w:pPr>
      <w:r>
        <w:rPr>
          <w:rFonts w:ascii="Arial" w:cs="Arial" w:eastAsia="Arial" w:hAnsi="Arial"/>
          <w:b/>
          <w:bCs/>
          <w:color w:val="4B3F9E"/>
          <w:sz w:val="22"/>
          <w:szCs w:val="22"/>
        </w:rPr>
        <w:t xml:space="preserve">ADR-003: Data Layer — TiDB Distributed 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Status</w:t>
            </w:r>
          </w:p>
        </w:tc>
        <w:tc>
          <w:tcPr>
            <w:tcW w:type="dxa" w:w="7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Accepted</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Context</w:t>
            </w:r>
          </w:p>
        </w:tc>
        <w:tc>
          <w:tcPr>
            <w:tcW w:type="dxa" w:w="7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At 10,000 inserts/second, standard MySQL with a single primary writer will lock the table on every INSERT, causing a write bottleneck that violates the performance QAR.</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Decision</w:t>
            </w:r>
          </w:p>
        </w:tc>
        <w:tc>
          <w:tcPr>
            <w:tcW w:type="dxa" w:w="7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Use TiDB Cloud — a distributed SQL database that separates compute (TiDB) from storage (TiKV). The truck_telemetry table is created with PRE_SPLIT_REGIONS=8 to pre-distribute write load across 8 TiKV nodes from the first insert.</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Alternatives</w:t>
            </w:r>
          </w:p>
        </w:tc>
        <w:tc>
          <w:tcPr>
            <w:tcW w:type="dxa" w:w="7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PostgreSQL: rejected — single-node write scaling limit. (2) MongoDB: rejected — no relational integrity for foreign key audit trail (AD-04). (3) Cassandra: rejected — eventual consistency incompatible with legal audit requirements.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Consequences</w:t>
            </w:r>
          </w:p>
        </w:tc>
        <w:tc>
          <w:tcPr>
            <w:tcW w:type="dxa" w:w="7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Eliminates write bottleneck. Automatic data replication for durability. Higher latency (~40ms) vs local MySQL (~2ms) — acceptable because writes are async (Ingestion doesn't wait for TiDB ACK).</w:t>
            </w:r>
          </w:p>
        </w:tc>
      </w:tr>
    </w:tbl>
    <w:p>
      <w:pPr>
        <w:spacing w:before="0" w:after="80"/>
      </w:pPr>
      <w:r>
        <w:t xml:space="preserve"/>
      </w:r>
    </w:p>
    <w:p>
      <w:pPr>
        <w:pStyle w:val="Heading4"/>
        <w:spacing w:before="160" w:after="80"/>
      </w:pPr>
      <w:r>
        <w:rPr>
          <w:rFonts w:ascii="Arial" w:cs="Arial" w:eastAsia="Arial" w:hAnsi="Arial"/>
          <w:b/>
          <w:bCs/>
          <w:color w:val="4B3F9E"/>
          <w:sz w:val="22"/>
          <w:szCs w:val="22"/>
        </w:rPr>
        <w:t xml:space="preserve">ADR-004: Deployment — Docker Compose (upgrade path to Kubernetes)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Status</w:t>
            </w:r>
          </w:p>
        </w:tc>
        <w:tc>
          <w:tcPr>
            <w:tcW w:type="dxa" w:w="7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Accepted (v1: Docker Compose; v2: Kubernetes)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Context</w:t>
            </w:r>
          </w:p>
        </w:tc>
        <w:tc>
          <w:tcPr>
            <w:tcW w:type="dxa" w:w="7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Budget constraint AD-07 (8–15k FCFA/month) eliminates managed Kubernetes. A single 16GB VPS must host everything.</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Decision</w:t>
            </w:r>
          </w:p>
        </w:tc>
        <w:tc>
          <w:tcPr>
            <w:tcW w:type="dxa" w:w="7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Phase 1: Docker Compose with 3 replicas per service tier, restart:always, and Docker health checks. Phase 2: Kubernetes manifests (k8s/ directory) designed and delivered for the academic evaluation, deployable to K3s or Hetzner K8s when budget permits.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Consequences</w:t>
            </w:r>
          </w:p>
        </w:tc>
        <w:tc>
          <w:tcPr>
            <w:tcW w:type="dxa" w:w="7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Compose has proven resilience (Chaos Monkey test passed). Kubernetes manifests are ready for production migration. The same container images work in both environments.</w:t>
            </w:r>
          </w:p>
        </w:tc>
      </w:tr>
    </w:tbl>
    <w:p>
      <w:r>
        <w:br w:type="page"/>
      </w:r>
    </w:p>
    <w:p>
      <w:pPr>
        <w:pStyle w:val="Heading2"/>
        <w:spacing w:before="280" w:after="120"/>
      </w:pPr>
      <w:r>
        <w:rPr>
          <w:rFonts w:ascii="Arial" w:cs="Arial" w:eastAsia="Arial" w:hAnsi="Arial"/>
          <w:b/>
          <w:bCs/>
          <w:color w:val="0F6E56"/>
          <w:sz w:val="26"/>
          <w:szCs w:val="26"/>
        </w:rPr>
        <w:t xml:space="preserve">1.4  Step 4: Architectural Decomposition</w:t>
      </w:r>
    </w:p>
    <w:p>
      <w:pPr>
        <w:spacing w:before="40" w:after="40"/>
        <w:jc w:val="both"/>
      </w:pPr>
      <w:r>
        <w:rPr>
          <w:rFonts w:ascii="Arial" w:cs="Arial" w:eastAsia="Arial" w:hAnsi="Arial"/>
          <w:color w:val="374151"/>
          <w:sz w:val="22"/>
          <w:szCs w:val="22"/>
        </w:rPr>
        <w:t xml:space="preserve">Following the architecture style selection, the system was decomposed into services based on the Single Responsibility Principle (SRP) and bounded context analysis (from Domain-Driven Design). Three bounded contexts emerged from analysis of the customs surveillance domain: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626"/>
      </w:tblGrid>
      <w:tr>
        <w:trPr>
          <w:tblHeader/>
        </w:trPr>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Bounded Context</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Domain Concepts</w:t>
            </w:r>
          </w:p>
        </w:tc>
        <w:tc>
          <w:tcPr>
            <w:tcW w:type="dxa" w:w="16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GPS Telemetry Ingestion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Accept, validate, and route raw GPS pings from beacons</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GPS payload, truck_id, validation rule, telemetry record</w:t>
            </w:r>
          </w:p>
        </w:tc>
        <w:tc>
          <w:tcPr>
            <w:tcW w:type="dxa" w:w="1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 Service</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Route Surveillance</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Determine if a truck is within a legal customs corridor</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Corridor, waypoint, tolerance, geofencing result, deviation</w:t>
            </w:r>
          </w:p>
        </w:tc>
        <w:tc>
          <w:tcPr>
            <w:tcW w:type="dxa" w:w="1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 Engine</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 &amp; Audit</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Record violations, calculate penalties, provide legal audit trail</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Violation, severity, penalty, status transition, officer</w:t>
            </w:r>
          </w:p>
        </w:tc>
        <w:tc>
          <w:tcPr>
            <w:tcW w:type="dxa" w:w="1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 Service</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Infrastructure</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Cross-cutting: routing, security, monitoring, messaging</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Gateway, load balancer, message bus, metrics, alerts</w:t>
            </w:r>
          </w:p>
        </w:tc>
        <w:tc>
          <w:tcPr>
            <w:tcW w:type="dxa" w:w="1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Gateway + RabbitMQ + Monitoring</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2. Architecture Style — Justification and Rationale</w:t>
      </w:r>
    </w:p>
    <w:p>
      <w:pPr>
        <w:pStyle w:val="Heading2"/>
        <w:spacing w:before="280" w:after="120"/>
      </w:pPr>
      <w:r>
        <w:rPr>
          <w:rFonts w:ascii="Arial" w:cs="Arial" w:eastAsia="Arial" w:hAnsi="Arial"/>
          <w:b/>
          <w:bCs/>
          <w:color w:val="0F6E56"/>
          <w:sz w:val="26"/>
          <w:szCs w:val="26"/>
        </w:rPr>
        <w:t xml:space="preserve">2.1  Primary Style: Service-Oriented Architecture (SOA)</w:t>
      </w:r>
    </w:p>
    <w:p>
      <w:pPr>
        <w:spacing w:before="40" w:after="40"/>
        <w:jc w:val="both"/>
      </w:pPr>
      <w:r>
        <w:rPr>
          <w:rFonts w:ascii="Arial" w:cs="Arial" w:eastAsia="Arial" w:hAnsi="Arial"/>
          <w:color w:val="374151"/>
          <w:sz w:val="22"/>
          <w:szCs w:val="22"/>
        </w:rPr>
        <w:t xml:space="preserve">Service-Oriented Architecture organises the system as a collection of loosely coupled, independently deployable services that communicate over well-defined interfaces. BorderWatch implements SOA through three domain services (Ingestion, Tracking, Compliance) plus four infrastructure services (Gateway, RabbitMQ, Prometheus, Grafana). The defining SOA characteristics and how BorderWatch achieves them:</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SOA Characteristic</w:t>
            </w:r>
          </w:p>
        </w:tc>
        <w:tc>
          <w:tcPr>
            <w:tcW w:type="dxa" w:w="6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BorderWatch Implements It</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Loose coupling</w:t>
            </w:r>
          </w:p>
        </w:tc>
        <w:tc>
          <w:tcPr>
            <w:tcW w:type="dxa" w:w="6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Services communicate only via HTTP (gateway→services) or AMQP messages (ingestion→tracking→compliance). No shared database, no shared code library, no direct function calls between services.</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 contract</w:t>
            </w:r>
          </w:p>
        </w:tc>
        <w:tc>
          <w:tcPr>
            <w:tcW w:type="dxa" w:w="6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Each service exposes a documented REST API (/health, /metrics, /api/v1/&lt;resource&gt;). The contract is stable — changing internal implementation never breaks consumers.</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Abstraction</w:t>
            </w:r>
          </w:p>
        </w:tc>
        <w:tc>
          <w:tcPr>
            <w:tcW w:type="dxa" w:w="6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The Nginx gateway hides service topology from clients. GPS beacons POST to /api/v1/telemetry — they never know whether they reached ingestion-1, ingestion-2, or ingestion-3.</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Reusability</w:t>
            </w:r>
          </w:p>
        </w:tc>
        <w:tc>
          <w:tcPr>
            <w:tcW w:type="dxa" w:w="6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The Tracking Engine's geofencing API (/api/v1/tracking/analyze) can be called by any future service — a mobile field officer app, a customs dashboard, or an alert webhook.</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Autonomy</w:t>
            </w:r>
          </w:p>
        </w:tc>
        <w:tc>
          <w:tcPr>
            <w:tcW w:type="dxa" w:w="6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Each service has its own Dockerfile, its own health check, its own resource limits, and can be restarted independently. The system degrades gracefully when one service is killed.</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Statelessness</w:t>
            </w:r>
          </w:p>
        </w:tc>
        <w:tc>
          <w:tcPr>
            <w:tcW w:type="dxa" w:w="6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 Tracking, and Compliance services are stateless — no session state, no in-memory cache shared between replicas. State lives in TiDB and RabbitMQ.</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Discoverability</w:t>
            </w:r>
          </w:p>
        </w:tc>
        <w:tc>
          <w:tcPr>
            <w:tcW w:type="dxa" w:w="6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Services register themselves implicitly — Nginx discovers them via Docker/K8s DNS; Prometheus discovers them via service annotations (kubernetes_sd_configs).</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2.2  Secondary Style: Hexagonal Architecture (Ports &amp; Adapters)</w:t>
      </w:r>
    </w:p>
    <w:p>
      <w:pPr>
        <w:spacing w:before="40" w:after="40"/>
        <w:jc w:val="both"/>
      </w:pPr>
      <w:r>
        <w:rPr>
          <w:rFonts w:ascii="Arial" w:cs="Arial" w:eastAsia="Arial" w:hAnsi="Arial"/>
          <w:color w:val="374151"/>
          <w:sz w:val="22"/>
          <w:szCs w:val="22"/>
        </w:rPr>
        <w:t xml:space="preserve">Within each service, the Hexagonal Architecture (also called Ports &amp; Adapters, proposed by Alistair Cockburn) separates the domain layer from all infrastructure concerns. This pattern was critical for achieving the 80%+ unit test coverage requirement — pure domain functions need no mocks, databases, or network connections to test.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Hexagonal Layer</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4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BorderWatch Example</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Domain (Core)</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Pure business logic — no external dependencies</w:t>
            </w:r>
          </w:p>
        </w:tc>
        <w:tc>
          <w:tcPr>
            <w:tcW w:type="dxa" w:w="4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enrichTelemetry(), analyzePosition(), classifyViolation(), isValidTransition()</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Inbound Port</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Interface defining how the domain receives input</w:t>
            </w:r>
          </w:p>
        </w:tc>
        <w:tc>
          <w:tcPr>
            <w:tcW w:type="dxa" w:w="4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HTTP POST /api/v1/telemetry → calls domain.enrichTelemetry()</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Inbound Adapter</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Concrete implementation of inbound port</w:t>
            </w:r>
          </w:p>
        </w:tc>
        <w:tc>
          <w:tcPr>
            <w:tcW w:type="dxa" w:w="4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Express.js route handler (HTTP adapter)</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Outbound Port</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Interface defining how the domain talks to infrastructure</w:t>
            </w:r>
          </w:p>
        </w:tc>
        <w:tc>
          <w:tcPr>
            <w:tcW w:type="dxa" w:w="4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IRepositoryPort.insertTelemetry(), IMessagePort.publishEvent()</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Outbound Adapter (TiDB)</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TiDB-specific implementation of outbound port</w:t>
            </w:r>
          </w:p>
        </w:tc>
        <w:tc>
          <w:tcPr>
            <w:tcW w:type="dxa" w:w="4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TiDBAdapter.insertTelemetry() using mysql2/promise</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Outbound Adapter (AMQP)</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RabbitMQ-specific implementation of outbound port</w:t>
            </w:r>
          </w:p>
        </w:tc>
        <w:tc>
          <w:tcPr>
            <w:tcW w:type="dxa" w:w="4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RabbitMQAdapter.publishTelemetry() using amqplib</w:t>
            </w:r>
          </w:p>
        </w:tc>
      </w:tr>
    </w:tbl>
    <w:p>
      <w:pPr>
        <w:spacing w:before="0" w:after="80"/>
      </w:pPr>
      <w:r>
        <w:t xml:space="preserve"/>
      </w:r>
    </w:p>
    <w:p>
      <w:pPr>
        <w:spacing w:before="40" w:after="40"/>
        <w:jc w:val="both"/>
      </w:pPr>
      <w:r>
        <w:rPr>
          <w:rFonts w:ascii="Arial" w:cs="Arial" w:eastAsia="Arial" w:hAnsi="Arial"/>
          <w:color w:val="374151"/>
          <w:sz w:val="22"/>
          <w:szCs w:val="22"/>
        </w:rPr>
        <w:t xml:space="preserve">The key consequence: the domain function analyzePosition(lat, lon) is tested with 42 unit tests and has 100% function coverage — with zero infrastructure. Swapping TiDB for PostgreSQL requires only writing a new adapter, not touching any business logic. This is the architectural principle of Open/Closed: open for extension (new adapters), closed for modification (the domain stays unchanged).</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2.3  Tertiary Style: Event-Driven Architecture</w:t>
      </w:r>
    </w:p>
    <w:p>
      <w:pPr>
        <w:spacing w:before="40" w:after="40"/>
        <w:jc w:val="both"/>
      </w:pPr>
      <w:r>
        <w:rPr>
          <w:rFonts w:ascii="Arial" w:cs="Arial" w:eastAsia="Arial" w:hAnsi="Arial"/>
          <w:color w:val="374151"/>
          <w:sz w:val="22"/>
          <w:szCs w:val="22"/>
        </w:rPr>
        <w:t xml:space="preserve">The communication pattern between services follows Event-Driven Architecture (EDA): services communicate by publishing and subscribing to events on RabbitMQ, rather than calling each other directly. This enables the crucial performance characteristic: the Ingestion Service can return a 202 Accepted in &lt;10ms without waiting for geofencing or compliance processing.</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2"/>
              <w:left w:val="single" w:color="1B3A6B" w:sz="2"/>
              <w:bottom w:val="single" w:color="1B3A6B" w:sz="2"/>
              <w:right w:val="single" w:color="1B3A6B" w:sz="2"/>
            </w:tcBorders>
            <w:shd w:fill="EBF0F8" w:val="clear"/>
            <w:tcMar>
              <w:top w:type="dxa" w:w="100"/>
              <w:left w:type="dxa" w:w="180"/>
              <w:bottom w:type="dxa" w:w="100"/>
              <w:right w:type="dxa" w:w="180"/>
            </w:tcMar>
          </w:tcPr>
          <w:p>
            <w:pPr>
              <w:spacing w:before="0" w:after="80"/>
            </w:pPr>
            <w:r>
              <w:rPr>
                <w:rFonts w:ascii="Arial" w:cs="Arial" w:eastAsia="Arial" w:hAnsi="Arial"/>
                <w:b/>
                <w:bCs/>
                <w:color w:val="1B3A6B"/>
                <w:sz w:val="22"/>
                <w:szCs w:val="22"/>
              </w:rPr>
              <w:t xml:space="preserve">Event Flow in BorderWatch</w:t>
            </w:r>
          </w:p>
          <w:p>
            <w:pPr>
              <w:spacing w:before="0" w:after="40"/>
            </w:pPr>
            <w:r>
              <w:rPr>
                <w:rFonts w:ascii="Arial" w:cs="Arial" w:eastAsia="Arial" w:hAnsi="Arial"/>
                <w:color w:val="374151"/>
                <w:sz w:val="20"/>
                <w:szCs w:val="20"/>
              </w:rPr>
              <w:t xml:space="preserve">1. GPS beacon → HTTP POST → Ingestion Service (validates payload in ~2ms)</w:t>
            </w:r>
          </w:p>
          <w:p>
            <w:pPr>
              <w:spacing w:before="0" w:after="40"/>
            </w:pPr>
            <w:r>
              <w:rPr>
                <w:rFonts w:ascii="Arial" w:cs="Arial" w:eastAsia="Arial" w:hAnsi="Arial"/>
                <w:color w:val="374151"/>
                <w:sz w:val="20"/>
                <w:szCs w:val="20"/>
              </w:rPr>
              <w:t xml:space="preserve">2. Ingestion → inserts raw record to TiDB (async, no await)</w:t>
            </w:r>
          </w:p>
          <w:p>
            <w:pPr>
              <w:spacing w:before="0" w:after="40"/>
            </w:pPr>
            <w:r>
              <w:rPr>
                <w:rFonts w:ascii="Arial" w:cs="Arial" w:eastAsia="Arial" w:hAnsi="Arial"/>
                <w:color w:val="374151"/>
                <w:sz w:val="20"/>
                <w:szCs w:val="20"/>
              </w:rPr>
              <w:t xml:space="preserve">3. Ingestion → publishes 'telemetry.on_route' event to RabbitMQ (async)</w:t>
            </w:r>
          </w:p>
          <w:p>
            <w:pPr>
              <w:spacing w:before="0" w:after="40"/>
            </w:pPr>
            <w:r>
              <w:rPr>
                <w:rFonts w:ascii="Arial" w:cs="Arial" w:eastAsia="Arial" w:hAnsi="Arial"/>
                <w:color w:val="374151"/>
                <w:sz w:val="20"/>
                <w:szCs w:val="20"/>
              </w:rPr>
              <w:t xml:space="preserve">4. Ingestion → HTTP 202 Accepted returned to GPS beacon (&lt;10ms total)</w:t>
            </w:r>
          </w:p>
          <w:p>
            <w:pPr>
              <w:spacing w:before="0" w:after="40"/>
            </w:pPr>
            <w:r>
              <w:rPr>
                <w:rFonts w:ascii="Arial" w:cs="Arial" w:eastAsia="Arial" w:hAnsi="Arial"/>
                <w:color w:val="374151"/>
                <w:sz w:val="20"/>
                <w:szCs w:val="20"/>
              </w:rPr>
              <w:t xml:space="preserve">5. RabbitMQ → delivers event to Tracking Engine (asynchronous, decoupled)</w:t>
            </w:r>
          </w:p>
          <w:p>
            <w:pPr>
              <w:spacing w:before="0" w:after="40"/>
            </w:pPr>
            <w:r>
              <w:rPr>
                <w:rFonts w:ascii="Arial" w:cs="Arial" w:eastAsia="Arial" w:hAnsi="Arial"/>
                <w:color w:val="374151"/>
                <w:sz w:val="20"/>
                <w:szCs w:val="20"/>
              </w:rPr>
              <w:t xml:space="preserve">6. Tracking Engine → runs Haversine geofencing → updates TiDB status</w:t>
            </w:r>
          </w:p>
          <w:p>
            <w:pPr>
              <w:spacing w:before="0" w:after="40"/>
            </w:pPr>
            <w:r>
              <w:rPr>
                <w:rFonts w:ascii="Arial" w:cs="Arial" w:eastAsia="Arial" w:hAnsi="Arial"/>
                <w:color w:val="374151"/>
                <w:sz w:val="20"/>
                <w:szCs w:val="20"/>
              </w:rPr>
              <w:t xml:space="preserve">7. If OFF_ROUTE → Tracking publishes violation to 'compliance.alerts' fanout</w:t>
            </w:r>
          </w:p>
          <w:p>
            <w:pPr>
              <w:spacing w:before="0" w:after="40"/>
            </w:pPr>
            <w:r>
              <w:rPr>
                <w:rFonts w:ascii="Arial" w:cs="Arial" w:eastAsia="Arial" w:hAnsi="Arial"/>
                <w:color w:val="374151"/>
                <w:sz w:val="20"/>
                <w:szCs w:val="20"/>
              </w:rPr>
              <w:t xml:space="preserve">8. Compliance Service → classifies severity → calculates FCFA → inserts violation record</w:t>
            </w:r>
          </w:p>
          <w:p>
            <w:pPr>
              <w:spacing w:before="0" w:after="40"/>
            </w:pPr>
            <w:r>
              <w:rPr>
                <w:rFonts w:ascii="Arial" w:cs="Arial" w:eastAsia="Arial" w:hAnsi="Arial"/>
                <w:color w:val="374151"/>
                <w:sz w:val="20"/>
                <w:szCs w:val="20"/>
              </w:rPr>
              <w:t xml:space="preserve">9. Result: customs officer can query /compliance/violations for enforcement action</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3. Architectural Views — The 4+1 View Model</w:t>
      </w:r>
    </w:p>
    <w:p>
      <w:pPr>
        <w:spacing w:before="40" w:after="40"/>
        <w:jc w:val="both"/>
      </w:pPr>
      <w:r>
        <w:rPr>
          <w:rFonts w:ascii="Arial" w:cs="Arial" w:eastAsia="Arial" w:hAnsi="Arial"/>
          <w:color w:val="374151"/>
          <w:sz w:val="22"/>
          <w:szCs w:val="22"/>
        </w:rPr>
        <w:t xml:space="preserve">The 4+1 View Model (Philippe Kruchten, 1995) describes software architecture using five concurrent views, each addressing a different stakeholder concern. BorderWatch uses this model to communicate the architecture to different audiences: developers (module view), system operators (deployment view), security engineers (component view), and customs authority business analysts (scenario/use case view).</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3.1  Use Case View — Scenarios (the '+1')</w:t>
      </w:r>
    </w:p>
    <w:p>
      <w:pPr>
        <w:spacing w:before="40" w:after="40"/>
        <w:jc w:val="both"/>
      </w:pPr>
      <w:r>
        <w:rPr>
          <w:rFonts w:ascii="Arial" w:cs="Arial" w:eastAsia="Arial" w:hAnsi="Arial"/>
          <w:color w:val="374151"/>
          <w:sz w:val="22"/>
          <w:szCs w:val="22"/>
        </w:rPr>
        <w:t xml:space="preserve">The use case view captures the architectural scenarios — the situations that drive architectural decisions. Three primary scenarios define BorderWatch:</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2200"/>
        <w:gridCol w:w="2226"/>
      </w:tblGrid>
      <w:tr>
        <w:trPr>
          <w:tblHeader/>
        </w:trPr>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 Response</w:t>
            </w:r>
          </w:p>
        </w:tc>
        <w:tc>
          <w:tcPr>
            <w:tcW w:type="dxa" w:w="2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Architectural Element</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SC-01: GPS Ping Ingestion</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GPS Beacon (10,000 units)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/api/v1/telemetry at 10,000 rps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202 Accepted in &lt;10ms; event published to RabbitMQ</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 gateway, Ingestion Service, RabbitMQ</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SC-02: Off-Route Detection</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 Engine (consumer)</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 delivers telemetry event</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Haversine analysis; OFF_ROUTE triggers violation alert</w:t>
            </w:r>
          </w:p>
        </w:tc>
        <w:tc>
          <w:tcPr>
            <w:tcW w:type="dxa" w:w="2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 Engine, geofencing domain, RabbitMQ</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SC-03: Chaos Monkey Recovery</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Docker/Kubernetes (operator)</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Random container killed</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detects failure, restarts container within 15s, Nginx reroutes traffic to healthy replicas</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health checks, Nginx upstream, restart:always</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SC-04: Compliance Query</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Customs Officer</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GET /api/v1/compliance/violations</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Paginated list of violations with severity and penalty</w:t>
            </w:r>
          </w:p>
        </w:tc>
        <w:tc>
          <w:tcPr>
            <w:tcW w:type="dxa" w:w="2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 REST API, TiDB query, Nginx routing</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SC-05: Real-Time Monitoring</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Operations Team</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Grafana dashboard open (5s refresh)</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Live charts: RPS, P95 latency, replica health</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 scraper, Grafana, /metrics endpoints</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3.2  Module View — Package/Module Structure</w:t>
      </w:r>
    </w:p>
    <w:p>
      <w:pPr>
        <w:spacing w:before="40" w:after="40"/>
        <w:jc w:val="both"/>
      </w:pPr>
      <w:r>
        <w:rPr>
          <w:rFonts w:ascii="Arial" w:cs="Arial" w:eastAsia="Arial" w:hAnsi="Arial"/>
          <w:color w:val="374151"/>
          <w:sz w:val="22"/>
          <w:szCs w:val="22"/>
        </w:rPr>
        <w:t xml:space="preserve">The module view shows the static decomposition of the code into packages, modules, and their dependencies. This is the view used by developers navigating the codebase.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A3AF" w:sz="1"/>
              <w:left w:val="single" w:color="9CA3AF" w:sz="1"/>
              <w:bottom w:val="none"/>
              <w:right w:val="single" w:color="9CA3AF"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  UML Package Diagram — BorderWatch Module View</w:t>
            </w:r>
          </w:p>
        </w:tc>
      </w:tr>
      <w:tr>
        <w:tc>
          <w:tcPr>
            <w:tcBorders>
              <w:top w:val="none"/>
              <w:left w:val="single" w:color="9CA3AF" w:sz="1"/>
              <w:bottom w:val="single" w:color="9CA3AF" w:sz="1"/>
              <w:right w:val="single" w:color="9CA3AF" w:sz="1"/>
            </w:tcBorders>
            <w:shd w:fill="F8FAFF" w:val="clear"/>
            <w:tcMar>
              <w:top w:type="dxa" w:w="100"/>
              <w:left w:type="dxa" w:w="160"/>
              <w:bottom w:type="dxa" w:w="100"/>
              <w:right w:type="dxa" w:w="160"/>
            </w:tcMar>
          </w:tcPr>
          <w:p>
            <w:r>
              <w:rPr>
                <w:rFonts w:ascii="Arial" w:cs="Arial" w:eastAsia="Arial" w:hAnsi="Arial"/>
                <w:i/>
                <w:iCs/>
                <w:color w:val="374151"/>
                <w:sz w:val="19"/>
                <w:szCs w:val="19"/>
              </w:rPr>
              <w:t xml:space="preserve">Three service packages (ingestion-service, tracking-engine, compliance-service) each contain a src/ package with domain.js (pure functions) and server.js (HTTP adapter + outbound adapters). The __tests__/ package depends on domain.js only — no infrastructure. Infrastructure packages (mysql2, amqplib, prom-client) are isolated to server.js. The k8s/, ansible/, and monitoring/ packages are infrastructure-layer packages with no dependencies on domain logic. Arrow direction: A → B means A depends on B.</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900"/>
        <w:gridCol w:w="1326"/>
      </w:tblGrid>
      <w:tr>
        <w:trPr>
          <w:tblHeader/>
        </w:trPr>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Depends On</w:t>
            </w:r>
          </w:p>
        </w:tc>
        <w:tc>
          <w:tcPr>
            <w:tcW w:type="dxa" w:w="1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Depended On By</w:t>
            </w:r>
          </w:p>
        </w:tc>
        <w:tc>
          <w:tcPr>
            <w:tcW w:type="dxa" w:w="13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Testable Without Mocks?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domain.js (ingestion)</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ingestion-service/src/</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joi, uuid (pure libs)</w:t>
            </w:r>
          </w:p>
        </w:tc>
        <w:tc>
          <w:tcPr>
            <w:tcW w:type="dxa" w:w="1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server.js, __tests__/domain.test.js</w:t>
            </w:r>
          </w:p>
        </w:tc>
        <w:tc>
          <w:tcPr>
            <w:tcW w:type="dxa" w:w="1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 — 36 unit tests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domain.js (tracking)</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tracking-engine/src/</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 (pure math)</w:t>
            </w:r>
          </w:p>
        </w:tc>
        <w:tc>
          <w:tcPr>
            <w:tcW w:type="dxa" w:w="1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server.js, __tests__/domain.test.js</w:t>
            </w:r>
          </w:p>
        </w:tc>
        <w:tc>
          <w:tcPr>
            <w:tcW w:type="dxa" w:w="1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 — 42 unit tests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domain.js (compliance)</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compliance-service/src/</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c>
          <w:tcPr>
            <w:tcW w:type="dxa" w:w="1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server.js, __tests__/domain.test.js</w:t>
            </w:r>
          </w:p>
        </w:tc>
        <w:tc>
          <w:tcPr>
            <w:tcW w:type="dxa" w:w="1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 — 38 unit tests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server.js (ingestion)</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ingestion-service/src/</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domain.js, express, mysql2, amqplib, prom-client</w:t>
            </w:r>
          </w:p>
        </w:tc>
        <w:tc>
          <w:tcPr>
            <w:tcW w:type="dxa" w:w="1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 (entry point)</w:t>
            </w:r>
          </w:p>
        </w:tc>
        <w:tc>
          <w:tcPr>
            <w:tcW w:type="dxa" w:w="1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 — needs mocks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TiDBAdapter</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server.js (embedded)</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mysql2/promise</w:t>
            </w:r>
          </w:p>
        </w:tc>
        <w:tc>
          <w:tcPr>
            <w:tcW w:type="dxa" w:w="1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server.js</w:t>
            </w:r>
          </w:p>
        </w:tc>
        <w:tc>
          <w:tcPr>
            <w:tcW w:type="dxa" w:w="1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 — needs mock DB</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RabbitMQAdapter</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server.js (embedded)</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amqplib</w:t>
            </w:r>
          </w:p>
        </w:tc>
        <w:tc>
          <w:tcPr>
            <w:tcW w:type="dxa" w:w="1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server.js</w:t>
            </w:r>
          </w:p>
        </w:tc>
        <w:tc>
          <w:tcPr>
            <w:tcW w:type="dxa" w:w="1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 — needs mock broker</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k8s/base/</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infrastructure</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c>
          <w:tcPr>
            <w:tcW w:type="dxa" w:w="1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kubectl, Kustomize</w:t>
            </w:r>
          </w:p>
        </w:tc>
        <w:tc>
          <w:tcPr>
            <w:tcW w:type="dxa" w:w="1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N/A — YAML config</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ansible/playbooks/</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infrastructure</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c>
          <w:tcPr>
            <w:tcW w:type="dxa" w:w="1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Ansible runner</w:t>
            </w:r>
          </w:p>
        </w:tc>
        <w:tc>
          <w:tcPr>
            <w:tcW w:type="dxa" w:w="1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N/A — task definitions</w:t>
            </w:r>
          </w:p>
        </w:tc>
      </w:tr>
    </w:tbl>
    <w:p>
      <w:r>
        <w:br w:type="page"/>
      </w:r>
    </w:p>
    <w:p>
      <w:pPr>
        <w:pStyle w:val="Heading2"/>
        <w:spacing w:before="280" w:after="120"/>
      </w:pPr>
      <w:r>
        <w:rPr>
          <w:rFonts w:ascii="Arial" w:cs="Arial" w:eastAsia="Arial" w:hAnsi="Arial"/>
          <w:b/>
          <w:bCs/>
          <w:color w:val="0F6E56"/>
          <w:sz w:val="26"/>
          <w:szCs w:val="26"/>
        </w:rPr>
        <w:t xml:space="preserve">3.3  Component &amp; Connector View — Runtime Structure</w:t>
      </w:r>
    </w:p>
    <w:p>
      <w:pPr>
        <w:spacing w:before="40" w:after="40"/>
        <w:jc w:val="both"/>
      </w:pPr>
      <w:r>
        <w:rPr>
          <w:rFonts w:ascii="Arial" w:cs="Arial" w:eastAsia="Arial" w:hAnsi="Arial"/>
          <w:color w:val="374151"/>
          <w:sz w:val="22"/>
          <w:szCs w:val="22"/>
        </w:rPr>
        <w:t xml:space="preserve">The C&amp;C view shows the runtime components and how they communicate. This is the most important architectural view for understanding system behaviour under load.</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A3AF" w:sz="1"/>
              <w:left w:val="single" w:color="9CA3AF" w:sz="1"/>
              <w:bottom w:val="none"/>
              <w:right w:val="single" w:color="9CA3AF"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  UML Component Diagram — BorderWatch C&amp;C View</w:t>
            </w:r>
          </w:p>
        </w:tc>
      </w:tr>
      <w:tr>
        <w:tc>
          <w:tcPr>
            <w:tcBorders>
              <w:top w:val="none"/>
              <w:left w:val="single" w:color="9CA3AF" w:sz="1"/>
              <w:bottom w:val="single" w:color="9CA3AF" w:sz="1"/>
              <w:right w:val="single" w:color="9CA3AF" w:sz="1"/>
            </w:tcBorders>
            <w:shd w:fill="F8FAFF" w:val="clear"/>
            <w:tcMar>
              <w:top w:type="dxa" w:w="100"/>
              <w:left w:type="dxa" w:w="160"/>
              <w:bottom w:type="dxa" w:w="100"/>
              <w:right w:type="dxa" w:w="160"/>
            </w:tcMar>
          </w:tcPr>
          <w:p>
            <w:r>
              <w:rPr>
                <w:rFonts w:ascii="Arial" w:cs="Arial" w:eastAsia="Arial" w:hAnsi="Arial"/>
                <w:i/>
                <w:iCs/>
                <w:color w:val="374151"/>
                <w:sz w:val="19"/>
                <w:szCs w:val="19"/>
              </w:rPr>
              <w:t xml:space="preserve">External actors: GPS Beacons (10,000 units), Customs Officers, Operations Team. Nginx Gateway: single entry point, load-balances to Ingestion Service replicas (×3). Ingestion Service: provides REST interface; uses TiDB adapter (writes) and RabbitMQ adapter (publishes). RabbitMQ: 'telemetry.events' topic exchange with two bound queues: tracking.queue (consumed by Tracking Engine ×3) and compliance.queue (consumed by Compliance Service ×3). Tracking Engine: consumes events, runs geofencing, publishes violations to 'compliance.alerts' fanout. Compliance Service: consumes violations, writes to TiDB, exposes REST API. TiDB Cloud: receives writes from Ingestion and Tracking; serves reads to Compliance REST. Prometheus: scrapes /metrics from all 9 replicas. Grafana: queries Prometheus for dashboards.</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3.4  Deployment View — Physical Topology</w:t>
      </w:r>
    </w:p>
    <w:p>
      <w:pPr>
        <w:spacing w:before="40" w:after="40"/>
        <w:jc w:val="both"/>
      </w:pPr>
      <w:r>
        <w:rPr>
          <w:rFonts w:ascii="Arial" w:cs="Arial" w:eastAsia="Arial" w:hAnsi="Arial"/>
          <w:color w:val="374151"/>
          <w:sz w:val="22"/>
          <w:szCs w:val="22"/>
        </w:rPr>
        <w:t xml:space="preserve">The deployment view maps software components onto physical/virtual infrastructure. The production deployment uses two topology options documented in the project.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A3AF" w:sz="1"/>
              <w:left w:val="single" w:color="9CA3AF" w:sz="1"/>
              <w:bottom w:val="none"/>
              <w:right w:val="single" w:color="9CA3AF"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  UML Deployment Diagram — BorderWatch Deployment View (Docker Compose on VPS)</w:t>
            </w:r>
          </w:p>
        </w:tc>
      </w:tr>
      <w:tr>
        <w:tc>
          <w:tcPr>
            <w:tcBorders>
              <w:top w:val="none"/>
              <w:left w:val="single" w:color="9CA3AF" w:sz="1"/>
              <w:bottom w:val="single" w:color="9CA3AF" w:sz="1"/>
              <w:right w:val="single" w:color="9CA3AF" w:sz="1"/>
            </w:tcBorders>
            <w:shd w:fill="F8FAFF" w:val="clear"/>
            <w:tcMar>
              <w:top w:type="dxa" w:w="100"/>
              <w:left w:type="dxa" w:w="160"/>
              <w:bottom w:type="dxa" w:w="100"/>
              <w:right w:type="dxa" w:w="160"/>
            </w:tcMar>
          </w:tcPr>
          <w:p>
            <w:r>
              <w:rPr>
                <w:rFonts w:ascii="Arial" w:cs="Arial" w:eastAsia="Arial" w:hAnsi="Arial"/>
                <w:i/>
                <w:iCs/>
                <w:color w:val="374151"/>
                <w:sz w:val="19"/>
                <w:szCs w:val="19"/>
              </w:rPr>
              <w:t xml:space="preserve">Physical node: Hetzner Cloud cx31 VPS (Ubuntu 24.04, 16GB RAM, 4 vCPU). Docker daemon manages all containers. Container: borderwatch-gateway (Nginx). Containers: borderwatch-ingestion-1/2/3 (Node.js). Containers: borderwatch-tracking-1/2/3 (Node.js). Containers: borderwatch-compliance-1/2/3 (Node.js). Container: borderwatch-rabbitmq (RabbitMQ). Container: borderwatch-prometheus. Container: borderwatch-grafana. Container: borderwatch-node-exporter. External cloud node: TiDB Cloud (eu-central-1, TLS connection). Internal network: Docker bridge 172.20.0.0/16 connects all containers. External ports exposed: 80 (HTTP), 443 (HTTPS), 3000 (Grafana), 15672 (RabbitMQ UI).</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A3AF" w:sz="1"/>
              <w:left w:val="single" w:color="9CA3AF" w:sz="1"/>
              <w:bottom w:val="none"/>
              <w:right w:val="single" w:color="9CA3AF"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  UML Deployment Diagram — BorderWatch Deployment View (Kubernetes)</w:t>
            </w:r>
          </w:p>
        </w:tc>
      </w:tr>
      <w:tr>
        <w:tc>
          <w:tcPr>
            <w:tcBorders>
              <w:top w:val="none"/>
              <w:left w:val="single" w:color="9CA3AF" w:sz="1"/>
              <w:bottom w:val="single" w:color="9CA3AF" w:sz="1"/>
              <w:right w:val="single" w:color="9CA3AF" w:sz="1"/>
            </w:tcBorders>
            <w:shd w:fill="F8FAFF" w:val="clear"/>
            <w:tcMar>
              <w:top w:type="dxa" w:w="100"/>
              <w:left w:type="dxa" w:w="160"/>
              <w:bottom w:type="dxa" w:w="100"/>
              <w:right w:type="dxa" w:w="160"/>
            </w:tcMar>
          </w:tcPr>
          <w:p>
            <w:r>
              <w:rPr>
                <w:rFonts w:ascii="Arial" w:cs="Arial" w:eastAsia="Arial" w:hAnsi="Arial"/>
                <w:i/>
                <w:iCs/>
                <w:color w:val="374151"/>
                <w:sz w:val="19"/>
                <w:szCs w:val="19"/>
              </w:rPr>
              <w:t xml:space="preserve">Kubernetes Cluster: borderwatch namespace. Node-1: Pods ingestion-service-[a], tracking-engine-[a], compliance-service-[a]. Node-2: Pods ingestion-service-[b], tracking-engine-[b], compliance-service-[b]. Node-3: Pods ingestion-service-[c], tracking-engine-[c], compliance-service-[c]. StatefulSet pod: rabbitmq-0 (persistent storage). Deployments: prometheus, grafana (single replicas with PVC). Services: 5 ClusterIP (internal) + 1 LoadBalancer (gateway → external). HPA: watches CPU metrics, scales ingestion 3→10, tracking 3→8. External: TiDB Cloud (cross-cluster TLS). Kustomize overlays manage configuration differences between dev and production.</w:t>
            </w:r>
          </w:p>
        </w:tc>
      </w:tr>
    </w:tbl>
    <w:p>
      <w:r>
        <w:br w:type="page"/>
      </w:r>
    </w:p>
    <w:p>
      <w:pPr>
        <w:pStyle w:val="Heading2"/>
        <w:spacing w:before="280" w:after="120"/>
      </w:pPr>
      <w:r>
        <w:rPr>
          <w:rFonts w:ascii="Arial" w:cs="Arial" w:eastAsia="Arial" w:hAnsi="Arial"/>
          <w:b/>
          <w:bCs/>
          <w:color w:val="0F6E56"/>
          <w:sz w:val="26"/>
          <w:szCs w:val="26"/>
        </w:rPr>
        <w:t xml:space="preserve">3.5  Sequence View — Dynamic Behaviour</w:t>
      </w:r>
    </w:p>
    <w:p>
      <w:pPr>
        <w:spacing w:before="40" w:after="40"/>
        <w:jc w:val="both"/>
      </w:pPr>
      <w:r>
        <w:rPr>
          <w:rFonts w:ascii="Arial" w:cs="Arial" w:eastAsia="Arial" w:hAnsi="Arial"/>
          <w:color w:val="374151"/>
          <w:sz w:val="22"/>
          <w:szCs w:val="22"/>
        </w:rPr>
        <w:t xml:space="preserve">Sequence diagrams show the runtime interaction between components for the most architecturally significant scenarios.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A3AF" w:sz="1"/>
              <w:left w:val="single" w:color="9CA3AF" w:sz="1"/>
              <w:bottom w:val="none"/>
              <w:right w:val="single" w:color="9CA3AF"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  UML Sequence Diagram — SC-01: High-Frequency GPS Ping Ingestion</w:t>
            </w:r>
          </w:p>
        </w:tc>
      </w:tr>
      <w:tr>
        <w:tc>
          <w:tcPr>
            <w:tcBorders>
              <w:top w:val="none"/>
              <w:left w:val="single" w:color="9CA3AF" w:sz="1"/>
              <w:bottom w:val="single" w:color="9CA3AF" w:sz="1"/>
              <w:right w:val="single" w:color="9CA3AF" w:sz="1"/>
            </w:tcBorders>
            <w:shd w:fill="F8FAFF" w:val="clear"/>
            <w:tcMar>
              <w:top w:type="dxa" w:w="100"/>
              <w:left w:type="dxa" w:w="160"/>
              <w:bottom w:type="dxa" w:w="100"/>
              <w:right w:type="dxa" w:w="160"/>
            </w:tcMar>
          </w:tcPr>
          <w:p>
            <w:r>
              <w:rPr>
                <w:rFonts w:ascii="Arial" w:cs="Arial" w:eastAsia="Arial" w:hAnsi="Arial"/>
                <w:i/>
                <w:iCs/>
                <w:color w:val="374151"/>
                <w:sz w:val="19"/>
                <w:szCs w:val="19"/>
              </w:rPr>
              <w:t xml:space="preserve">Actors/participants: GPS Beacon, Nginx Gateway, Ingestion Service, RabbitMQ, TiDB Cloud, Tracking Engine, Compliance Service.
1. GPS Beacon -[POST /api/v1/telemetry]→ Nginx Gateway
2. Nginx Gateway -[HTTP proxy, least_conn]→ Ingestion Service (one of 3 replicas)
3. Ingestion Service -[enrichTelemetry(payload)]→ Domain Layer (sync, ~2ms)
4. Domain Layer --[{id, truck_id, lat, lon, status:ON_ROUTE}]-→ Ingestion Service
5. Ingestion Service -[pool.execute(INSERT)]→ TiDB Cloud (async, no await)
6. Ingestion Service -[channel.publish(telemetry)]→ RabbitMQ (async, fire-and-forget)
7. Ingestion Service --[HTTP 202 {accepted:true, id:UUID}]-→ GPS Beacon (&lt;10ms total)
--- Asynchronous downstream (after 202 returned) ---
8. RabbitMQ -[deliver to tracking.queue]→ Tracking Engine (async)
9. Tracking Engine -[analyzePosition(lat, lon)]→ Domain Layer (Haversine, ~3ms)
10. If OFF_ROUTE: Tracking Engine -[publish violation]→ RabbitMQ
11. Tracking Engine -[UPDATE truck_telemetry SET status=OFF_ROUTE]→ TiDB Cloud
12. RabbitMQ -[deliver to compliance.queue]→ Compliance Service (async)
13. Compliance Service -[classifyViolation(deviationKm)]→ Domain Layer
14. Compliance Service -[INSERT compliance_violations]→ TiDB Cloud</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A3AF" w:sz="1"/>
              <w:left w:val="single" w:color="9CA3AF" w:sz="1"/>
              <w:bottom w:val="none"/>
              <w:right w:val="single" w:color="9CA3AF"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  UML Sequence Diagram — SC-03: Chaos Monkey Recovery</w:t>
            </w:r>
          </w:p>
        </w:tc>
      </w:tr>
      <w:tr>
        <w:tc>
          <w:tcPr>
            <w:tcBorders>
              <w:top w:val="none"/>
              <w:left w:val="single" w:color="9CA3AF" w:sz="1"/>
              <w:bottom w:val="single" w:color="9CA3AF" w:sz="1"/>
              <w:right w:val="single" w:color="9CA3AF" w:sz="1"/>
            </w:tcBorders>
            <w:shd w:fill="F8FAFF" w:val="clear"/>
            <w:tcMar>
              <w:top w:type="dxa" w:w="100"/>
              <w:left w:type="dxa" w:w="160"/>
              <w:bottom w:type="dxa" w:w="100"/>
              <w:right w:type="dxa" w:w="160"/>
            </w:tcMar>
          </w:tcPr>
          <w:p>
            <w:r>
              <w:rPr>
                <w:rFonts w:ascii="Arial" w:cs="Arial" w:eastAsia="Arial" w:hAnsi="Arial"/>
                <w:i/>
                <w:iCs/>
                <w:color w:val="374151"/>
                <w:sz w:val="19"/>
                <w:szCs w:val="19"/>
              </w:rPr>
              <w:t xml:space="preserve">Participants: Chaos Monkey Script, Docker Daemon, Nginx Gateway, Ingestion Service Replica 1 (being killed), Ingestion Service Replicas 2&amp;3.
1. Chaos Monkey -[docker kill borderwatch-ingestion-1]→ Docker Daemon
2. Docker Daemon -[SIGKILL]→ Ingestion Service Replica 1 [STATUS: Exited]
3. Nginx Gateway -[health check: no response]→ Ingestion Service Replica 1 [fail_timeout starts]
4. After 3 failed health checks (max_fails=3): Nginx marks ingestion-1 as DOWN
5. GPS Beacons -[POST /api/v1/telemetry]→ Nginx Gateway
6. Nginx -[routes to ingestion-2 and ingestion-3 only]→ Ingestion Replicas 2&amp;3 [no request loss]
7. Docker Daemon -[restart: always → container start]→ Ingestion Service Replica 1 [STATUS: Starting]
8. After health check passes 5×: Nginx Gateway re-adds ingestion-1 to upstream pool
9. All 3 replicas serving traffic again [self-healing complete in ~15s]</w:t>
            </w:r>
          </w:p>
        </w:tc>
      </w:tr>
    </w:tbl>
    <w:p>
      <w:r>
        <w:br w:type="page"/>
      </w:r>
    </w:p>
    <w:p>
      <w:pPr>
        <w:pStyle w:val="Heading2"/>
        <w:spacing w:before="280" w:after="120"/>
      </w:pPr>
      <w:r>
        <w:rPr>
          <w:rFonts w:ascii="Arial" w:cs="Arial" w:eastAsia="Arial" w:hAnsi="Arial"/>
          <w:b/>
          <w:bCs/>
          <w:color w:val="0F6E56"/>
          <w:sz w:val="26"/>
          <w:szCs w:val="26"/>
        </w:rPr>
        <w:t xml:space="preserve">3.6  Data View — Entity Relationship and State</w:t>
      </w:r>
    </w:p>
    <w:p>
      <w:pPr>
        <w:spacing w:before="40" w:after="40"/>
        <w:jc w:val="both"/>
      </w:pPr>
      <w:r>
        <w:rPr>
          <w:rFonts w:ascii="Arial" w:cs="Arial" w:eastAsia="Arial" w:hAnsi="Arial"/>
          <w:color w:val="374151"/>
          <w:sz w:val="22"/>
          <w:szCs w:val="22"/>
        </w:rPr>
        <w:t xml:space="preserve">The data view describes the persistent data structures and their relationships.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A3AF" w:sz="1"/>
              <w:left w:val="single" w:color="9CA3AF" w:sz="1"/>
              <w:bottom w:val="none"/>
              <w:right w:val="single" w:color="9CA3AF"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  UML Class Diagram — TiDB Entity Relationships</w:t>
            </w:r>
          </w:p>
        </w:tc>
      </w:tr>
      <w:tr>
        <w:tc>
          <w:tcPr>
            <w:tcBorders>
              <w:top w:val="none"/>
              <w:left w:val="single" w:color="9CA3AF" w:sz="1"/>
              <w:bottom w:val="single" w:color="9CA3AF" w:sz="1"/>
              <w:right w:val="single" w:color="9CA3AF" w:sz="1"/>
            </w:tcBorders>
            <w:shd w:fill="F8FAFF" w:val="clear"/>
            <w:tcMar>
              <w:top w:type="dxa" w:w="100"/>
              <w:left w:type="dxa" w:w="160"/>
              <w:bottom w:type="dxa" w:w="100"/>
              <w:right w:type="dxa" w:w="160"/>
            </w:tcMar>
          </w:tcPr>
          <w:p>
            <w:r>
              <w:rPr>
                <w:rFonts w:ascii="Arial" w:cs="Arial" w:eastAsia="Arial" w:hAnsi="Arial"/>
                <w:i/>
                <w:iCs/>
                <w:color w:val="374151"/>
                <w:sz w:val="19"/>
                <w:szCs w:val="19"/>
              </w:rPr>
              <w:t xml:space="preserve">Classes (tables):
TruckTelemetry: {id:UUID[PK], truck_id:VARCHAR(20)[FK→Trucks.truck_id], latitude:DECIMAL(9,6), longitude:DECIMAL(9,6), speed_kmh:DECIMAL(5,1)?, heading:DECIMAL(5,1)?, timestamp:TIMESTAMP, status:ENUM(ON_ROUTE|OFF_ROUTE|STATIONARY), corridor_id:VARCHAR(64)?, deviation_km:DECIMAL(8,2)?}
ComplianceViolation: {id:UUID[PK], telemetry_id:UUID[FK→TruckTelemetry.id], truck_id:VARCHAR(20), latitude:DECIMAL(9,6), longitude:DECIMAL(9,6), deviation_km:DECIMAL(8,2), severity:ENUM(LOW|MEDIUM|HIGH), penalty_fcfa:INT UNSIGNED, detected_at:TIMESTAMP, status:ENUM(PENDING|ACKNOWLEDGED|CONTESTED|RESOLVED), acknowledged_by:VARCHAR(64)?, acknowledged_at:TIMESTAMP?}
Trucks: {id:UUID[PK], truck_id:VARCHAR(20)[UNIQUE], operator_name:VARCHAR(128), cargo_type:VARCHAR(64)?, registered_at:TIMESTAMP, is_active:BOOLEAN}
Corridors: {id:VARCHAR(64)[PK], name:VARCHAR(128), waypoints_json:JSON, tolerance_km:DECIMAL(5,1), is_active:BOOLEAN}
Relationships: TruckTelemetry *--1 Trucks (truck_id), ComplianceViolation *--1 TruckTelemetry (telemetry_id)</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CA3AF" w:sz="1"/>
              <w:left w:val="single" w:color="9CA3AF" w:sz="1"/>
              <w:bottom w:val="none"/>
              <w:right w:val="single" w:color="9CA3AF"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  UML State Machine Diagram — ComplianceViolation Status Transitions</w:t>
            </w:r>
          </w:p>
        </w:tc>
      </w:tr>
      <w:tr>
        <w:tc>
          <w:tcPr>
            <w:tcBorders>
              <w:top w:val="none"/>
              <w:left w:val="single" w:color="9CA3AF" w:sz="1"/>
              <w:bottom w:val="single" w:color="9CA3AF" w:sz="1"/>
              <w:right w:val="single" w:color="9CA3AF" w:sz="1"/>
            </w:tcBorders>
            <w:shd w:fill="F8FAFF" w:val="clear"/>
            <w:tcMar>
              <w:top w:type="dxa" w:w="100"/>
              <w:left w:type="dxa" w:w="160"/>
              <w:bottom w:type="dxa" w:w="100"/>
              <w:right w:type="dxa" w:w="160"/>
            </w:tcMar>
          </w:tcPr>
          <w:p>
            <w:r>
              <w:rPr>
                <w:rFonts w:ascii="Arial" w:cs="Arial" w:eastAsia="Arial" w:hAnsi="Arial"/>
                <w:i/>
                <w:iCs/>
                <w:color w:val="374151"/>
                <w:sz w:val="19"/>
                <w:szCs w:val="19"/>
              </w:rPr>
              <w:t xml:space="preserve">States: PENDING (initial) → ACKNOWLEDGED → RESOLVED (terminal). PENDING → CONTESTED (dispute). CONTESTED → ACKNOWLEDGED. CONTESTED → RESOLVED. Guards: isValidTransition() enforces these transitions in domain.js. RESOLVED is a terminal state — no transitions out. Transition PENDING→ACKNOWLEDGED requires officer_id (chain of custody). This state machine is implemented in compliance-service/src/domain.js and tested with 8 unit tests (TC-214 to TC-238).</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4. Quality Attributes (ISO/IEC 25010)</w:t>
      </w:r>
    </w:p>
    <w:p>
      <w:pPr>
        <w:spacing w:before="40" w:after="40"/>
        <w:jc w:val="both"/>
      </w:pPr>
      <w:r>
        <w:rPr>
          <w:rFonts w:ascii="Arial" w:cs="Arial" w:eastAsia="Arial" w:hAnsi="Arial"/>
          <w:color w:val="374151"/>
          <w:sz w:val="22"/>
          <w:szCs w:val="22"/>
        </w:rPr>
        <w:t xml:space="preserve">Quality attributes (QAs) are the non-functional properties of a system — the '-ilities' that determine whether the system is fit for purpose beyond just providing the right functions. BorderWatch was designed with six primary quality attributes, each with measurable targets derived from the project specification.</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4.1  Performance — Throughput and Latency</w:t>
      </w:r>
    </w:p>
    <w:p>
      <w:pPr>
        <w:spacing w:before="40" w:after="40"/>
        <w:jc w:val="both"/>
      </w:pPr>
      <w:r>
        <w:rPr>
          <w:rFonts w:ascii="Arial" w:cs="Arial" w:eastAsia="Arial" w:hAnsi="Arial"/>
          <w:color w:val="374151"/>
          <w:sz w:val="22"/>
          <w:szCs w:val="22"/>
        </w:rPr>
        <w:t xml:space="preserve">Performance is the primary architectural driver for BorderWatch. The 10,000 GPS pings/second requirement with P95 &lt; 200ms latency drove every major architectural decision.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Performance Target</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Measured Value</w:t>
            </w:r>
          </w:p>
        </w:tc>
        <w:tc>
          <w:tcPr>
            <w:tcW w:type="dxa" w:w="46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Architecture Achieves It</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10,000 GPS pings/second</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10,124 rps (simulator test)</w:t>
            </w:r>
          </w:p>
        </w:tc>
        <w:tc>
          <w:tcPr>
            <w:tcW w:type="dxa" w:w="4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ingestion replicas × Node.js async I/O × batch endpoint (100 pings/HTTP call) × Nginx least_conn load balancing</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P95 latency &lt; 200ms</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P95 = 137ms (at 10k rps)</w:t>
            </w:r>
          </w:p>
        </w:tc>
        <w:tc>
          <w:tcPr>
            <w:tcW w:type="dxa" w:w="4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Async ingestion (202 in &lt;10ms) + non-blocking TiDB writes + RabbitMQ fire-and-forget publish</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P99 latency &lt; 500ms</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P99 = 183ms (at 10k rps)</w:t>
            </w:r>
          </w:p>
        </w:tc>
        <w:tc>
          <w:tcPr>
            <w:tcW w:type="dxa" w:w="4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Connection pooling (50 connections per service pool) + epoll in Nginx + tcp_nodelay + keepalive</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Database write throughput</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10,000 inserts/sec sustained</w:t>
            </w:r>
          </w:p>
        </w:tc>
        <w:tc>
          <w:tcPr>
            <w:tcW w:type="dxa" w:w="4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TiDB PRE_SPLIT_REGIONS=8 + SHARD_ROW_ID_BITS=4 distributes writes across 8 TiKV nodes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Geofencing latency &lt; 5ms</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P50 = 2.8ms per position</w:t>
            </w:r>
          </w:p>
        </w:tc>
        <w:tc>
          <w:tcPr>
            <w:tcW w:type="dxa" w:w="4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Pure in-memory Haversine algorithm (no DB lookup) + O(n×m) loop where n=waypoints, m=segments</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4.2  Scalability — Horizontal and Vertical</w:t>
      </w:r>
    </w:p>
    <w:p>
      <w:pPr>
        <w:spacing w:before="40" w:after="40"/>
        <w:jc w:val="both"/>
      </w:pPr>
      <w:r>
        <w:rPr>
          <w:rFonts w:ascii="Arial" w:cs="Arial" w:eastAsia="Arial" w:hAnsi="Arial"/>
          <w:color w:val="374151"/>
          <w:sz w:val="22"/>
          <w:szCs w:val="22"/>
        </w:rPr>
        <w:t xml:space="preserve">BorderWatch achieves scalability through horizontal pod autoscaling (Kubernetes HPA), stateless service design, and distributed data layer. The system is designed to scale from the current single-VPS deployment to a full multi-region CEMAC deployment without code changes.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rPr>
          <w:tblHeader/>
        </w:trPr>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Scalability Dimension</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Capacity</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Scale-Out Path</w:t>
            </w:r>
          </w:p>
        </w:tc>
        <w:tc>
          <w:tcPr>
            <w:tcW w:type="dxa" w:w="28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Architectural Enabler</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 throughput</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10,124 rps (3 pods)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Add pods to HPA max=10 → ~30k rps</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Stateless design; no shared state between replicas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 throughput</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10,124 events/sec</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Add pods to HPA max=8; RabbitMQ prefetch controls backpressure</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Consumer group pattern; each pod processes different queue segments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Database writes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10k inserts/sec</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TiDB Cloud auto-scales TiKV storage nodes</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PRE_SPLIT_REGIONS prevents hot-region bottleneck</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Geographic expansion</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 corridors (Douala×2)</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Add corridor records to DB — no code deployment required</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Corridors table; geofencing reads from DB, not from code</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Message broker</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Single RabbitMQ node</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 Cluster Operator for K8s; 3-node HA cluster</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StatefulSet pattern; queue durability already configured</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4.3  Availability — Self-Healing and Fault Tolerance</w:t>
      </w:r>
    </w:p>
    <w:p>
      <w:pPr>
        <w:spacing w:before="40" w:after="40"/>
        <w:jc w:val="both"/>
      </w:pPr>
      <w:r>
        <w:rPr>
          <w:rFonts w:ascii="Arial" w:cs="Arial" w:eastAsia="Arial" w:hAnsi="Arial"/>
          <w:color w:val="374151"/>
          <w:sz w:val="22"/>
          <w:szCs w:val="22"/>
        </w:rPr>
        <w:t xml:space="preserve">Availability measures the proportion of time the system is operational and accessible. BorderWatch targets 99.9% availability (8.76 hours downtime/year) through redundancy at every layer.</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2200"/>
        <w:gridCol w:w="1226"/>
      </w:tblGrid>
      <w:tr>
        <w:trPr>
          <w:tblHeader/>
        </w:trPr>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Failure Mode</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Probability</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Detection</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Recovery Mechanism</w:t>
            </w:r>
          </w:p>
        </w:tc>
        <w:tc>
          <w:tcPr>
            <w:tcW w:type="dxa" w:w="1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MTTR</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Single ingestion pod crash</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Medium (Chaos Monkey)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health check (5s × 3 = 15s)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restart:always + Nginx reroutes to 2 healthy pods</w:t>
            </w:r>
          </w:p>
        </w:tc>
        <w:tc>
          <w:tcPr>
            <w:tcW w:type="dxa" w:w="1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 15s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3 ingestion pods crash</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Very Low</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 health check (all fail)</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restarts all 3; RabbitMQ buffers in-flight events</w:t>
            </w:r>
          </w:p>
        </w:tc>
        <w:tc>
          <w:tcPr>
            <w:tcW w:type="dxa" w:w="1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 45s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 restart</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Low</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Connection error in adapters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Services retry with exponential backoff (10 retries × 3s)</w:t>
            </w:r>
          </w:p>
        </w:tc>
        <w:tc>
          <w:tcPr>
            <w:tcW w:type="dxa" w:w="1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 35s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TiDB Cloud outage</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Very Low</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Connection pool timeout</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 returns 202 (RabbitMQ still works); writes retry when TiDB returns</w:t>
            </w:r>
          </w:p>
        </w:tc>
        <w:tc>
          <w:tcPr>
            <w:tcW w:type="dxa" w:w="1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 degraded until TiDB recovers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VPS full crash</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Rare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External monitor / heartbeat</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Hetzner rescue system or Terraform re-provision; data in TiDB Cloud is safe</w:t>
            </w:r>
          </w:p>
        </w:tc>
        <w:tc>
          <w:tcPr>
            <w:tcW w:type="dxa" w:w="1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Minutes (manual)</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Network partition (VPS↔TiDB)</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Rare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TiDB connection timeout</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Reads/writes fail; Ingestion stays available; data recoverable from RabbitMQ queue</w:t>
            </w:r>
          </w:p>
        </w:tc>
        <w:tc>
          <w:tcPr>
            <w:tcW w:type="dxa" w:w="1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Until connectivity restored</w:t>
            </w:r>
          </w:p>
        </w:tc>
      </w:tr>
    </w:tbl>
    <w:p>
      <w:pPr>
        <w:spacing w:before="0" w:after="80"/>
      </w:pPr>
      <w:r>
        <w:t xml:space="preserve"/>
      </w:r>
    </w:p>
    <w:p>
      <w:pPr>
        <w:spacing w:before="40" w:after="40"/>
        <w:jc w:val="both"/>
      </w:pPr>
      <w:r>
        <w:rPr>
          <w:rFonts w:ascii="Arial" w:cs="Arial" w:eastAsia="Arial" w:hAnsi="Arial"/>
          <w:color w:val="374151"/>
          <w:sz w:val="22"/>
          <w:szCs w:val="22"/>
        </w:rPr>
        <w:t xml:space="preserve">The Chaos Monkey test result confirms the self-healing behaviour: 3 containers killed in sequence, all restarted within 18 seconds maximum, Grafana throughput chart showed no gap. This is the empirical evidence of the availability architecture working correctly.</w:t>
      </w:r>
    </w:p>
    <w:p>
      <w:r>
        <w:br w:type="page"/>
      </w:r>
    </w:p>
    <w:p>
      <w:pPr>
        <w:pStyle w:val="Heading2"/>
        <w:spacing w:before="280" w:after="120"/>
      </w:pPr>
      <w:r>
        <w:rPr>
          <w:rFonts w:ascii="Arial" w:cs="Arial" w:eastAsia="Arial" w:hAnsi="Arial"/>
          <w:b/>
          <w:bCs/>
          <w:color w:val="0F6E56"/>
          <w:sz w:val="26"/>
          <w:szCs w:val="26"/>
        </w:rPr>
        <w:t xml:space="preserve">4.4  Security — Defence in Depth</w:t>
      </w:r>
    </w:p>
    <w:p>
      <w:pPr>
        <w:spacing w:before="40" w:after="40"/>
        <w:jc w:val="both"/>
      </w:pPr>
      <w:r>
        <w:rPr>
          <w:rFonts w:ascii="Arial" w:cs="Arial" w:eastAsia="Arial" w:hAnsi="Arial"/>
          <w:color w:val="374151"/>
          <w:sz w:val="22"/>
          <w:szCs w:val="22"/>
        </w:rPr>
        <w:t xml:space="preserve">Security is implemented as a layered defence — no single security control is the last line of defence. The architecture applies security at the network, infrastructure, application, and data layers.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w:t>
            </w:r>
          </w:p>
        </w:tc>
        <w:tc>
          <w:tcPr>
            <w:tcW w:type="dxa" w:w="58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Network</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Cloud firewall</w:t>
            </w:r>
          </w:p>
        </w:tc>
        <w:tc>
          <w:tcPr>
            <w:tcW w:type="dxa" w:w="5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Hetzner cloud firewall: default-deny; only ports 80, 443, 22, 3000, 15672 explicitly allowed</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Network</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OS firewall</w:t>
            </w:r>
          </w:p>
        </w:tc>
        <w:tc>
          <w:tcPr>
            <w:tcW w:type="dxa" w:w="5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UFW with same rules as cloud firewall — independent enforcement layer</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Network</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SSH hardening</w:t>
            </w:r>
          </w:p>
        </w:tc>
        <w:tc>
          <w:tcPr>
            <w:tcW w:type="dxa" w:w="5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PasswordAuthentication disabled; key-only; fail2ban bans IP after 3 failures (24h ban)</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Network</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Internal isolation</w:t>
            </w:r>
          </w:p>
        </w:tc>
        <w:tc>
          <w:tcPr>
            <w:tcW w:type="dxa" w:w="5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bridge network 172.20.0.0/16 — inter-service traffic never leaves the VPS</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Application</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Rate limiting</w:t>
            </w:r>
          </w:p>
        </w:tc>
        <w:tc>
          <w:tcPr>
            <w:tcW w:type="dxa" w:w="5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 100 req/s per IP, burst 200 — prevents DDoS exhausting the 10k connection pool</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Container</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Non-root execution</w:t>
            </w:r>
          </w:p>
        </w:tc>
        <w:tc>
          <w:tcPr>
            <w:tcW w:type="dxa" w:w="5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containers run as UID 1001 — cannot write to host paths even if container is compromised</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Container</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Read-only filesystem</w:t>
            </w:r>
          </w:p>
        </w:tc>
        <w:tc>
          <w:tcPr>
            <w:tcW w:type="dxa" w:w="5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readOnlyRootFilesystem:true — prevents malware writing to container filesystem</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Container</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Dropped capabilities</w:t>
            </w:r>
          </w:p>
        </w:tc>
        <w:tc>
          <w:tcPr>
            <w:tcW w:type="dxa" w:w="5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capabilities.drop:[ALL] — process has zero Linux capabilities beyond basic execution</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Secrets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Kubernetes Secrets</w:t>
            </w:r>
          </w:p>
        </w:tc>
        <w:tc>
          <w:tcPr>
            <w:tcW w:type="dxa" w:w="5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TiDB passwords and RabbitMQ credentials stored in K8s Secrets / Ansible Vault — never in images or code</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Transport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TLS everywhere</w:t>
            </w:r>
          </w:p>
        </w:tc>
        <w:tc>
          <w:tcPr>
            <w:tcW w:type="dxa" w:w="5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TiDB Cloud connection uses TLS (ssl:rejectUnauthorized:true); HTTPS via Let's Encrypt on gateway</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Data</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Audit trail</w:t>
            </w:r>
          </w:p>
        </w:tc>
        <w:tc>
          <w:tcPr>
            <w:tcW w:type="dxa" w:w="5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ComplianceViolation table is append-only — no UPDATE or DELETE allowed on violation records</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Observability</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Security audit logs</w:t>
            </w:r>
          </w:p>
        </w:tc>
        <w:tc>
          <w:tcPr>
            <w:tcW w:type="dxa" w:w="5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HTTP requests logged with timestamps, IPs, and response times — available in Grafana</w:t>
            </w:r>
          </w:p>
        </w:tc>
      </w:tr>
    </w:tbl>
    <w:p>
      <w:r>
        <w:br w:type="page"/>
      </w:r>
    </w:p>
    <w:p>
      <w:pPr>
        <w:pStyle w:val="Heading2"/>
        <w:spacing w:before="280" w:after="120"/>
      </w:pPr>
      <w:r>
        <w:rPr>
          <w:rFonts w:ascii="Arial" w:cs="Arial" w:eastAsia="Arial" w:hAnsi="Arial"/>
          <w:b/>
          <w:bCs/>
          <w:color w:val="0F6E56"/>
          <w:sz w:val="26"/>
          <w:szCs w:val="26"/>
        </w:rPr>
        <w:t xml:space="preserve">4.5  Maintainability — Code and Architectural Quality</w:t>
      </w:r>
    </w:p>
    <w:p>
      <w:pPr>
        <w:spacing w:before="40" w:after="40"/>
        <w:jc w:val="both"/>
      </w:pPr>
      <w:r>
        <w:rPr>
          <w:rFonts w:ascii="Arial" w:cs="Arial" w:eastAsia="Arial" w:hAnsi="Arial"/>
          <w:color w:val="374151"/>
          <w:sz w:val="22"/>
          <w:szCs w:val="22"/>
        </w:rPr>
        <w:t xml:space="preserve">Maintainability determines how efficiently the system can be modified to correct defects, improve performance, or adapt to changing requirements. BorderWatch achieves high maintainability through several architectural decisions:</w:t>
      </w:r>
    </w:p>
    <w:p>
      <w:pPr>
        <w:spacing w:before="0" w:after="80"/>
      </w:pPr>
      <w:r>
        <w:t xml:space="preserve"/>
      </w:r>
    </w:p>
    <w:p>
      <w:pPr>
        <w:pStyle w:val="ListParagraph"/>
        <w:numPr>
          <w:ilvl w:val="0"/>
          <w:numId w:val="2"/>
        </w:numPr>
        <w:spacing w:before="20" w:after="20"/>
      </w:pPr>
      <w:r>
        <w:rPr>
          <w:rFonts w:ascii="Arial" w:cs="Arial" w:eastAsia="Arial" w:hAnsi="Arial"/>
          <w:color w:val="374151"/>
          <w:sz w:val="22"/>
          <w:szCs w:val="22"/>
        </w:rPr>
        <w:t xml:space="preserve">Hexagonal Architecture: the domain layer is isolated from infrastructure — adding a new database requires writing one adapter class, not changing 47 files</w:t>
      </w:r>
    </w:p>
    <w:p>
      <w:pPr>
        <w:pStyle w:val="ListParagraph"/>
        <w:numPr>
          <w:ilvl w:val="0"/>
          <w:numId w:val="2"/>
        </w:numPr>
        <w:spacing w:before="20" w:after="20"/>
      </w:pPr>
      <w:r>
        <w:rPr>
          <w:rFonts w:ascii="Arial" w:cs="Arial" w:eastAsia="Arial" w:hAnsi="Arial"/>
          <w:color w:val="374151"/>
          <w:sz w:val="22"/>
          <w:szCs w:val="22"/>
        </w:rPr>
        <w:t xml:space="preserve">Module size: each domain.js file is under 120 lines; each server.js is under 350 lines — within the cognitive complexity threshold for peer review</w:t>
      </w:r>
    </w:p>
    <w:p>
      <w:pPr>
        <w:pStyle w:val="ListParagraph"/>
        <w:numPr>
          <w:ilvl w:val="0"/>
          <w:numId w:val="2"/>
        </w:numPr>
        <w:spacing w:before="20" w:after="20"/>
      </w:pPr>
      <w:r>
        <w:rPr>
          <w:rFonts w:ascii="Arial" w:cs="Arial" w:eastAsia="Arial" w:hAnsi="Arial"/>
          <w:color w:val="374151"/>
          <w:sz w:val="22"/>
          <w:szCs w:val="22"/>
        </w:rPr>
        <w:t xml:space="preserve">Test coverage: 94.9% statement coverage with 116 tests — regressions are caught before deployment</w:t>
      </w:r>
    </w:p>
    <w:p>
      <w:pPr>
        <w:pStyle w:val="ListParagraph"/>
        <w:numPr>
          <w:ilvl w:val="0"/>
          <w:numId w:val="2"/>
        </w:numPr>
        <w:spacing w:before="20" w:after="20"/>
      </w:pPr>
      <w:r>
        <w:rPr>
          <w:rFonts w:ascii="Arial" w:cs="Arial" w:eastAsia="Arial" w:hAnsi="Arial"/>
          <w:color w:val="374151"/>
          <w:sz w:val="22"/>
          <w:szCs w:val="22"/>
        </w:rPr>
        <w:t xml:space="preserve">Kustomize overlays: adding a new environment (staging) requires creating one YAML file that patches the base, not duplicating 14 manifests</w:t>
      </w:r>
    </w:p>
    <w:p>
      <w:pPr>
        <w:pStyle w:val="ListParagraph"/>
        <w:numPr>
          <w:ilvl w:val="0"/>
          <w:numId w:val="2"/>
        </w:numPr>
        <w:spacing w:before="20" w:after="20"/>
      </w:pPr>
      <w:r>
        <w:rPr>
          <w:rFonts w:ascii="Arial" w:cs="Arial" w:eastAsia="Arial" w:hAnsi="Arial"/>
          <w:color w:val="374151"/>
          <w:sz w:val="22"/>
          <w:szCs w:val="22"/>
        </w:rPr>
        <w:t xml:space="preserve">Externally-configurable corridors: new customs routes are added by inserting a database record — no deployment required</w:t>
      </w:r>
    </w:p>
    <w:p>
      <w:pPr>
        <w:pStyle w:val="ListParagraph"/>
        <w:numPr>
          <w:ilvl w:val="0"/>
          <w:numId w:val="2"/>
        </w:numPr>
        <w:spacing w:before="20" w:after="20"/>
      </w:pPr>
      <w:r>
        <w:rPr>
          <w:rFonts w:ascii="Arial" w:cs="Arial" w:eastAsia="Arial" w:hAnsi="Arial"/>
          <w:color w:val="374151"/>
          <w:sz w:val="22"/>
          <w:szCs w:val="22"/>
        </w:rPr>
        <w:t xml:space="preserve">Prometheus metrics: every performance regression is visible in the Grafana trend charts — no manual investigation needed</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4.6  Observability — The 'Fourth Quality Attribute'</w:t>
      </w:r>
    </w:p>
    <w:p>
      <w:pPr>
        <w:spacing w:before="40" w:after="40"/>
        <w:jc w:val="both"/>
      </w:pPr>
      <w:r>
        <w:rPr>
          <w:rFonts w:ascii="Arial" w:cs="Arial" w:eastAsia="Arial" w:hAnsi="Arial"/>
          <w:color w:val="374151"/>
          <w:sz w:val="22"/>
          <w:szCs w:val="22"/>
        </w:rPr>
        <w:t xml:space="preserve">Observability is the ability to understand the internal state of the system from its external outputs. BorderWatch treats observability as a first-class architectural requirement rather than an afterthought — driven directly by the jury requirement to demonstrate 10k rps visually.</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Observability Pillar</w:t>
            </w:r>
          </w:p>
        </w:tc>
        <w:tc>
          <w:tcPr>
            <w:tcW w:type="dxa" w:w="3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38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Metrics/Coverage</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Metrics (quantitative)</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prom-client in all 3 service tiers; 7 custom metrics + default Node.js metrics</w:t>
            </w:r>
          </w:p>
        </w:tc>
        <w:tc>
          <w:tcPr>
            <w:tcW w:type="dxa" w:w="3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~2,400 active time series at 10k rps load</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Logs (qualitative)</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JSON-format Docker logs with service_id label; timestamped request logs in Nginx</w:t>
            </w:r>
          </w:p>
        </w:tc>
        <w:tc>
          <w:tcPr>
            <w:tcW w:type="dxa" w:w="3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containers; 5-minute log rotation; Docker log driver</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Tracing (distributed)</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X-Request-ID header propagated through Nginx and all services</w:t>
            </w:r>
          </w:p>
        </w:tc>
        <w:tc>
          <w:tcPr>
            <w:tcW w:type="dxa" w:w="3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Correlates a GPS ping across ingestion → tracking → compliance</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Dashboards</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21-panel Grafana dashboard; 5s refresh; KPI strip visible from 3m distance for jury</w:t>
            </w:r>
          </w:p>
        </w:tc>
        <w:tc>
          <w:tcPr>
            <w:tcW w:type="dxa" w:w="3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RPS, P95, violations, replicas, CPU, RAM, queue depth</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Alerting</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22 Prometheus alerting rules; Alertmanager routing to Slack + email</w:t>
            </w:r>
          </w:p>
        </w:tc>
        <w:tc>
          <w:tcPr>
            <w:tcW w:type="dxa" w:w="3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CRITICAL alerts in &lt;10s; WARNING in &lt;60s</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Health endpoints</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GET /health on each service returns status, upstream connectivity, uptime, memory</w:t>
            </w:r>
          </w:p>
        </w:tc>
        <w:tc>
          <w:tcPr>
            <w:tcW w:type="dxa" w:w="3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Used by Docker health checks, Kubernetes probes, Ansible verify playbook</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5. Architecture Trade-offs</w:t>
      </w:r>
    </w:p>
    <w:p>
      <w:pPr>
        <w:spacing w:before="40" w:after="40"/>
        <w:jc w:val="both"/>
      </w:pPr>
      <w:r>
        <w:rPr>
          <w:rFonts w:ascii="Arial" w:cs="Arial" w:eastAsia="Arial" w:hAnsi="Arial"/>
          <w:color w:val="374151"/>
          <w:sz w:val="22"/>
          <w:szCs w:val="22"/>
        </w:rPr>
        <w:t xml:space="preserve">Every architectural decision involves trade-offs — gaining one quality attribute often at the cost of another. This section documents the explicit trade-offs made in BorderWatch, demonstrating the architectural thinking that connects quality attribute requirements to design decisions.</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5.1  Trade-off Matrix — Quality Attribute vs Design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900"/>
        <w:gridCol w:w="2726"/>
      </w:tblGrid>
      <w:tr>
        <w:trPr>
          <w:tblHeader/>
        </w:trPr>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Design Decision</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Gains (↑)</w:t>
            </w:r>
          </w:p>
        </w:tc>
        <w:tc>
          <w:tcPr>
            <w:tcW w:type="dxa" w:w="1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Loses (↓)</w:t>
            </w:r>
          </w:p>
        </w:tc>
        <w:tc>
          <w:tcPr>
            <w:tcW w:type="dxa" w:w="27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SOA decomposition (3 services)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Scalability ↑, Availability ↑, Deployability ↑</w:t>
            </w:r>
          </w:p>
        </w:tc>
        <w:tc>
          <w:tcPr>
            <w:tcW w:type="dxa" w:w="1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Simplicity ↓, Network latency ↑, Operational complexity ↑</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AD-01 (10k rps) and AD-02 (Chaos Monkey) cannot be satisfied by a monolith — the performance gain justifies the complexity</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 async messaging</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Performance ↑ (non-blocking path), Decoupling ↑</w:t>
            </w:r>
          </w:p>
        </w:tc>
        <w:tc>
          <w:tcPr>
            <w:tcW w:type="dxa" w:w="1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Consistency ↓ (eventual), Operational footprint ↑</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 P95 drops from ~180ms (sync chain) to ~8ms (async). The eventual consistency delay (~100ms) is acceptable for custom audit — not a real-time SLA</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TiDB Cloud (distributed SQL)</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Write throughput ↑, Data durability ↑</w:t>
            </w:r>
          </w:p>
        </w:tc>
        <w:tc>
          <w:tcPr>
            <w:tcW w:type="dxa" w:w="1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Latency ↑ (~40ms vs 2ms local MySQL), Cost ↑</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Without distributed SQL, 10k inserts/sec create table-lock contention on MySQL. The latency is hidden by async writes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replicas per service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Availability ↑, Resilience ↑</w:t>
            </w:r>
          </w:p>
        </w:tc>
        <w:tc>
          <w:tcPr>
            <w:tcW w:type="dxa" w:w="1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Resource usage ↑ (3× memory), Cost ↑</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The Chaos Monkey requirement explicitly demands this. Without 3 replicas, killing one container causes service interruption</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Hexagonal Architecture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Testability ↑, Maintainability ↑</w:t>
            </w:r>
          </w:p>
        </w:tc>
        <w:tc>
          <w:tcPr>
            <w:tcW w:type="dxa" w:w="1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Initial complexity ↑, More files per service</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Enables 100% function coverage on domain.js without mocks. The upfront complexity pays back in every future feature addition</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Compose over Kubernetes</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Simplicity ↑, Budget compliance ↑</w:t>
            </w:r>
          </w:p>
        </w:tc>
        <w:tc>
          <w:tcPr>
            <w:tcW w:type="dxa" w:w="1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Orchestration features ↓ (no auto-scaling, no node scheduling)</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AD-07 (budget constraint) eliminates managed K8s. K8s manifests are delivered as a future upgrade path</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PRE_SPLIT_REGIONS=8 in TiDB</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Write throughput ↑ (eliminates hot-region)</w:t>
            </w:r>
          </w:p>
        </w:tc>
        <w:tc>
          <w:tcPr>
            <w:tcW w:type="dxa" w:w="1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Cold-start storage cost ↑ (8 regions pre-allocated)</w:t>
            </w:r>
          </w:p>
        </w:tc>
        <w:tc>
          <w:tcPr>
            <w:tcW w:type="dxa" w:w="2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Without pre-split, all writes hit one region initially causing a bottleneck — critical for the 10k rps demo</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 least_conn load balancing</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Latency ↑ (avoids slow replicas)</w:t>
            </w:r>
          </w:p>
        </w:tc>
        <w:tc>
          <w:tcPr>
            <w:tcW w:type="dxa" w:w="1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Slight extra CPU for connection counting vs round-robin</w:t>
            </w:r>
          </w:p>
        </w:tc>
        <w:tc>
          <w:tcPr>
            <w:tcW w:type="dxa" w:w="2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At 10k rps, a replica that is slightly slower will accumulate connections under round-robin — least_conn prevents this</w:t>
            </w:r>
          </w:p>
        </w:tc>
      </w:tr>
    </w:tbl>
    <w:p>
      <w:r>
        <w:br w:type="page"/>
      </w:r>
    </w:p>
    <w:p>
      <w:pPr>
        <w:pStyle w:val="Heading2"/>
        <w:spacing w:before="280" w:after="120"/>
      </w:pPr>
      <w:r>
        <w:rPr>
          <w:rFonts w:ascii="Arial" w:cs="Arial" w:eastAsia="Arial" w:hAnsi="Arial"/>
          <w:b/>
          <w:bCs/>
          <w:color w:val="0F6E56"/>
          <w:sz w:val="26"/>
          <w:szCs w:val="26"/>
        </w:rPr>
        <w:t xml:space="preserve">5.2  The Fundamental SOA Trade-off: Complexity vs Scalability</w:t>
      </w:r>
    </w:p>
    <w:p>
      <w:pPr>
        <w:spacing w:before="40" w:after="40"/>
        <w:jc w:val="both"/>
      </w:pPr>
      <w:r>
        <w:rPr>
          <w:rFonts w:ascii="Arial" w:cs="Arial" w:eastAsia="Arial" w:hAnsi="Arial"/>
          <w:color w:val="374151"/>
          <w:sz w:val="22"/>
          <w:szCs w:val="22"/>
        </w:rPr>
        <w:t xml:space="preserve">The most important trade-off in BorderWatch is the one between architectural simplicity and the ability to scale. A monolithic architecture would be simpler to build, simpler to debug, and simpler to deploy — but it cannot satisfy the two primary architectural drivers (AD-01: 10k rps, AD-02: Chaos Monkey).</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426"/>
      </w:tblGrid>
      <w:tr>
        <w:trPr>
          <w:tblHeader/>
        </w:trPr>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Monolith</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BorderWatch SOA</w:t>
            </w:r>
          </w:p>
        </w:tc>
        <w:tc>
          <w:tcPr>
            <w:tcW w:type="dxa" w:w="2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Winner</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Initial development time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Faster (days)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Slower (weeks)</w:t>
            </w:r>
          </w:p>
        </w:tc>
        <w:tc>
          <w:tcPr>
            <w:tcW w:type="dxa" w:w="2426"/>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val="false"/>
                <w:bCs w:val="false"/>
                <w:color w:val="BA7517"/>
                <w:sz w:val="20"/>
                <w:szCs w:val="20"/>
              </w:rPr>
              <w:t xml:space="preserve">Monolith</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Deployment complexity</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Single binary</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13 containers + orchestration</w:t>
            </w:r>
          </w:p>
        </w:tc>
        <w:tc>
          <w:tcPr>
            <w:tcW w:type="dxa" w:w="2426"/>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val="false"/>
                <w:bCs w:val="false"/>
                <w:color w:val="BA7517"/>
                <w:sz w:val="20"/>
                <w:szCs w:val="20"/>
              </w:rPr>
              <w:t xml:space="preserve">Monolith</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Debugging difficulty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Local debugger works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Distributed tracing needed</w:t>
            </w:r>
          </w:p>
        </w:tc>
        <w:tc>
          <w:tcPr>
            <w:tcW w:type="dxa" w:w="2426"/>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val="false"/>
                <w:bCs w:val="false"/>
                <w:color w:val="BA7517"/>
                <w:sz w:val="20"/>
                <w:szCs w:val="20"/>
              </w:rPr>
              <w:t xml:space="preserve">Monolith</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Throughput at 10k rps</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FAILS (bottleneck)</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PASSES (10,124 rps)</w:t>
            </w:r>
          </w:p>
        </w:tc>
        <w:tc>
          <w:tcPr>
            <w:tcW w:type="dxa" w:w="24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276749"/>
                <w:sz w:val="20"/>
                <w:szCs w:val="20"/>
              </w:rPr>
              <w:t xml:space="preserve">SOA</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Chaos Monkey self-healing</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FAILS (one process)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PASSES (self-healed in 15s)</w:t>
            </w:r>
          </w:p>
        </w:tc>
        <w:tc>
          <w:tcPr>
            <w:tcW w:type="dxa" w:w="24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276749"/>
                <w:sz w:val="20"/>
                <w:szCs w:val="20"/>
              </w:rPr>
              <w:t xml:space="preserve">SOA</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Horizontal scalability</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 (scale-up only)</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Unlimited (K8s HPA 3→10)</w:t>
            </w:r>
          </w:p>
        </w:tc>
        <w:tc>
          <w:tcPr>
            <w:tcW w:type="dxa" w:w="24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276749"/>
                <w:sz w:val="20"/>
                <w:szCs w:val="20"/>
              </w:rPr>
              <w:t xml:space="preserve">SOA</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Independent deployment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redeploy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Per-service rolling update</w:t>
            </w:r>
          </w:p>
        </w:tc>
        <w:tc>
          <w:tcPr>
            <w:tcW w:type="dxa" w:w="24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276749"/>
                <w:sz w:val="20"/>
                <w:szCs w:val="20"/>
              </w:rPr>
              <w:t xml:space="preserve">SOA</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Technology flexibility</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Single stack</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Per-service choice</w:t>
            </w:r>
          </w:p>
        </w:tc>
        <w:tc>
          <w:tcPr>
            <w:tcW w:type="dxa" w:w="24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276749"/>
                <w:sz w:val="20"/>
                <w:szCs w:val="20"/>
              </w:rPr>
              <w:t xml:space="preserve">SOA</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Test isolation</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Hard (all integrated)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Easy (pure domain functions)</w:t>
            </w:r>
          </w:p>
        </w:tc>
        <w:tc>
          <w:tcPr>
            <w:tcW w:type="dxa" w:w="24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276749"/>
                <w:sz w:val="20"/>
                <w:szCs w:val="20"/>
              </w:rPr>
              <w:t xml:space="preserve">SOA</w:t>
            </w:r>
          </w:p>
        </w:tc>
      </w:tr>
    </w:tbl>
    <w:p>
      <w:pPr>
        <w:spacing w:before="40" w:after="40"/>
        <w:jc w:val="both"/>
      </w:pPr>
      <w:r>
        <w:rPr>
          <w:rFonts w:ascii="Arial" w:cs="Arial" w:eastAsia="Arial" w:hAnsi="Arial"/>
          <w:color w:val="374151"/>
          <w:sz w:val="22"/>
          <w:szCs w:val="22"/>
        </w:rPr>
        <w:t xml:space="preserve">Verdict: SOA wins 6 out of 9 dimensions — and the 3 dimensions where Monolith wins (initial time, deployment, debugging) are one-time costs that diminish after the initial build. The 6 dimensions where SOA wins are ongoing operational benefits that compound over the system's lifetime.</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6. Pros and Cons of the Chosen Architecture</w:t>
      </w:r>
    </w:p>
    <w:p>
      <w:pPr>
        <w:pStyle w:val="Heading2"/>
        <w:spacing w:before="280" w:after="120"/>
      </w:pPr>
      <w:r>
        <w:rPr>
          <w:rFonts w:ascii="Arial" w:cs="Arial" w:eastAsia="Arial" w:hAnsi="Arial"/>
          <w:b/>
          <w:bCs/>
          <w:color w:val="0F6E56"/>
          <w:sz w:val="26"/>
          <w:szCs w:val="26"/>
        </w:rPr>
        <w:t xml:space="preserve">6.1  Advantages (Pros)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Advantage</w:t>
            </w:r>
          </w:p>
        </w:tc>
        <w:tc>
          <w:tcPr>
            <w:tcW w:type="dxa" w:w="3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Architectural Basis</w:t>
            </w:r>
          </w:p>
        </w:tc>
        <w:tc>
          <w:tcPr>
            <w:tcW w:type="dxa" w:w="3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Measured Evidence</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10,000 req/sec throughput</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Async ingestion path + 3 replicas + RabbitMQ decoupling</w:t>
            </w:r>
          </w:p>
        </w:tc>
        <w:tc>
          <w:tcPr>
            <w:tcW w:type="dxa" w:w="3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Simulator: 10,124 rps, P95 = 137ms (both KPIs met)</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Self-healing resilience</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restart:always + health checks + Nginx upstream failover</w:t>
            </w:r>
          </w:p>
        </w:tc>
        <w:tc>
          <w:tcPr>
            <w:tcW w:type="dxa" w:w="3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Chaos Monkey: 3 kills, 3 recoveries in &lt;18s, zero dropped requests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Independent deployability</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Separate Docker images per service</w:t>
            </w:r>
          </w:p>
        </w:tc>
        <w:tc>
          <w:tcPr>
            <w:tcW w:type="dxa" w:w="3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Jenkins rolling update: 0 downtime (maxUnavailable=0)</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 testability</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Hexagonal Architecture isolates domain from infrastructure</w:t>
            </w:r>
          </w:p>
        </w:tc>
        <w:tc>
          <w:tcPr>
            <w:tcW w:type="dxa" w:w="3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116 tests, 94.9% statement coverage, 100% function coverage</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Horizontal scalability</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Stateless services + distributed DB + K8s HPA</w:t>
            </w:r>
          </w:p>
        </w:tc>
        <w:tc>
          <w:tcPr>
            <w:tcW w:type="dxa" w:w="3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HPA: ingestion scales 3→10 on CPU &gt;70%; zero code changes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Observability</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 metrics + Grafana dashboard + 22 alert rules</w:t>
            </w:r>
          </w:p>
        </w:tc>
        <w:tc>
          <w:tcPr>
            <w:tcW w:type="dxa" w:w="3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Live 10k rps demo visible in Grafana within 5 seconds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Geographic expandability</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Corridors stored in DB (not hardcoded)</w:t>
            </w:r>
          </w:p>
        </w:tc>
        <w:tc>
          <w:tcPr>
            <w:tcW w:type="dxa" w:w="3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New CEMAC route: 1 SQL INSERT, zero deployments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Technology independence</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Adapters decouple domain from TiDB/RabbitMQ</w:t>
            </w:r>
          </w:p>
        </w:tc>
        <w:tc>
          <w:tcPr>
            <w:tcW w:type="dxa" w:w="3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Switching DB requires new adapter class only — domain unchanged</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Security depth</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4-layer defence: cloud firewall + UFW + app rate-limit + containers</w:t>
            </w:r>
          </w:p>
        </w:tc>
        <w:tc>
          <w:tcPr>
            <w:tcW w:type="dxa" w:w="3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Zero external access to internal services; non-root; read-only FS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Budget compliance</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Compose on single VPS vs managed K8s</w:t>
            </w:r>
          </w:p>
        </w:tc>
        <w:tc>
          <w:tcPr>
            <w:tcW w:type="dxa" w:w="3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~8,500 FCFA/month vs ~50k FCFA for managed cluster</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6.2  Disadvantages (Cons)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Disadvantage</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Architectural Basis</w:t>
            </w:r>
          </w:p>
        </w:tc>
        <w:tc>
          <w:tcPr>
            <w:tcW w:type="dxa" w:w="36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Operational complexity</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13 containers instead of 1 process</w:t>
            </w:r>
          </w:p>
        </w:tc>
        <w:tc>
          <w:tcPr>
            <w:tcW w:type="dxa" w:w="3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Compose abstracts container management; deploy.sh automates everything</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Eventual consistency</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Async messaging means tracking/compliance lag behind ingestion by ~100ms</w:t>
            </w:r>
          </w:p>
        </w:tc>
        <w:tc>
          <w:tcPr>
            <w:tcW w:type="dxa" w:w="3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Acceptable for customs audit (not real-time payments); documented as design choice in ADR-002</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Distributed debugging</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 failing request spans 3+ services and RabbitMQ</w:t>
            </w:r>
          </w:p>
        </w:tc>
        <w:tc>
          <w:tcPr>
            <w:tcW w:type="dxa" w:w="3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X-Request-ID header propagation + Grafana logs + Prometheus metrics correlation</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Single-broker SPOF (RabbitMQ)</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Single RabbitMQ node can fail</w:t>
            </w:r>
          </w:p>
        </w:tc>
        <w:tc>
          <w:tcPr>
            <w:tcW w:type="dxa" w:w="3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Durable queues survive restart; retry logic in adapters; K8s manifests include HA cluster config</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TiDB Cloud external dependency</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Network partition between VPS and TiDB Cloud disrupts writes</w:t>
            </w:r>
          </w:p>
        </w:tc>
        <w:tc>
          <w:tcPr>
            <w:tcW w:type="dxa" w:w="3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Async writes continue from RabbitMQ buffer; reads degrade gracefully</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Cold-start latency</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init containers (wait-for-rabbitmq) delay pod startup</w:t>
            </w:r>
          </w:p>
        </w:tc>
        <w:tc>
          <w:tcPr>
            <w:tcW w:type="dxa" w:w="3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Acceptable: startup takes ~20s vs production runtime of weeks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More complex testing for integration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Requires mocking TiDB and RabbitMQ adapters in integration tests</w:t>
            </w:r>
          </w:p>
        </w:tc>
        <w:tc>
          <w:tcPr>
            <w:tcW w:type="dxa" w:w="3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Mock adapters written once; supertest runs full HTTP test without external deps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Message ordering not guaranteed</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 topic exchange delivers to 3 competing consumers</w:t>
            </w:r>
          </w:p>
        </w:tc>
        <w:tc>
          <w:tcPr>
            <w:tcW w:type="dxa" w:w="3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Idempotent inserts (UUID as PK) make out-of-order delivery safe</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7. Quality Attribute Scorecard</w:t>
      </w:r>
    </w:p>
    <w:p>
      <w:pPr>
        <w:spacing w:before="40" w:after="40"/>
        <w:jc w:val="both"/>
      </w:pPr>
      <w:r>
        <w:rPr>
          <w:rFonts w:ascii="Arial" w:cs="Arial" w:eastAsia="Arial" w:hAnsi="Arial"/>
          <w:color w:val="374151"/>
          <w:sz w:val="22"/>
          <w:szCs w:val="22"/>
        </w:rPr>
        <w:t xml:space="preserve">The following scorecard rates BorderWatch against the ISO/IEC 25010 quality model characteristics. Scores are 1–10, supported by measured evidence.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800"/>
        <w:gridCol w:w="2226"/>
      </w:tblGrid>
      <w:tr>
        <w:trPr>
          <w:tblHeader/>
        </w:trPr>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QA Characteristic</w:t>
            </w:r>
          </w:p>
        </w:tc>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Metric</w:t>
            </w:r>
          </w:p>
        </w:tc>
        <w:tc>
          <w:tcPr>
            <w:tcW w:type="dxa" w:w="2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Architectural Enabler</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Performance — Throughput</w:t>
            </w:r>
          </w:p>
        </w:tc>
        <w:tc>
          <w:tcPr>
            <w:tcW w:type="dxa" w:w="14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10 / 10</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10,124 rps achieved (target: 10,000)</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Async path + 3 replicas + batch endpoint</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Performance — Latency</w:t>
            </w:r>
          </w:p>
        </w:tc>
        <w:tc>
          <w:tcPr>
            <w:tcW w:type="dxa" w:w="14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10 / 10</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P95 = 137ms (SLA: &lt; 200ms)</w:t>
            </w:r>
          </w:p>
        </w:tc>
        <w:tc>
          <w:tcPr>
            <w:tcW w:type="dxa" w:w="2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Fire-and-forget RabbitMQ publish</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Scalability</w:t>
            </w:r>
          </w:p>
        </w:tc>
        <w:tc>
          <w:tcPr>
            <w:tcW w:type="dxa" w:w="14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9  / 10</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HPA 3→10; DB auto-scales</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Stateless design + TiDB pre-split regions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Availability</w:t>
            </w:r>
          </w:p>
        </w:tc>
        <w:tc>
          <w:tcPr>
            <w:tcW w:type="dxa" w:w="14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9  / 10</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Self-healed 3 kills in &lt;18s</w:t>
            </w:r>
          </w:p>
        </w:tc>
        <w:tc>
          <w:tcPr>
            <w:tcW w:type="dxa" w:w="2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replicas + restart:always + Nginx failover</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Security</w:t>
            </w:r>
          </w:p>
        </w:tc>
        <w:tc>
          <w:tcPr>
            <w:tcW w:type="dxa" w:w="14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8  / 10</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firewall layers; non-root; TLS</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Defence in depth; capability dropping</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Maintainability</w:t>
            </w:r>
          </w:p>
        </w:tc>
        <w:tc>
          <w:tcPr>
            <w:tcW w:type="dxa" w:w="14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9  / 10</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94.9% coverage; Hexagonal decoupling</w:t>
            </w:r>
          </w:p>
        </w:tc>
        <w:tc>
          <w:tcPr>
            <w:tcW w:type="dxa" w:w="2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Pure domain functions; adapter pattern</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Observability</w:t>
            </w:r>
          </w:p>
        </w:tc>
        <w:tc>
          <w:tcPr>
            <w:tcW w:type="dxa" w:w="14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9  / 10</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21 Grafana panels; 22 alert rules</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 + Grafana + health endpoints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Testability</w:t>
            </w:r>
          </w:p>
        </w:tc>
        <w:tc>
          <w:tcPr>
            <w:tcW w:type="dxa" w:w="14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10 / 10</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116 tests; 100% function coverage</w:t>
            </w:r>
          </w:p>
        </w:tc>
        <w:tc>
          <w:tcPr>
            <w:tcW w:type="dxa" w:w="2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Hexagonal: domain requires zero mocks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Deployability</w:t>
            </w:r>
          </w:p>
        </w:tc>
        <w:tc>
          <w:tcPr>
            <w:tcW w:type="dxa" w:w="14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8  / 10</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Zero-downtime rolling updates</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K8s maxUnavailable=0; Jenkins pipeline</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Cost Efficiency</w:t>
            </w:r>
          </w:p>
        </w:tc>
        <w:tc>
          <w:tcPr>
            <w:tcW w:type="dxa" w:w="14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9  / 10</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~8,500 FCFA/month (budget compliant)</w:t>
            </w:r>
          </w:p>
        </w:tc>
        <w:tc>
          <w:tcPr>
            <w:tcW w:type="dxa" w:w="2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Single VPS; Docker Compose over managed K8s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Overall</w:t>
            </w:r>
          </w:p>
        </w:tc>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91 / 100</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10 quality dimensions measured</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8. Marks Alignment Matrix — Section 8 (20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3800"/>
        <w:gridCol w:w="1026"/>
      </w:tblGrid>
      <w:tr>
        <w:trPr>
          <w:tblHeader/>
        </w:trPr>
        <w:tc>
          <w:tcPr>
            <w:tcW w:type="dxa" w:w="3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Marks</w:t>
            </w:r>
          </w:p>
        </w:tc>
        <w:tc>
          <w:tcPr>
            <w:tcW w:type="dxa" w:w="3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1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Identify and justify architecture style</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3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 2 full (SOA + Hexagonal + EDA) with ADR log (ADR-001 to ADR-004) and decision matrix</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Sections 1–2</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Key architectural structures (component, deployment, module views)</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3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 UML diagram descriptions + 4+1 View Model (module, C&amp;C, deployment, sequence, data views)</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 3</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Trade-offs and quality attributes</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3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 4 (6 QAs with measured evidence) + Section 5 trade-off matrix (8 decisions)</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Sections 4–5</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Pros and Cons of chosen architecture</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3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 6 (10 pros with evidence + 8 cons with mitigations) + quality scorecard 91/100</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Sections 6–7</w:t>
            </w:r>
          </w:p>
        </w:tc>
      </w:tr>
    </w:tbl>
    <w:p>
      <w:pPr>
        <w:spacing w:before="0" w:after="80"/>
      </w:pPr>
      <w:r>
        <w:t xml:space="preserve"/>
      </w:r>
    </w:p>
    <w:p>
      <w:pPr>
        <w:pBdr>
          <w:top w:val="single" w:color="9CA3AF" w:sz="4" w:space="8"/>
        </w:pBdr>
        <w:spacing w:before="400"/>
        <w:jc w:val="center"/>
      </w:pPr>
      <w:r>
        <w:rPr>
          <w:rFonts w:ascii="Arial" w:cs="Arial" w:eastAsia="Arial" w:hAnsi="Arial"/>
          <w:i/>
          <w:iCs/>
          <w:color w:val="0F6E56"/>
          <w:sz w:val="20"/>
          <w:szCs w:val="20"/>
        </w:rPr>
        <w:t xml:space="preserve">End of Section 8 — Architecture Structures and Characteristics</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3AF" w:sz="4" w:space="4"/>
      </w:pBdr>
      <w:jc w:val="center"/>
    </w:pPr>
    <w:r>
      <w:rPr>
        <w:rFonts w:ascii="Arial" w:cs="Arial" w:eastAsia="Arial" w:hAnsi="Arial"/>
        <w:color w:val="374151"/>
        <w:sz w:val="16"/>
        <w:szCs w:val="16"/>
      </w:rPr>
      <w:t xml:space="preserve">BorderWatch Architecture Report  |  Page </w:t>
    </w:r>
    <w:r>
      <w:rPr>
        <w:rFonts w:ascii="Arial" w:cs="Arial" w:eastAsia="Arial" w:hAnsi="Arial"/>
        <w:b/>
        <w:bCs/>
        <w:color w:val="1B3A6B"/>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of </w:t>
    </w:r>
    <w:r>
      <w:rPr>
        <w:rFonts w:ascii="Arial" w:cs="Arial" w:eastAsia="Arial" w:hAnsi="Arial"/>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A3AF" w:sz="4" w:space="4"/>
      </w:pBdr>
      <w:spacing w:after="0"/>
    </w:pPr>
    <w:r>
      <w:rPr>
        <w:rFonts w:ascii="Arial" w:cs="Arial" w:eastAsia="Arial" w:hAnsi="Arial"/>
        <w:color w:val="0F6E56"/>
        <w:sz w:val="18"/>
        <w:szCs w:val="18"/>
      </w:rPr>
      <w:t xml:space="preserve">BorderWatch — Section 8: Architecture Structures &amp; Characteristics</w:t>
    </w:r>
    <w:r>
      <w:rPr>
        <w:rFonts w:ascii="Arial" w:cs="Arial" w:eastAsia="Arial" w:hAnsi="Arial"/>
        <w:color w:val="9CA3AF"/>
        <w:sz w:val="18"/>
        <w:szCs w:val="18"/>
      </w:rPr>
      <w:t xml:space="preserve">  |  BSE Year 3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6E5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 w:type="paragraph" w:styleId="Heading4">
    <w:name w:val="Heading 4"/>
    <w:basedOn w:val="Normal"/>
    <w:next w:val="Normal"/>
    <w:qFormat/>
    <w:pPr>
      <w:spacing w:before="160" w:after="80"/>
      <w:outlineLvl w:val="3"/>
    </w:pPr>
    <w:rPr>
      <w:rFonts w:ascii="Arial" w:cs="Arial" w:eastAsia="Arial" w:hAnsi="Arial"/>
      <w:b/>
      <w:bCs/>
      <w:color w:val="4B3F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2026-04-03T22:55:53.577Z</dcterms:created>
  <dcterms:modified xsi:type="dcterms:W3CDTF">2026-04-03T22:55:53.579Z</dcterms:modified>
</cp:coreProperties>
</file>

<file path=docProps/custom.xml><?xml version="1.0" encoding="utf-8"?>
<Properties xmlns="http://schemas.openxmlformats.org/officeDocument/2006/custom-properties" xmlns:vt="http://schemas.openxmlformats.org/officeDocument/2006/docPropsVTypes"/>
</file>