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BORDERWATCH</w:t>
      </w:r>
    </w:p>
    <w:p>
      <w:pPr>
        <w:jc w:val="center"/>
      </w:pPr>
      <w:r>
        <w:rPr>
          <w:b/>
          <w:color w:val="0F766E"/>
          <w:sz w:val="32"/>
        </w:rPr>
        <w:t>Section 1 - Infrastructure Setup</w:t>
      </w:r>
    </w:p>
    <w:p>
      <w:pPr>
        <w:jc w:val="center"/>
      </w:pPr>
      <w:r>
        <w:rPr>
          <w:color w:val="263238"/>
          <w:sz w:val="22"/>
        </w:rPr>
        <w:t>High-Availability Goods-in-Transit Surveillance System</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48"/>
            <w:vAlign w:val="center"/>
            <w:shd w:fill="1F4E79"/>
          </w:tcPr>
          <w:p>
            <w:pPr>
              <w:spacing w:after="0"/>
            </w:pPr>
            <w:r/>
            <w:r>
              <w:rPr>
                <w:b/>
                <w:color w:val="FFFFFF"/>
                <w:sz w:val="17"/>
              </w:rPr>
              <w:t>Project</w:t>
            </w:r>
          </w:p>
        </w:tc>
        <w:tc>
          <w:tcPr>
            <w:tcW w:type="dxa" w:w="2232"/>
            <w:vAlign w:val="center"/>
            <w:shd w:fill="1F4E79"/>
          </w:tcPr>
          <w:p>
            <w:pPr>
              <w:spacing w:after="0"/>
            </w:pPr>
            <w:r/>
            <w:r>
              <w:rPr>
                <w:b/>
                <w:color w:val="FFFFFF"/>
                <w:sz w:val="17"/>
              </w:rPr>
              <w:t>Section</w:t>
            </w:r>
          </w:p>
        </w:tc>
        <w:tc>
          <w:tcPr>
            <w:tcW w:type="dxa" w:w="2592"/>
            <w:vAlign w:val="center"/>
            <w:shd w:fill="1F4E79"/>
          </w:tcPr>
          <w:p>
            <w:pPr>
              <w:spacing w:after="0"/>
            </w:pPr>
            <w:r/>
            <w:r>
              <w:rPr>
                <w:b/>
                <w:color w:val="FFFFFF"/>
                <w:sz w:val="17"/>
              </w:rPr>
              <w:t>Deployment Model</w:t>
            </w:r>
          </w:p>
        </w:tc>
        <w:tc>
          <w:tcPr>
            <w:tcW w:type="dxa" w:w="3888"/>
            <w:vAlign w:val="center"/>
            <w:shd w:fill="1F4E79"/>
          </w:tcPr>
          <w:p>
            <w:pPr>
              <w:spacing w:after="0"/>
            </w:pPr>
            <w:r/>
            <w:r>
              <w:rPr>
                <w:b/>
                <w:color w:val="FFFFFF"/>
                <w:sz w:val="17"/>
              </w:rPr>
              <w:t>Evidence</w:t>
            </w:r>
          </w:p>
        </w:tc>
      </w:tr>
      <w:tr>
        <w:tc>
          <w:tcPr>
            <w:tcW w:type="dxa" w:w="2448"/>
            <w:vAlign w:val="center"/>
          </w:tcPr>
          <w:p>
            <w:pPr>
              <w:spacing w:after="0"/>
            </w:pPr>
            <w:r/>
            <w:r>
              <w:rPr>
                <w:b w:val="0"/>
                <w:sz w:val="17"/>
              </w:rPr>
              <w:t>BorderWatch distributed customs surveillance</w:t>
            </w:r>
          </w:p>
        </w:tc>
        <w:tc>
          <w:tcPr>
            <w:tcW w:type="dxa" w:w="2232"/>
            <w:vAlign w:val="center"/>
          </w:tcPr>
          <w:p>
            <w:pPr>
              <w:spacing w:after="0"/>
            </w:pPr>
            <w:r/>
            <w:r>
              <w:rPr>
                <w:b w:val="0"/>
                <w:sz w:val="17"/>
              </w:rPr>
              <w:t>Infrastructure Setup (15 marks)</w:t>
            </w:r>
          </w:p>
        </w:tc>
        <w:tc>
          <w:tcPr>
            <w:tcW w:type="dxa" w:w="2592"/>
            <w:vAlign w:val="center"/>
          </w:tcPr>
          <w:p>
            <w:pPr>
              <w:spacing w:after="0"/>
            </w:pPr>
            <w:r/>
            <w:r>
              <w:rPr>
                <w:b w:val="0"/>
                <w:sz w:val="17"/>
              </w:rPr>
              <w:t>VPS-ready Docker Compose stack</w:t>
            </w:r>
          </w:p>
        </w:tc>
        <w:tc>
          <w:tcPr>
            <w:tcW w:type="dxa" w:w="3888"/>
            <w:vAlign w:val="center"/>
          </w:tcPr>
          <w:p>
            <w:pPr>
              <w:spacing w:after="0"/>
            </w:pPr>
            <w:r/>
            <w:r>
              <w:rPr>
                <w:b w:val="0"/>
                <w:sz w:val="17"/>
              </w:rPr>
              <w:t>docker-compose.yml, Dockerfiles, Nginx, scripts, monitoring configs</w:t>
            </w:r>
          </w:p>
        </w:tc>
      </w:tr>
    </w:tbl>
    <w:p/>
    <w:tbl>
      <w:tblPr>
        <w:tblW w:type="auto" w:w="0"/>
        <w:jc w:val="center"/>
        <w:tblLook w:firstColumn="1" w:firstRow="1" w:lastColumn="0" w:lastRow="0" w:noHBand="0" w:noVBand="1" w:val="04A0"/>
      </w:tblPr>
      <w:tblGrid>
        <w:gridCol w:w="9936"/>
      </w:tblGrid>
      <w:tr>
        <w:tc>
          <w:tcPr>
            <w:tcW w:type="dxa" w:w="9936"/>
            <w:shd w:fill="EAF7F4"/>
          </w:tcPr>
          <w:p>
            <w:pPr>
              <w:spacing w:after="40"/>
            </w:pPr>
            <w:r>
              <w:rPr>
                <w:b/>
                <w:color w:val="0F766E"/>
                <w:sz w:val="20"/>
              </w:rPr>
              <w:t xml:space="preserve">Assessment focus: </w:t>
            </w:r>
            <w:r>
              <w:rPr>
                <w:sz w:val="20"/>
              </w:rPr>
              <w:t>This section documents the real infrastructure implemented in the project repository: containerized Spring Boot services, a React frontend served through Nginx, RabbitMQ messaging, MySQL persistence, Prometheus/Grafana monitoring, and Bash automation scripts. Terraform and Kubernetes are optional extensions; the current project deploys through Docker Compose.</w:t>
            </w:r>
          </w:p>
        </w:tc>
      </w:tr>
    </w:tbl>
    <w:p/>
    <w:p>
      <w:pPr>
        <w:pStyle w:val="Heading1"/>
      </w:pPr>
      <w:r>
        <w:rPr>
          <w:b/>
          <w:color w:val="1F4E79"/>
        </w:rPr>
        <w:t>1. Infrastructure Objective</w:t>
      </w:r>
    </w:p>
    <w:p>
      <w:r>
        <w:t>BorderWatch requires an infrastructure capable of receiving GPS telemetry from truck beacons, routing API traffic to the correct backend service, detecting corridor deviations, recording compliance violations, and exposing monitoring data for operations. The implemented environment is designed for local demonstration and VPS deployment using the same Docker Compose topology.</w:t>
      </w:r>
    </w:p>
    <w:p>
      <w:pPr>
        <w:pStyle w:val="ListBullet"/>
      </w:pPr>
      <w:r>
        <w:t>Provision a Linux host or on-premise server with Docker Engine and Docker Compose.</w:t>
      </w:r>
    </w:p>
    <w:p>
      <w:pPr>
        <w:pStyle w:val="ListBullet"/>
      </w:pPr>
      <w:r>
        <w:t>Run three Spring Boot microservices with two replicas each for ingestion, tracking, and compliance.</w:t>
      </w:r>
    </w:p>
    <w:p>
      <w:pPr>
        <w:pStyle w:val="ListBullet"/>
      </w:pPr>
      <w:r>
        <w:t>Expose a single public HTTP entry point through Nginx while keeping internal services on the Docker bridge network.</w:t>
      </w:r>
    </w:p>
    <w:p>
      <w:pPr>
        <w:pStyle w:val="ListBullet"/>
      </w:pPr>
      <w:r>
        <w:t>Use RabbitMQ for asynchronous telemetry and violation event delivery.</w:t>
      </w:r>
    </w:p>
    <w:p>
      <w:pPr>
        <w:pStyle w:val="ListBullet"/>
      </w:pPr>
      <w:r>
        <w:t>Use MySQL 8 for users, trucks, telemetry, violations, audit chain, notifications, and seed data.</w:t>
      </w:r>
    </w:p>
    <w:p>
      <w:pPr>
        <w:pStyle w:val="ListBullet"/>
      </w:pPr>
      <w:r>
        <w:t>Provide operational visibility through Prometheus, Grafana, Alertmanager, and node-exporter.</w:t>
      </w:r>
    </w:p>
    <w:p>
      <w:pPr>
        <w:pStyle w:val="Heading1"/>
      </w:pPr>
      <w:r>
        <w:rPr>
          <w:b/>
          <w:color w:val="1F4E79"/>
        </w:rPr>
        <w:t>2. Provisioned Resources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944"/>
            <w:vAlign w:val="center"/>
            <w:shd w:fill="1F4E79"/>
          </w:tcPr>
          <w:p>
            <w:pPr>
              <w:spacing w:after="0"/>
            </w:pPr>
            <w:r/>
            <w:r>
              <w:rPr>
                <w:b/>
                <w:color w:val="FFFFFF"/>
                <w:sz w:val="17"/>
              </w:rPr>
              <w:t>Resource</w:t>
            </w:r>
          </w:p>
        </w:tc>
        <w:tc>
          <w:tcPr>
            <w:tcW w:type="dxa" w:w="2016"/>
            <w:vAlign w:val="center"/>
            <w:shd w:fill="1F4E79"/>
          </w:tcPr>
          <w:p>
            <w:pPr>
              <w:spacing w:after="0"/>
            </w:pPr>
            <w:r/>
            <w:r>
              <w:rPr>
                <w:b/>
                <w:color w:val="FFFFFF"/>
                <w:sz w:val="17"/>
              </w:rPr>
              <w:t>Implemented choice</w:t>
            </w:r>
          </w:p>
        </w:tc>
        <w:tc>
          <w:tcPr>
            <w:tcW w:type="dxa" w:w="2880"/>
            <w:vAlign w:val="center"/>
            <w:shd w:fill="1F4E79"/>
          </w:tcPr>
          <w:p>
            <w:pPr>
              <w:spacing w:after="0"/>
            </w:pPr>
            <w:r/>
            <w:r>
              <w:rPr>
                <w:b/>
                <w:color w:val="FFFFFF"/>
                <w:sz w:val="17"/>
              </w:rPr>
              <w:t>Project evidence</w:t>
            </w:r>
          </w:p>
        </w:tc>
        <w:tc>
          <w:tcPr>
            <w:tcW w:type="dxa" w:w="3456"/>
            <w:vAlign w:val="center"/>
            <w:shd w:fill="1F4E79"/>
          </w:tcPr>
          <w:p>
            <w:pPr>
              <w:spacing w:after="0"/>
            </w:pPr>
            <w:r/>
            <w:r>
              <w:rPr>
                <w:b/>
                <w:color w:val="FFFFFF"/>
                <w:sz w:val="17"/>
              </w:rPr>
              <w:t>Purpose</w:t>
            </w:r>
          </w:p>
        </w:tc>
      </w:tr>
      <w:tr>
        <w:tc>
          <w:tcPr>
            <w:tcW w:type="dxa" w:w="1944"/>
            <w:vAlign w:val="center"/>
          </w:tcPr>
          <w:p>
            <w:pPr>
              <w:spacing w:after="0"/>
            </w:pPr>
            <w:r/>
            <w:r>
              <w:rPr>
                <w:b w:val="0"/>
                <w:sz w:val="17"/>
              </w:rPr>
              <w:t>Compute host</w:t>
            </w:r>
          </w:p>
        </w:tc>
        <w:tc>
          <w:tcPr>
            <w:tcW w:type="dxa" w:w="2016"/>
            <w:vAlign w:val="center"/>
          </w:tcPr>
          <w:p>
            <w:pPr>
              <w:spacing w:after="0"/>
            </w:pPr>
            <w:r/>
            <w:r>
              <w:rPr>
                <w:b w:val="0"/>
                <w:sz w:val="17"/>
              </w:rPr>
              <w:t>Linux/VPS-ready host</w:t>
            </w:r>
          </w:p>
        </w:tc>
        <w:tc>
          <w:tcPr>
            <w:tcW w:type="dxa" w:w="2880"/>
            <w:vAlign w:val="center"/>
          </w:tcPr>
          <w:p>
            <w:pPr>
              <w:spacing w:after="0"/>
            </w:pPr>
            <w:r/>
            <w:r>
              <w:rPr>
                <w:b w:val="0"/>
                <w:sz w:val="17"/>
              </w:rPr>
              <w:t>scripts/start.sh, docker-compose.yml</w:t>
            </w:r>
          </w:p>
        </w:tc>
        <w:tc>
          <w:tcPr>
            <w:tcW w:type="dxa" w:w="3456"/>
            <w:vAlign w:val="center"/>
          </w:tcPr>
          <w:p>
            <w:pPr>
              <w:spacing w:after="0"/>
            </w:pPr>
            <w:r/>
            <w:r>
              <w:rPr>
                <w:b w:val="0"/>
                <w:sz w:val="17"/>
              </w:rPr>
              <w:t>Runs the complete BorderWatch stack from one command.</w:t>
            </w:r>
          </w:p>
        </w:tc>
      </w:tr>
      <w:tr>
        <w:tc>
          <w:tcPr>
            <w:tcW w:type="dxa" w:w="1944"/>
            <w:vAlign w:val="center"/>
          </w:tcPr>
          <w:p>
            <w:pPr>
              <w:spacing w:after="0"/>
            </w:pPr>
            <w:r/>
            <w:r>
              <w:rPr>
                <w:b w:val="0"/>
                <w:sz w:val="17"/>
              </w:rPr>
              <w:t>Container runtime</w:t>
            </w:r>
          </w:p>
        </w:tc>
        <w:tc>
          <w:tcPr>
            <w:tcW w:type="dxa" w:w="2016"/>
            <w:vAlign w:val="center"/>
          </w:tcPr>
          <w:p>
            <w:pPr>
              <w:spacing w:after="0"/>
            </w:pPr>
            <w:r/>
            <w:r>
              <w:rPr>
                <w:b w:val="0"/>
                <w:sz w:val="17"/>
              </w:rPr>
              <w:t>Docker + Docker Compose</w:t>
            </w:r>
          </w:p>
        </w:tc>
        <w:tc>
          <w:tcPr>
            <w:tcW w:type="dxa" w:w="2880"/>
            <w:vAlign w:val="center"/>
          </w:tcPr>
          <w:p>
            <w:pPr>
              <w:spacing w:after="0"/>
            </w:pPr>
            <w:r/>
            <w:r>
              <w:rPr>
                <w:b w:val="0"/>
                <w:sz w:val="17"/>
              </w:rPr>
              <w:t>docker-compose.yml</w:t>
            </w:r>
          </w:p>
        </w:tc>
        <w:tc>
          <w:tcPr>
            <w:tcW w:type="dxa" w:w="3456"/>
            <w:vAlign w:val="center"/>
          </w:tcPr>
          <w:p>
            <w:pPr>
              <w:spacing w:after="0"/>
            </w:pPr>
            <w:r/>
            <w:r>
              <w:rPr>
                <w:b w:val="0"/>
                <w:sz w:val="17"/>
              </w:rPr>
              <w:t>Builds and orchestrates 13 service containers.</w:t>
            </w:r>
          </w:p>
        </w:tc>
      </w:tr>
      <w:tr>
        <w:tc>
          <w:tcPr>
            <w:tcW w:type="dxa" w:w="1944"/>
            <w:vAlign w:val="center"/>
          </w:tcPr>
          <w:p>
            <w:pPr>
              <w:spacing w:after="0"/>
            </w:pPr>
            <w:r/>
            <w:r>
              <w:rPr>
                <w:b w:val="0"/>
                <w:sz w:val="17"/>
              </w:rPr>
              <w:t>Application gateway</w:t>
            </w:r>
          </w:p>
        </w:tc>
        <w:tc>
          <w:tcPr>
            <w:tcW w:type="dxa" w:w="2016"/>
            <w:vAlign w:val="center"/>
          </w:tcPr>
          <w:p>
            <w:pPr>
              <w:spacing w:after="0"/>
            </w:pPr>
            <w:r/>
            <w:r>
              <w:rPr>
                <w:b w:val="0"/>
                <w:sz w:val="17"/>
              </w:rPr>
              <w:t>Nginx 1.27 Alpine</w:t>
            </w:r>
          </w:p>
        </w:tc>
        <w:tc>
          <w:tcPr>
            <w:tcW w:type="dxa" w:w="2880"/>
            <w:vAlign w:val="center"/>
          </w:tcPr>
          <w:p>
            <w:pPr>
              <w:spacing w:after="0"/>
            </w:pPr>
            <w:r/>
            <w:r>
              <w:rPr>
                <w:b w:val="0"/>
                <w:sz w:val="17"/>
              </w:rPr>
              <w:t>gateway/Dockerfile, gateway/nginx.conf</w:t>
            </w:r>
          </w:p>
        </w:tc>
        <w:tc>
          <w:tcPr>
            <w:tcW w:type="dxa" w:w="3456"/>
            <w:vAlign w:val="center"/>
          </w:tcPr>
          <w:p>
            <w:pPr>
              <w:spacing w:after="0"/>
            </w:pPr>
            <w:r/>
            <w:r>
              <w:rPr>
                <w:b w:val="0"/>
                <w:sz w:val="17"/>
              </w:rPr>
              <w:t>Serves React assets and reverse-proxies API traffic.</w:t>
            </w:r>
          </w:p>
        </w:tc>
      </w:tr>
      <w:tr>
        <w:tc>
          <w:tcPr>
            <w:tcW w:type="dxa" w:w="1944"/>
            <w:vAlign w:val="center"/>
          </w:tcPr>
          <w:p>
            <w:pPr>
              <w:spacing w:after="0"/>
            </w:pPr>
            <w:r/>
            <w:r>
              <w:rPr>
                <w:b w:val="0"/>
                <w:sz w:val="17"/>
              </w:rPr>
              <w:t>Database</w:t>
            </w:r>
          </w:p>
        </w:tc>
        <w:tc>
          <w:tcPr>
            <w:tcW w:type="dxa" w:w="2016"/>
            <w:vAlign w:val="center"/>
          </w:tcPr>
          <w:p>
            <w:pPr>
              <w:spacing w:after="0"/>
            </w:pPr>
            <w:r/>
            <w:r>
              <w:rPr>
                <w:b w:val="0"/>
                <w:sz w:val="17"/>
              </w:rPr>
              <w:t>MySQL 8.0</w:t>
            </w:r>
          </w:p>
        </w:tc>
        <w:tc>
          <w:tcPr>
            <w:tcW w:type="dxa" w:w="2880"/>
            <w:vAlign w:val="center"/>
          </w:tcPr>
          <w:p>
            <w:pPr>
              <w:spacing w:after="0"/>
            </w:pPr>
            <w:r/>
            <w:r>
              <w:rPr>
                <w:b w:val="0"/>
                <w:sz w:val="17"/>
              </w:rPr>
              <w:t>scripts/schema.sql, scripts/seed.sql</w:t>
            </w:r>
          </w:p>
        </w:tc>
        <w:tc>
          <w:tcPr>
            <w:tcW w:type="dxa" w:w="3456"/>
            <w:vAlign w:val="center"/>
          </w:tcPr>
          <w:p>
            <w:pPr>
              <w:spacing w:after="0"/>
            </w:pPr>
            <w:r/>
            <w:r>
              <w:rPr>
                <w:b w:val="0"/>
                <w:sz w:val="17"/>
              </w:rPr>
              <w:t>Stores operational data and seeded demo users/trucks.</w:t>
            </w:r>
          </w:p>
        </w:tc>
      </w:tr>
      <w:tr>
        <w:tc>
          <w:tcPr>
            <w:tcW w:type="dxa" w:w="1944"/>
            <w:vAlign w:val="center"/>
          </w:tcPr>
          <w:p>
            <w:pPr>
              <w:spacing w:after="0"/>
            </w:pPr>
            <w:r/>
            <w:r>
              <w:rPr>
                <w:b w:val="0"/>
                <w:sz w:val="17"/>
              </w:rPr>
              <w:t>Message broker</w:t>
            </w:r>
          </w:p>
        </w:tc>
        <w:tc>
          <w:tcPr>
            <w:tcW w:type="dxa" w:w="2016"/>
            <w:vAlign w:val="center"/>
          </w:tcPr>
          <w:p>
            <w:pPr>
              <w:spacing w:after="0"/>
            </w:pPr>
            <w:r/>
            <w:r>
              <w:rPr>
                <w:b w:val="0"/>
                <w:sz w:val="17"/>
              </w:rPr>
              <w:t>RabbitMQ 3.13 management image</w:t>
            </w:r>
          </w:p>
        </w:tc>
        <w:tc>
          <w:tcPr>
            <w:tcW w:type="dxa" w:w="2880"/>
            <w:vAlign w:val="center"/>
          </w:tcPr>
          <w:p>
            <w:pPr>
              <w:spacing w:after="0"/>
            </w:pPr>
            <w:r/>
            <w:r>
              <w:rPr>
                <w:b w:val="0"/>
                <w:sz w:val="17"/>
              </w:rPr>
              <w:t>docker-compose.yml, RabbitMqConfig.java</w:t>
            </w:r>
          </w:p>
        </w:tc>
        <w:tc>
          <w:tcPr>
            <w:tcW w:type="dxa" w:w="3456"/>
            <w:vAlign w:val="center"/>
          </w:tcPr>
          <w:p>
            <w:pPr>
              <w:spacing w:after="0"/>
            </w:pPr>
            <w:r/>
            <w:r>
              <w:rPr>
                <w:b w:val="0"/>
                <w:sz w:val="17"/>
              </w:rPr>
              <w:t>Decouples telemetry ingestion from tracking and compliance.</w:t>
            </w:r>
          </w:p>
        </w:tc>
      </w:tr>
      <w:tr>
        <w:tc>
          <w:tcPr>
            <w:tcW w:type="dxa" w:w="1944"/>
            <w:vAlign w:val="center"/>
          </w:tcPr>
          <w:p>
            <w:pPr>
              <w:spacing w:after="0"/>
            </w:pPr>
            <w:r/>
            <w:r>
              <w:rPr>
                <w:b w:val="0"/>
                <w:sz w:val="17"/>
              </w:rPr>
              <w:t>Monitoring</w:t>
            </w:r>
          </w:p>
        </w:tc>
        <w:tc>
          <w:tcPr>
            <w:tcW w:type="dxa" w:w="2016"/>
            <w:vAlign w:val="center"/>
          </w:tcPr>
          <w:p>
            <w:pPr>
              <w:spacing w:after="0"/>
            </w:pPr>
            <w:r/>
            <w:r>
              <w:rPr>
                <w:b w:val="0"/>
                <w:sz w:val="17"/>
              </w:rPr>
              <w:t>Prometheus, Grafana, Alertmanager, node-exporter</w:t>
            </w:r>
          </w:p>
        </w:tc>
        <w:tc>
          <w:tcPr>
            <w:tcW w:type="dxa" w:w="2880"/>
            <w:vAlign w:val="center"/>
          </w:tcPr>
          <w:p>
            <w:pPr>
              <w:spacing w:after="0"/>
            </w:pPr>
            <w:r/>
            <w:r>
              <w:rPr>
                <w:b w:val="0"/>
                <w:sz w:val="17"/>
              </w:rPr>
              <w:t>monitoring/*</w:t>
            </w:r>
          </w:p>
        </w:tc>
        <w:tc>
          <w:tcPr>
            <w:tcW w:type="dxa" w:w="3456"/>
            <w:vAlign w:val="center"/>
          </w:tcPr>
          <w:p>
            <w:pPr>
              <w:spacing w:after="0"/>
            </w:pPr>
            <w:r/>
            <w:r>
              <w:rPr>
                <w:b w:val="0"/>
                <w:sz w:val="17"/>
              </w:rPr>
              <w:t>Collects service metrics and infrastructure health signals.</w:t>
            </w:r>
          </w:p>
        </w:tc>
      </w:tr>
    </w:tbl>
    <w:p/>
    <w:p>
      <w:pPr>
        <w:pStyle w:val="Heading1"/>
      </w:pPr>
      <w:r>
        <w:rPr>
          <w:b/>
          <w:color w:val="1F4E79"/>
        </w:rPr>
        <w:t>3. Container Topology</w:t>
      </w:r>
    </w:p>
    <w:p>
      <w:r>
        <w:t>The Docker Compose file defines a bridge network named bw-net and persistent volumes for MySQL, RabbitMQ, Prometheus, and Grafana. Application services are built from project Dockerfiles and are exposed internally to Nginx, not directly to the public network.</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592"/>
            <w:vAlign w:val="center"/>
            <w:shd w:fill="1F4E79"/>
          </w:tcPr>
          <w:p>
            <w:pPr>
              <w:spacing w:after="0"/>
            </w:pPr>
            <w:r/>
            <w:r>
              <w:rPr>
                <w:b/>
                <w:color w:val="FFFFFF"/>
                <w:sz w:val="17"/>
              </w:rPr>
              <w:t>Service group</w:t>
            </w:r>
          </w:p>
        </w:tc>
        <w:tc>
          <w:tcPr>
            <w:tcW w:type="dxa" w:w="1152"/>
            <w:vAlign w:val="center"/>
            <w:shd w:fill="1F4E79"/>
          </w:tcPr>
          <w:p>
            <w:pPr>
              <w:spacing w:after="0"/>
            </w:pPr>
            <w:r/>
            <w:r>
              <w:rPr>
                <w:b/>
                <w:color w:val="FFFFFF"/>
                <w:sz w:val="17"/>
              </w:rPr>
              <w:t>Replicas</w:t>
            </w:r>
          </w:p>
        </w:tc>
        <w:tc>
          <w:tcPr>
            <w:tcW w:type="dxa" w:w="1728"/>
            <w:vAlign w:val="center"/>
            <w:shd w:fill="1F4E79"/>
          </w:tcPr>
          <w:p>
            <w:pPr>
              <w:spacing w:after="0"/>
            </w:pPr>
            <w:r/>
            <w:r>
              <w:rPr>
                <w:b/>
                <w:color w:val="FFFFFF"/>
                <w:sz w:val="17"/>
              </w:rPr>
              <w:t>Internal port</w:t>
            </w:r>
          </w:p>
        </w:tc>
        <w:tc>
          <w:tcPr>
            <w:tcW w:type="dxa" w:w="5040"/>
            <w:vAlign w:val="center"/>
            <w:shd w:fill="1F4E79"/>
          </w:tcPr>
          <w:p>
            <w:pPr>
              <w:spacing w:after="0"/>
            </w:pPr>
            <w:r/>
            <w:r>
              <w:rPr>
                <w:b/>
                <w:color w:val="FFFFFF"/>
                <w:sz w:val="17"/>
              </w:rPr>
              <w:t>Main responsibility</w:t>
            </w:r>
          </w:p>
        </w:tc>
      </w:tr>
      <w:tr>
        <w:tc>
          <w:tcPr>
            <w:tcW w:type="dxa" w:w="2592"/>
            <w:vAlign w:val="center"/>
          </w:tcPr>
          <w:p>
            <w:pPr>
              <w:spacing w:after="0"/>
            </w:pPr>
            <w:r/>
            <w:r>
              <w:rPr>
                <w:b w:val="0"/>
                <w:sz w:val="17"/>
              </w:rPr>
              <w:t>ingestion-service</w:t>
            </w:r>
          </w:p>
        </w:tc>
        <w:tc>
          <w:tcPr>
            <w:tcW w:type="dxa" w:w="1152"/>
            <w:vAlign w:val="center"/>
          </w:tcPr>
          <w:p>
            <w:pPr>
              <w:spacing w:after="0"/>
            </w:pPr>
            <w:r/>
            <w:r>
              <w:rPr>
                <w:b w:val="0"/>
                <w:sz w:val="17"/>
              </w:rPr>
              <w:t>2</w:t>
            </w:r>
          </w:p>
        </w:tc>
        <w:tc>
          <w:tcPr>
            <w:tcW w:type="dxa" w:w="1728"/>
            <w:vAlign w:val="center"/>
          </w:tcPr>
          <w:p>
            <w:pPr>
              <w:spacing w:after="0"/>
            </w:pPr>
            <w:r/>
            <w:r>
              <w:rPr>
                <w:b w:val="0"/>
                <w:sz w:val="17"/>
              </w:rPr>
              <w:t>8081</w:t>
            </w:r>
          </w:p>
        </w:tc>
        <w:tc>
          <w:tcPr>
            <w:tcW w:type="dxa" w:w="5040"/>
            <w:vAlign w:val="center"/>
          </w:tcPr>
          <w:p>
            <w:pPr>
              <w:spacing w:after="0"/>
            </w:pPr>
            <w:r/>
            <w:r>
              <w:rPr>
                <w:b w:val="0"/>
                <w:sz w:val="17"/>
              </w:rPr>
              <w:t>Authentication, user/truck APIs, telemetry ingestion.</w:t>
            </w:r>
          </w:p>
        </w:tc>
      </w:tr>
      <w:tr>
        <w:tc>
          <w:tcPr>
            <w:tcW w:type="dxa" w:w="2592"/>
            <w:vAlign w:val="center"/>
          </w:tcPr>
          <w:p>
            <w:pPr>
              <w:spacing w:after="0"/>
            </w:pPr>
            <w:r/>
            <w:r>
              <w:rPr>
                <w:b w:val="0"/>
                <w:sz w:val="17"/>
              </w:rPr>
              <w:t>tracking-engine</w:t>
            </w:r>
          </w:p>
        </w:tc>
        <w:tc>
          <w:tcPr>
            <w:tcW w:type="dxa" w:w="1152"/>
            <w:vAlign w:val="center"/>
          </w:tcPr>
          <w:p>
            <w:pPr>
              <w:spacing w:after="0"/>
            </w:pPr>
            <w:r/>
            <w:r>
              <w:rPr>
                <w:b w:val="0"/>
                <w:sz w:val="17"/>
              </w:rPr>
              <w:t>2</w:t>
            </w:r>
          </w:p>
        </w:tc>
        <w:tc>
          <w:tcPr>
            <w:tcW w:type="dxa" w:w="1728"/>
            <w:vAlign w:val="center"/>
          </w:tcPr>
          <w:p>
            <w:pPr>
              <w:spacing w:after="0"/>
            </w:pPr>
            <w:r/>
            <w:r>
              <w:rPr>
                <w:b w:val="0"/>
                <w:sz w:val="17"/>
              </w:rPr>
              <w:t>8082</w:t>
            </w:r>
          </w:p>
        </w:tc>
        <w:tc>
          <w:tcPr>
            <w:tcW w:type="dxa" w:w="5040"/>
            <w:vAlign w:val="center"/>
          </w:tcPr>
          <w:p>
            <w:pPr>
              <w:spacing w:after="0"/>
            </w:pPr>
            <w:r/>
            <w:r>
              <w:rPr>
                <w:b w:val="0"/>
                <w:sz w:val="17"/>
              </w:rPr>
              <w:t>Geofence analysis and OFF_ROUTE event generation.</w:t>
            </w:r>
          </w:p>
        </w:tc>
      </w:tr>
      <w:tr>
        <w:tc>
          <w:tcPr>
            <w:tcW w:type="dxa" w:w="2592"/>
            <w:vAlign w:val="center"/>
          </w:tcPr>
          <w:p>
            <w:pPr>
              <w:spacing w:after="0"/>
            </w:pPr>
            <w:r/>
            <w:r>
              <w:rPr>
                <w:b w:val="0"/>
                <w:sz w:val="17"/>
              </w:rPr>
              <w:t>compliance-service</w:t>
            </w:r>
          </w:p>
        </w:tc>
        <w:tc>
          <w:tcPr>
            <w:tcW w:type="dxa" w:w="1152"/>
            <w:vAlign w:val="center"/>
          </w:tcPr>
          <w:p>
            <w:pPr>
              <w:spacing w:after="0"/>
            </w:pPr>
            <w:r/>
            <w:r>
              <w:rPr>
                <w:b w:val="0"/>
                <w:sz w:val="17"/>
              </w:rPr>
              <w:t>2</w:t>
            </w:r>
          </w:p>
        </w:tc>
        <w:tc>
          <w:tcPr>
            <w:tcW w:type="dxa" w:w="1728"/>
            <w:vAlign w:val="center"/>
          </w:tcPr>
          <w:p>
            <w:pPr>
              <w:spacing w:after="0"/>
            </w:pPr>
            <w:r/>
            <w:r>
              <w:rPr>
                <w:b w:val="0"/>
                <w:sz w:val="17"/>
              </w:rPr>
              <w:t>8083</w:t>
            </w:r>
          </w:p>
        </w:tc>
        <w:tc>
          <w:tcPr>
            <w:tcW w:type="dxa" w:w="5040"/>
            <w:vAlign w:val="center"/>
          </w:tcPr>
          <w:p>
            <w:pPr>
              <w:spacing w:after="0"/>
            </w:pPr>
            <w:r/>
            <w:r>
              <w:rPr>
                <w:b w:val="0"/>
                <w:sz w:val="17"/>
              </w:rPr>
              <w:t>Violation persistence, penalty classification, audit chain API.</w:t>
            </w:r>
          </w:p>
        </w:tc>
      </w:tr>
      <w:tr>
        <w:tc>
          <w:tcPr>
            <w:tcW w:type="dxa" w:w="2592"/>
            <w:vAlign w:val="center"/>
          </w:tcPr>
          <w:p>
            <w:pPr>
              <w:spacing w:after="0"/>
            </w:pPr>
            <w:r/>
            <w:r>
              <w:rPr>
                <w:b w:val="0"/>
                <w:sz w:val="17"/>
              </w:rPr>
              <w:t>gateway</w:t>
            </w:r>
          </w:p>
        </w:tc>
        <w:tc>
          <w:tcPr>
            <w:tcW w:type="dxa" w:w="1152"/>
            <w:vAlign w:val="center"/>
          </w:tcPr>
          <w:p>
            <w:pPr>
              <w:spacing w:after="0"/>
            </w:pPr>
            <w:r/>
            <w:r>
              <w:rPr>
                <w:b w:val="0"/>
                <w:sz w:val="17"/>
              </w:rPr>
              <w:t>1</w:t>
            </w:r>
          </w:p>
        </w:tc>
        <w:tc>
          <w:tcPr>
            <w:tcW w:type="dxa" w:w="1728"/>
            <w:vAlign w:val="center"/>
          </w:tcPr>
          <w:p>
            <w:pPr>
              <w:spacing w:after="0"/>
            </w:pPr>
            <w:r/>
            <w:r>
              <w:rPr>
                <w:b w:val="0"/>
                <w:sz w:val="17"/>
              </w:rPr>
              <w:t>80</w:t>
            </w:r>
          </w:p>
        </w:tc>
        <w:tc>
          <w:tcPr>
            <w:tcW w:type="dxa" w:w="5040"/>
            <w:vAlign w:val="center"/>
          </w:tcPr>
          <w:p>
            <w:pPr>
              <w:spacing w:after="0"/>
            </w:pPr>
            <w:r/>
            <w:r>
              <w:rPr>
                <w:b w:val="0"/>
                <w:sz w:val="17"/>
              </w:rPr>
              <w:t>React SPA hosting, reverse proxy, API rate limiting.</w:t>
            </w:r>
          </w:p>
        </w:tc>
      </w:tr>
      <w:tr>
        <w:tc>
          <w:tcPr>
            <w:tcW w:type="dxa" w:w="2592"/>
            <w:vAlign w:val="center"/>
          </w:tcPr>
          <w:p>
            <w:pPr>
              <w:spacing w:after="0"/>
            </w:pPr>
            <w:r/>
            <w:r>
              <w:rPr>
                <w:b w:val="0"/>
                <w:sz w:val="17"/>
              </w:rPr>
              <w:t>mysql</w:t>
            </w:r>
          </w:p>
        </w:tc>
        <w:tc>
          <w:tcPr>
            <w:tcW w:type="dxa" w:w="1152"/>
            <w:vAlign w:val="center"/>
          </w:tcPr>
          <w:p>
            <w:pPr>
              <w:spacing w:after="0"/>
            </w:pPr>
            <w:r/>
            <w:r>
              <w:rPr>
                <w:b w:val="0"/>
                <w:sz w:val="17"/>
              </w:rPr>
              <w:t>1</w:t>
            </w:r>
          </w:p>
        </w:tc>
        <w:tc>
          <w:tcPr>
            <w:tcW w:type="dxa" w:w="1728"/>
            <w:vAlign w:val="center"/>
          </w:tcPr>
          <w:p>
            <w:pPr>
              <w:spacing w:after="0"/>
            </w:pPr>
            <w:r/>
            <w:r>
              <w:rPr>
                <w:b w:val="0"/>
                <w:sz w:val="17"/>
              </w:rPr>
              <w:t>3306</w:t>
            </w:r>
          </w:p>
        </w:tc>
        <w:tc>
          <w:tcPr>
            <w:tcW w:type="dxa" w:w="5040"/>
            <w:vAlign w:val="center"/>
          </w:tcPr>
          <w:p>
            <w:pPr>
              <w:spacing w:after="0"/>
            </w:pPr>
            <w:r/>
            <w:r>
              <w:rPr>
                <w:b w:val="0"/>
                <w:sz w:val="17"/>
              </w:rPr>
              <w:t>Relational persistence and seed data loading.</w:t>
            </w:r>
          </w:p>
        </w:tc>
      </w:tr>
      <w:tr>
        <w:tc>
          <w:tcPr>
            <w:tcW w:type="dxa" w:w="2592"/>
            <w:vAlign w:val="center"/>
          </w:tcPr>
          <w:p>
            <w:pPr>
              <w:spacing w:after="0"/>
            </w:pPr>
            <w:r/>
            <w:r>
              <w:rPr>
                <w:b w:val="0"/>
                <w:sz w:val="17"/>
              </w:rPr>
              <w:t>rabbitmq</w:t>
            </w:r>
          </w:p>
        </w:tc>
        <w:tc>
          <w:tcPr>
            <w:tcW w:type="dxa" w:w="1152"/>
            <w:vAlign w:val="center"/>
          </w:tcPr>
          <w:p>
            <w:pPr>
              <w:spacing w:after="0"/>
            </w:pPr>
            <w:r/>
            <w:r>
              <w:rPr>
                <w:b w:val="0"/>
                <w:sz w:val="17"/>
              </w:rPr>
              <w:t>1</w:t>
            </w:r>
          </w:p>
        </w:tc>
        <w:tc>
          <w:tcPr>
            <w:tcW w:type="dxa" w:w="1728"/>
            <w:vAlign w:val="center"/>
          </w:tcPr>
          <w:p>
            <w:pPr>
              <w:spacing w:after="0"/>
            </w:pPr>
            <w:r/>
            <w:r>
              <w:rPr>
                <w:b w:val="0"/>
                <w:sz w:val="17"/>
              </w:rPr>
              <w:t>5672 / 15672</w:t>
            </w:r>
          </w:p>
        </w:tc>
        <w:tc>
          <w:tcPr>
            <w:tcW w:type="dxa" w:w="5040"/>
            <w:vAlign w:val="center"/>
          </w:tcPr>
          <w:p>
            <w:pPr>
              <w:spacing w:after="0"/>
            </w:pPr>
            <w:r/>
            <w:r>
              <w:rPr>
                <w:b w:val="0"/>
                <w:sz w:val="17"/>
              </w:rPr>
              <w:t>AMQP queues and management UI.</w:t>
            </w:r>
          </w:p>
        </w:tc>
      </w:tr>
      <w:tr>
        <w:tc>
          <w:tcPr>
            <w:tcW w:type="dxa" w:w="2592"/>
            <w:vAlign w:val="center"/>
          </w:tcPr>
          <w:p>
            <w:pPr>
              <w:spacing w:after="0"/>
            </w:pPr>
            <w:r/>
            <w:r>
              <w:rPr>
                <w:b w:val="0"/>
                <w:sz w:val="17"/>
              </w:rPr>
              <w:t>prometheus/grafana/alertmanager/node-exporter</w:t>
            </w:r>
          </w:p>
        </w:tc>
        <w:tc>
          <w:tcPr>
            <w:tcW w:type="dxa" w:w="1152"/>
            <w:vAlign w:val="center"/>
          </w:tcPr>
          <w:p>
            <w:pPr>
              <w:spacing w:after="0"/>
            </w:pPr>
            <w:r/>
            <w:r>
              <w:rPr>
                <w:b w:val="0"/>
                <w:sz w:val="17"/>
              </w:rPr>
              <w:t>4</w:t>
            </w:r>
          </w:p>
        </w:tc>
        <w:tc>
          <w:tcPr>
            <w:tcW w:type="dxa" w:w="1728"/>
            <w:vAlign w:val="center"/>
          </w:tcPr>
          <w:p>
            <w:pPr>
              <w:spacing w:after="0"/>
            </w:pPr>
            <w:r/>
            <w:r>
              <w:rPr>
                <w:b w:val="0"/>
                <w:sz w:val="17"/>
              </w:rPr>
              <w:t>9090 / 3000 / 9093 / 9100</w:t>
            </w:r>
          </w:p>
        </w:tc>
        <w:tc>
          <w:tcPr>
            <w:tcW w:type="dxa" w:w="5040"/>
            <w:vAlign w:val="center"/>
          </w:tcPr>
          <w:p>
            <w:pPr>
              <w:spacing w:after="0"/>
            </w:pPr>
            <w:r/>
            <w:r>
              <w:rPr>
                <w:b w:val="0"/>
                <w:sz w:val="17"/>
              </w:rPr>
              <w:t>Monitoring and alerting stack.</w:t>
            </w:r>
          </w:p>
        </w:tc>
      </w:tr>
    </w:tbl>
    <w:p/>
    <w:p>
      <w:pPr>
        <w:pStyle w:val="Heading1"/>
      </w:pPr>
      <w:r>
        <w:rPr>
          <w:b/>
          <w:color w:val="1F4E79"/>
        </w:rPr>
        <w:t>4. Infrastructure Diagram</w:t>
      </w:r>
    </w:p>
    <w:p>
      <w:r>
        <w:t>The diagram below summarizes the implemented deployment path from users and GPS beacons through the reverse proxy, backend services, broker, database, and monitoring layer.</w:t>
      </w:r>
    </w:p>
    <w:p>
      <w:r>
        <w:drawing>
          <wp:inline xmlns:a="http://schemas.openxmlformats.org/drawingml/2006/main" xmlns:pic="http://schemas.openxmlformats.org/drawingml/2006/picture">
            <wp:extent cx="6583680" cy="3668050"/>
            <wp:docPr id="1" name="Picture 1"/>
            <wp:cNvGraphicFramePr>
              <a:graphicFrameLocks noChangeAspect="1"/>
            </wp:cNvGraphicFramePr>
            <a:graphic>
              <a:graphicData uri="http://schemas.openxmlformats.org/drawingml/2006/picture">
                <pic:pic>
                  <pic:nvPicPr>
                    <pic:cNvPr id="0" name="Section1_Infrastructure_Diagram.png"/>
                    <pic:cNvPicPr/>
                  </pic:nvPicPr>
                  <pic:blipFill>
                    <a:blip r:embed="rId9"/>
                    <a:stretch>
                      <a:fillRect/>
                    </a:stretch>
                  </pic:blipFill>
                  <pic:spPr>
                    <a:xfrm>
                      <a:off x="0" y="0"/>
                      <a:ext cx="6583680" cy="3668050"/>
                    </a:xfrm>
                    <a:prstGeom prst="rect"/>
                  </pic:spPr>
                </pic:pic>
              </a:graphicData>
            </a:graphic>
          </wp:inline>
        </w:drawing>
      </w:r>
    </w:p>
    <w:p>
      <w:pPr>
        <w:jc w:val="center"/>
      </w:pPr>
      <w:r>
        <w:rPr>
          <w:i/>
          <w:sz w:val="17"/>
        </w:rPr>
        <w:t>Figure 1. BorderWatch Docker Compose infrastructure topology.</w:t>
      </w:r>
    </w:p>
    <w:p>
      <w:pPr>
        <w:pStyle w:val="Heading1"/>
      </w:pPr>
      <w:r>
        <w:rPr>
          <w:b/>
          <w:color w:val="1F4E79"/>
        </w:rPr>
        <w:t>5. Networking, Firewall and Reverse Proxy</w:t>
      </w:r>
    </w:p>
    <w:p>
      <w:r>
        <w:t>Networking is handled in layers. Docker Compose isolates backend containers on bw-net, Nginx provides the single application ingress point, and host/VPS firewall rules should expose only the ports required for users, administrators, and monitoring.</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080"/>
            <w:vAlign w:val="center"/>
            <w:shd w:fill="1F4E79"/>
          </w:tcPr>
          <w:p>
            <w:pPr>
              <w:spacing w:after="0"/>
            </w:pPr>
            <w:r/>
            <w:r>
              <w:rPr>
                <w:b/>
                <w:color w:val="FFFFFF"/>
                <w:sz w:val="17"/>
              </w:rPr>
              <w:t>Port</w:t>
            </w:r>
          </w:p>
        </w:tc>
        <w:tc>
          <w:tcPr>
            <w:tcW w:type="dxa" w:w="2160"/>
            <w:vAlign w:val="center"/>
            <w:shd w:fill="1F4E79"/>
          </w:tcPr>
          <w:p>
            <w:pPr>
              <w:spacing w:after="0"/>
            </w:pPr>
            <w:r/>
            <w:r>
              <w:rPr>
                <w:b/>
                <w:color w:val="FFFFFF"/>
                <w:sz w:val="17"/>
              </w:rPr>
              <w:t>Service</w:t>
            </w:r>
          </w:p>
        </w:tc>
        <w:tc>
          <w:tcPr>
            <w:tcW w:type="dxa" w:w="1512"/>
            <w:vAlign w:val="center"/>
            <w:shd w:fill="1F4E79"/>
          </w:tcPr>
          <w:p>
            <w:pPr>
              <w:spacing w:after="0"/>
            </w:pPr>
            <w:r/>
            <w:r>
              <w:rPr>
                <w:b/>
                <w:color w:val="FFFFFF"/>
                <w:sz w:val="17"/>
              </w:rPr>
              <w:t>Exposure</w:t>
            </w:r>
          </w:p>
        </w:tc>
        <w:tc>
          <w:tcPr>
            <w:tcW w:type="dxa" w:w="5544"/>
            <w:vAlign w:val="center"/>
            <w:shd w:fill="1F4E79"/>
          </w:tcPr>
          <w:p>
            <w:pPr>
              <w:spacing w:after="0"/>
            </w:pPr>
            <w:r/>
            <w:r>
              <w:rPr>
                <w:b/>
                <w:color w:val="FFFFFF"/>
                <w:sz w:val="17"/>
              </w:rPr>
              <w:t>Reason</w:t>
            </w:r>
          </w:p>
        </w:tc>
      </w:tr>
      <w:tr>
        <w:tc>
          <w:tcPr>
            <w:tcW w:type="dxa" w:w="1080"/>
            <w:vAlign w:val="center"/>
          </w:tcPr>
          <w:p>
            <w:pPr>
              <w:spacing w:after="0"/>
            </w:pPr>
            <w:r/>
            <w:r>
              <w:rPr>
                <w:b w:val="0"/>
                <w:sz w:val="17"/>
              </w:rPr>
              <w:t>80</w:t>
            </w:r>
          </w:p>
        </w:tc>
        <w:tc>
          <w:tcPr>
            <w:tcW w:type="dxa" w:w="2160"/>
            <w:vAlign w:val="center"/>
          </w:tcPr>
          <w:p>
            <w:pPr>
              <w:spacing w:after="0"/>
            </w:pPr>
            <w:r/>
            <w:r>
              <w:rPr>
                <w:b w:val="0"/>
                <w:sz w:val="17"/>
              </w:rPr>
              <w:t>Nginx gateway</w:t>
            </w:r>
          </w:p>
        </w:tc>
        <w:tc>
          <w:tcPr>
            <w:tcW w:type="dxa" w:w="1512"/>
            <w:vAlign w:val="center"/>
          </w:tcPr>
          <w:p>
            <w:pPr>
              <w:spacing w:after="0"/>
            </w:pPr>
            <w:r/>
            <w:r>
              <w:rPr>
                <w:b w:val="0"/>
                <w:sz w:val="17"/>
              </w:rPr>
              <w:t>Public</w:t>
            </w:r>
          </w:p>
        </w:tc>
        <w:tc>
          <w:tcPr>
            <w:tcW w:type="dxa" w:w="5544"/>
            <w:vAlign w:val="center"/>
          </w:tcPr>
          <w:p>
            <w:pPr>
              <w:spacing w:after="0"/>
            </w:pPr>
            <w:r/>
            <w:r>
              <w:rPr>
                <w:b w:val="0"/>
                <w:sz w:val="17"/>
              </w:rPr>
              <w:t>Main entry point for React SPA and /api/v1 routes.</w:t>
            </w:r>
          </w:p>
        </w:tc>
      </w:tr>
      <w:tr>
        <w:tc>
          <w:tcPr>
            <w:tcW w:type="dxa" w:w="1080"/>
            <w:vAlign w:val="center"/>
          </w:tcPr>
          <w:p>
            <w:pPr>
              <w:spacing w:after="0"/>
            </w:pPr>
            <w:r/>
            <w:r>
              <w:rPr>
                <w:b w:val="0"/>
                <w:sz w:val="17"/>
              </w:rPr>
              <w:t>3000</w:t>
            </w:r>
          </w:p>
        </w:tc>
        <w:tc>
          <w:tcPr>
            <w:tcW w:type="dxa" w:w="2160"/>
            <w:vAlign w:val="center"/>
          </w:tcPr>
          <w:p>
            <w:pPr>
              <w:spacing w:after="0"/>
            </w:pPr>
            <w:r/>
            <w:r>
              <w:rPr>
                <w:b w:val="0"/>
                <w:sz w:val="17"/>
              </w:rPr>
              <w:t>Grafana</w:t>
            </w:r>
          </w:p>
        </w:tc>
        <w:tc>
          <w:tcPr>
            <w:tcW w:type="dxa" w:w="1512"/>
            <w:vAlign w:val="center"/>
          </w:tcPr>
          <w:p>
            <w:pPr>
              <w:spacing w:after="0"/>
            </w:pPr>
            <w:r/>
            <w:r>
              <w:rPr>
                <w:b w:val="0"/>
                <w:sz w:val="17"/>
              </w:rPr>
              <w:t>Admin only</w:t>
            </w:r>
          </w:p>
        </w:tc>
        <w:tc>
          <w:tcPr>
            <w:tcW w:type="dxa" w:w="5544"/>
            <w:vAlign w:val="center"/>
          </w:tcPr>
          <w:p>
            <w:pPr>
              <w:spacing w:after="0"/>
            </w:pPr>
            <w:r/>
            <w:r>
              <w:rPr>
                <w:b w:val="0"/>
                <w:sz w:val="17"/>
              </w:rPr>
              <w:t>Dashboard access; should be restricted on a real VPS.</w:t>
            </w:r>
          </w:p>
        </w:tc>
      </w:tr>
      <w:tr>
        <w:tc>
          <w:tcPr>
            <w:tcW w:type="dxa" w:w="1080"/>
            <w:vAlign w:val="center"/>
          </w:tcPr>
          <w:p>
            <w:pPr>
              <w:spacing w:after="0"/>
            </w:pPr>
            <w:r/>
            <w:r>
              <w:rPr>
                <w:b w:val="0"/>
                <w:sz w:val="17"/>
              </w:rPr>
              <w:t>9090</w:t>
            </w:r>
          </w:p>
        </w:tc>
        <w:tc>
          <w:tcPr>
            <w:tcW w:type="dxa" w:w="2160"/>
            <w:vAlign w:val="center"/>
          </w:tcPr>
          <w:p>
            <w:pPr>
              <w:spacing w:after="0"/>
            </w:pPr>
            <w:r/>
            <w:r>
              <w:rPr>
                <w:b w:val="0"/>
                <w:sz w:val="17"/>
              </w:rPr>
              <w:t>Prometheus</w:t>
            </w:r>
          </w:p>
        </w:tc>
        <w:tc>
          <w:tcPr>
            <w:tcW w:type="dxa" w:w="1512"/>
            <w:vAlign w:val="center"/>
          </w:tcPr>
          <w:p>
            <w:pPr>
              <w:spacing w:after="0"/>
            </w:pPr>
            <w:r/>
            <w:r>
              <w:rPr>
                <w:b w:val="0"/>
                <w:sz w:val="17"/>
              </w:rPr>
              <w:t>Admin only</w:t>
            </w:r>
          </w:p>
        </w:tc>
        <w:tc>
          <w:tcPr>
            <w:tcW w:type="dxa" w:w="5544"/>
            <w:vAlign w:val="center"/>
          </w:tcPr>
          <w:p>
            <w:pPr>
              <w:spacing w:after="0"/>
            </w:pPr>
            <w:r/>
            <w:r>
              <w:rPr>
                <w:b w:val="0"/>
                <w:sz w:val="17"/>
              </w:rPr>
              <w:t>Metrics query UI; should not be public in production.</w:t>
            </w:r>
          </w:p>
        </w:tc>
      </w:tr>
      <w:tr>
        <w:tc>
          <w:tcPr>
            <w:tcW w:type="dxa" w:w="1080"/>
            <w:vAlign w:val="center"/>
          </w:tcPr>
          <w:p>
            <w:pPr>
              <w:spacing w:after="0"/>
            </w:pPr>
            <w:r/>
            <w:r>
              <w:rPr>
                <w:b w:val="0"/>
                <w:sz w:val="17"/>
              </w:rPr>
              <w:t>9093</w:t>
            </w:r>
          </w:p>
        </w:tc>
        <w:tc>
          <w:tcPr>
            <w:tcW w:type="dxa" w:w="2160"/>
            <w:vAlign w:val="center"/>
          </w:tcPr>
          <w:p>
            <w:pPr>
              <w:spacing w:after="0"/>
            </w:pPr>
            <w:r/>
            <w:r>
              <w:rPr>
                <w:b w:val="0"/>
                <w:sz w:val="17"/>
              </w:rPr>
              <w:t>Alertmanager</w:t>
            </w:r>
          </w:p>
        </w:tc>
        <w:tc>
          <w:tcPr>
            <w:tcW w:type="dxa" w:w="1512"/>
            <w:vAlign w:val="center"/>
          </w:tcPr>
          <w:p>
            <w:pPr>
              <w:spacing w:after="0"/>
            </w:pPr>
            <w:r/>
            <w:r>
              <w:rPr>
                <w:b w:val="0"/>
                <w:sz w:val="17"/>
              </w:rPr>
              <w:t>Admin only</w:t>
            </w:r>
          </w:p>
        </w:tc>
        <w:tc>
          <w:tcPr>
            <w:tcW w:type="dxa" w:w="5544"/>
            <w:vAlign w:val="center"/>
          </w:tcPr>
          <w:p>
            <w:pPr>
              <w:spacing w:after="0"/>
            </w:pPr>
            <w:r/>
            <w:r>
              <w:rPr>
                <w:b w:val="0"/>
                <w:sz w:val="17"/>
              </w:rPr>
              <w:t>Alert routing UI; should be restricted.</w:t>
            </w:r>
          </w:p>
        </w:tc>
      </w:tr>
      <w:tr>
        <w:tc>
          <w:tcPr>
            <w:tcW w:type="dxa" w:w="1080"/>
            <w:vAlign w:val="center"/>
          </w:tcPr>
          <w:p>
            <w:pPr>
              <w:spacing w:after="0"/>
            </w:pPr>
            <w:r/>
            <w:r>
              <w:rPr>
                <w:b w:val="0"/>
                <w:sz w:val="17"/>
              </w:rPr>
              <w:t>15672</w:t>
            </w:r>
          </w:p>
        </w:tc>
        <w:tc>
          <w:tcPr>
            <w:tcW w:type="dxa" w:w="2160"/>
            <w:vAlign w:val="center"/>
          </w:tcPr>
          <w:p>
            <w:pPr>
              <w:spacing w:after="0"/>
            </w:pPr>
            <w:r/>
            <w:r>
              <w:rPr>
                <w:b w:val="0"/>
                <w:sz w:val="17"/>
              </w:rPr>
              <w:t>RabbitMQ management</w:t>
            </w:r>
          </w:p>
        </w:tc>
        <w:tc>
          <w:tcPr>
            <w:tcW w:type="dxa" w:w="1512"/>
            <w:vAlign w:val="center"/>
          </w:tcPr>
          <w:p>
            <w:pPr>
              <w:spacing w:after="0"/>
            </w:pPr>
            <w:r/>
            <w:r>
              <w:rPr>
                <w:b w:val="0"/>
                <w:sz w:val="17"/>
              </w:rPr>
              <w:t>Admin only</w:t>
            </w:r>
          </w:p>
        </w:tc>
        <w:tc>
          <w:tcPr>
            <w:tcW w:type="dxa" w:w="5544"/>
            <w:vAlign w:val="center"/>
          </w:tcPr>
          <w:p>
            <w:pPr>
              <w:spacing w:after="0"/>
            </w:pPr>
            <w:r/>
            <w:r>
              <w:rPr>
                <w:b w:val="0"/>
                <w:sz w:val="17"/>
              </w:rPr>
              <w:t>Broker management; never expose broadly.</w:t>
            </w:r>
          </w:p>
        </w:tc>
      </w:tr>
      <w:tr>
        <w:tc>
          <w:tcPr>
            <w:tcW w:type="dxa" w:w="1080"/>
            <w:vAlign w:val="center"/>
          </w:tcPr>
          <w:p>
            <w:pPr>
              <w:spacing w:after="0"/>
            </w:pPr>
            <w:r/>
            <w:r>
              <w:rPr>
                <w:b w:val="0"/>
                <w:sz w:val="17"/>
              </w:rPr>
              <w:t>13306</w:t>
            </w:r>
          </w:p>
        </w:tc>
        <w:tc>
          <w:tcPr>
            <w:tcW w:type="dxa" w:w="2160"/>
            <w:vAlign w:val="center"/>
          </w:tcPr>
          <w:p>
            <w:pPr>
              <w:spacing w:after="0"/>
            </w:pPr>
            <w:r/>
            <w:r>
              <w:rPr>
                <w:b w:val="0"/>
                <w:sz w:val="17"/>
              </w:rPr>
              <w:t>MySQL host mapping</w:t>
            </w:r>
          </w:p>
        </w:tc>
        <w:tc>
          <w:tcPr>
            <w:tcW w:type="dxa" w:w="1512"/>
            <w:vAlign w:val="center"/>
          </w:tcPr>
          <w:p>
            <w:pPr>
              <w:spacing w:after="0"/>
            </w:pPr>
            <w:r/>
            <w:r>
              <w:rPr>
                <w:b w:val="0"/>
                <w:sz w:val="17"/>
              </w:rPr>
              <w:t>Local/dev only</w:t>
            </w:r>
          </w:p>
        </w:tc>
        <w:tc>
          <w:tcPr>
            <w:tcW w:type="dxa" w:w="5544"/>
            <w:vAlign w:val="center"/>
          </w:tcPr>
          <w:p>
            <w:pPr>
              <w:spacing w:after="0"/>
            </w:pPr>
            <w:r/>
            <w:r>
              <w:rPr>
                <w:b w:val="0"/>
                <w:sz w:val="17"/>
              </w:rPr>
              <w:t>External database access for development; close on production VPS.</w:t>
            </w:r>
          </w:p>
        </w:tc>
      </w:tr>
      <w:tr>
        <w:tc>
          <w:tcPr>
            <w:tcW w:type="dxa" w:w="1080"/>
            <w:vAlign w:val="center"/>
          </w:tcPr>
          <w:p>
            <w:pPr>
              <w:spacing w:after="0"/>
            </w:pPr>
            <w:r/>
            <w:r>
              <w:rPr>
                <w:b w:val="0"/>
                <w:sz w:val="17"/>
              </w:rPr>
              <w:t>22</w:t>
            </w:r>
          </w:p>
        </w:tc>
        <w:tc>
          <w:tcPr>
            <w:tcW w:type="dxa" w:w="2160"/>
            <w:vAlign w:val="center"/>
          </w:tcPr>
          <w:p>
            <w:pPr>
              <w:spacing w:after="0"/>
            </w:pPr>
            <w:r/>
            <w:r>
              <w:rPr>
                <w:b w:val="0"/>
                <w:sz w:val="17"/>
              </w:rPr>
              <w:t>SSH</w:t>
            </w:r>
          </w:p>
        </w:tc>
        <w:tc>
          <w:tcPr>
            <w:tcW w:type="dxa" w:w="1512"/>
            <w:vAlign w:val="center"/>
          </w:tcPr>
          <w:p>
            <w:pPr>
              <w:spacing w:after="0"/>
            </w:pPr>
            <w:r/>
            <w:r>
              <w:rPr>
                <w:b w:val="0"/>
                <w:sz w:val="17"/>
              </w:rPr>
              <w:t>Admin only</w:t>
            </w:r>
          </w:p>
        </w:tc>
        <w:tc>
          <w:tcPr>
            <w:tcW w:type="dxa" w:w="5544"/>
            <w:vAlign w:val="center"/>
          </w:tcPr>
          <w:p>
            <w:pPr>
              <w:spacing w:after="0"/>
            </w:pPr>
            <w:r/>
            <w:r>
              <w:rPr>
                <w:b w:val="0"/>
                <w:sz w:val="17"/>
              </w:rPr>
              <w:t>VPS administration; restrict by source IP.</w:t>
            </w:r>
          </w:p>
        </w:tc>
      </w:tr>
    </w:tbl>
    <w:p/>
    <w:p>
      <w:r>
        <w:t>Recommended VPS firewall commands:</w:t>
      </w:r>
    </w:p>
    <w:tbl>
      <w:tblPr>
        <w:tblW w:type="auto" w:w="0"/>
        <w:tblLook w:firstColumn="1" w:firstRow="1" w:lastColumn="0" w:lastRow="0" w:noHBand="0" w:noVBand="1" w:val="04A0"/>
      </w:tblPr>
      <w:tblGrid>
        <w:gridCol w:w="9936"/>
      </w:tblGrid>
      <w:tr>
        <w:tc>
          <w:tcPr>
            <w:tcW w:type="dxa" w:w="9936"/>
            <w:shd w:fill="111827"/>
          </w:tcPr>
          <w:p>
            <w:pPr>
              <w:spacing w:after="0"/>
            </w:pPr>
            <w:r>
              <w:rPr>
                <w:rFonts w:ascii="Consolas" w:hAnsi="Consolas"/>
                <w:color w:val="E5E7EB"/>
                <w:sz w:val="17"/>
              </w:rPr>
              <w:t>sudo ufw default deny incoming</w:t>
              <w:br/>
            </w:r>
            <w:r>
              <w:rPr>
                <w:rFonts w:ascii="Consolas" w:hAnsi="Consolas"/>
                <w:color w:val="E5E7EB"/>
                <w:sz w:val="17"/>
              </w:rPr>
              <w:t>sudo ufw default allow outgoing</w:t>
              <w:br/>
            </w:r>
            <w:r>
              <w:rPr>
                <w:rFonts w:ascii="Consolas" w:hAnsi="Consolas"/>
                <w:color w:val="E5E7EB"/>
                <w:sz w:val="17"/>
              </w:rPr>
              <w:t>sudo ufw allow 22/tcp</w:t>
              <w:br/>
            </w:r>
            <w:r>
              <w:rPr>
                <w:rFonts w:ascii="Consolas" w:hAnsi="Consolas"/>
                <w:color w:val="E5E7EB"/>
                <w:sz w:val="17"/>
              </w:rPr>
              <w:t>sudo ufw allow 80/tcp</w:t>
              <w:br/>
            </w:r>
            <w:r>
              <w:rPr>
                <w:rFonts w:ascii="Consolas" w:hAnsi="Consolas"/>
                <w:color w:val="E5E7EB"/>
                <w:sz w:val="17"/>
              </w:rPr>
              <w:t>sudo ufw allow 443/tcp   # if TLS is enabled with a certificate</w:t>
              <w:br/>
            </w:r>
            <w:r>
              <w:rPr>
                <w:rFonts w:ascii="Consolas" w:hAnsi="Consolas"/>
                <w:color w:val="E5E7EB"/>
                <w:sz w:val="17"/>
              </w:rPr>
              <w:t>sudo ufw allow from &lt;ADMIN_IP&gt; to any port 3000,9090,9093,15672 proto tcp</w:t>
              <w:br/>
            </w:r>
            <w:r>
              <w:rPr>
                <w:rFonts w:ascii="Consolas" w:hAnsi="Consolas"/>
                <w:color w:val="E5E7EB"/>
                <w:sz w:val="17"/>
              </w:rPr>
              <w:t>sudo ufw enable</w:t>
            </w:r>
          </w:p>
        </w:tc>
      </w:tr>
    </w:tbl>
    <w:p/>
    <w:p>
      <w:pPr>
        <w:pStyle w:val="Heading1"/>
      </w:pPr>
      <w:r>
        <w:rPr>
          <w:b/>
          <w:color w:val="1F4E79"/>
        </w:rPr>
        <w:t>6. Reverse Proxy Routing</w:t>
      </w:r>
    </w:p>
    <w:p>
      <w:r>
        <w:t>The Nginx gateway uses least-connection upstreams for the replicated Spring services and applies separate request limits for authentication and telemetry traffic. React assets are served from /usr/share/nginx/html, while API paths are routed to the correct internal service.</w:t>
      </w:r>
    </w:p>
    <w:tbl>
      <w:tblPr>
        <w:tblStyle w:val="TableGrid"/>
        <w:tblW w:type="auto" w:w="0"/>
        <w:jc w:val="center"/>
        <w:tblLook w:firstColumn="1" w:firstRow="1" w:lastColumn="0" w:lastRow="0" w:noHBand="0" w:noVBand="1" w:val="04A0"/>
      </w:tblPr>
      <w:tblGrid>
        <w:gridCol w:w="3312"/>
        <w:gridCol w:w="3312"/>
        <w:gridCol w:w="3312"/>
      </w:tblGrid>
      <w:tr>
        <w:tc>
          <w:tcPr>
            <w:tcW w:type="dxa" w:w="2448"/>
            <w:vAlign w:val="center"/>
            <w:shd w:fill="1F4E79"/>
          </w:tcPr>
          <w:p>
            <w:pPr>
              <w:spacing w:after="0"/>
            </w:pPr>
            <w:r/>
            <w:r>
              <w:rPr>
                <w:b/>
                <w:color w:val="FFFFFF"/>
                <w:sz w:val="17"/>
              </w:rPr>
              <w:t>Route</w:t>
            </w:r>
          </w:p>
        </w:tc>
        <w:tc>
          <w:tcPr>
            <w:tcW w:type="dxa" w:w="2880"/>
            <w:vAlign w:val="center"/>
            <w:shd w:fill="1F4E79"/>
          </w:tcPr>
          <w:p>
            <w:pPr>
              <w:spacing w:after="0"/>
            </w:pPr>
            <w:r/>
            <w:r>
              <w:rPr>
                <w:b/>
                <w:color w:val="FFFFFF"/>
                <w:sz w:val="17"/>
              </w:rPr>
              <w:t>Upstream</w:t>
            </w:r>
          </w:p>
        </w:tc>
        <w:tc>
          <w:tcPr>
            <w:tcW w:type="dxa" w:w="4464"/>
            <w:vAlign w:val="center"/>
            <w:shd w:fill="1F4E79"/>
          </w:tcPr>
          <w:p>
            <w:pPr>
              <w:spacing w:after="0"/>
            </w:pPr>
            <w:r/>
            <w:r>
              <w:rPr>
                <w:b/>
                <w:color w:val="FFFFFF"/>
                <w:sz w:val="17"/>
              </w:rPr>
              <w:t>Configuration evidence</w:t>
            </w:r>
          </w:p>
        </w:tc>
      </w:tr>
      <w:tr>
        <w:tc>
          <w:tcPr>
            <w:tcW w:type="dxa" w:w="2448"/>
            <w:vAlign w:val="center"/>
          </w:tcPr>
          <w:p>
            <w:pPr>
              <w:spacing w:after="0"/>
            </w:pPr>
            <w:r/>
            <w:r>
              <w:rPr>
                <w:b w:val="0"/>
                <w:sz w:val="17"/>
              </w:rPr>
              <w:t>/api/v1/auth</w:t>
            </w:r>
          </w:p>
        </w:tc>
        <w:tc>
          <w:tcPr>
            <w:tcW w:type="dxa" w:w="2880"/>
            <w:vAlign w:val="center"/>
          </w:tcPr>
          <w:p>
            <w:pPr>
              <w:spacing w:after="0"/>
            </w:pPr>
            <w:r/>
            <w:r>
              <w:rPr>
                <w:b w:val="0"/>
                <w:sz w:val="17"/>
              </w:rPr>
              <w:t>ingestion-1/ingestion-2:8081</w:t>
            </w:r>
          </w:p>
        </w:tc>
        <w:tc>
          <w:tcPr>
            <w:tcW w:type="dxa" w:w="4464"/>
            <w:vAlign w:val="center"/>
          </w:tcPr>
          <w:p>
            <w:pPr>
              <w:spacing w:after="0"/>
            </w:pPr>
            <w:r/>
            <w:r>
              <w:rPr>
                <w:b w:val="0"/>
                <w:sz w:val="17"/>
              </w:rPr>
              <w:t>gateway/nginx.conf rate-limits auth at 10 r/s.</w:t>
            </w:r>
          </w:p>
        </w:tc>
      </w:tr>
      <w:tr>
        <w:tc>
          <w:tcPr>
            <w:tcW w:type="dxa" w:w="2448"/>
            <w:vAlign w:val="center"/>
          </w:tcPr>
          <w:p>
            <w:pPr>
              <w:spacing w:after="0"/>
            </w:pPr>
            <w:r/>
            <w:r>
              <w:rPr>
                <w:b w:val="0"/>
                <w:sz w:val="17"/>
              </w:rPr>
              <w:t>/api/v1/telemetry</w:t>
            </w:r>
          </w:p>
        </w:tc>
        <w:tc>
          <w:tcPr>
            <w:tcW w:type="dxa" w:w="2880"/>
            <w:vAlign w:val="center"/>
          </w:tcPr>
          <w:p>
            <w:pPr>
              <w:spacing w:after="0"/>
            </w:pPr>
            <w:r/>
            <w:r>
              <w:rPr>
                <w:b w:val="0"/>
                <w:sz w:val="17"/>
              </w:rPr>
              <w:t>ingestion-1/ingestion-2:8081</w:t>
            </w:r>
          </w:p>
        </w:tc>
        <w:tc>
          <w:tcPr>
            <w:tcW w:type="dxa" w:w="4464"/>
            <w:vAlign w:val="center"/>
          </w:tcPr>
          <w:p>
            <w:pPr>
              <w:spacing w:after="0"/>
            </w:pPr>
            <w:r/>
            <w:r>
              <w:rPr>
                <w:b w:val="0"/>
                <w:sz w:val="17"/>
              </w:rPr>
              <w:t>gateway/nginx.conf allows higher telemetry burst capacity.</w:t>
            </w:r>
          </w:p>
        </w:tc>
      </w:tr>
      <w:tr>
        <w:tc>
          <w:tcPr>
            <w:tcW w:type="dxa" w:w="2448"/>
            <w:vAlign w:val="center"/>
          </w:tcPr>
          <w:p>
            <w:pPr>
              <w:spacing w:after="0"/>
            </w:pPr>
            <w:r/>
            <w:r>
              <w:rPr>
                <w:b w:val="0"/>
                <w:sz w:val="17"/>
              </w:rPr>
              <w:t>/api/v1/trucks, /api/v1/users</w:t>
            </w:r>
          </w:p>
        </w:tc>
        <w:tc>
          <w:tcPr>
            <w:tcW w:type="dxa" w:w="2880"/>
            <w:vAlign w:val="center"/>
          </w:tcPr>
          <w:p>
            <w:pPr>
              <w:spacing w:after="0"/>
            </w:pPr>
            <w:r/>
            <w:r>
              <w:rPr>
                <w:b w:val="0"/>
                <w:sz w:val="17"/>
              </w:rPr>
              <w:t>ingestion service</w:t>
            </w:r>
          </w:p>
        </w:tc>
        <w:tc>
          <w:tcPr>
            <w:tcW w:type="dxa" w:w="4464"/>
            <w:vAlign w:val="center"/>
          </w:tcPr>
          <w:p>
            <w:pPr>
              <w:spacing w:after="0"/>
            </w:pPr>
            <w:r/>
            <w:r>
              <w:rPr>
                <w:b w:val="0"/>
                <w:sz w:val="17"/>
              </w:rPr>
              <w:t>Routes registry and user APIs to ingestion.</w:t>
            </w:r>
          </w:p>
        </w:tc>
      </w:tr>
      <w:tr>
        <w:tc>
          <w:tcPr>
            <w:tcW w:type="dxa" w:w="2448"/>
            <w:vAlign w:val="center"/>
          </w:tcPr>
          <w:p>
            <w:pPr>
              <w:spacing w:after="0"/>
            </w:pPr>
            <w:r/>
            <w:r>
              <w:rPr>
                <w:b w:val="0"/>
                <w:sz w:val="17"/>
              </w:rPr>
              <w:t>/api/v1/tracking</w:t>
            </w:r>
          </w:p>
        </w:tc>
        <w:tc>
          <w:tcPr>
            <w:tcW w:type="dxa" w:w="2880"/>
            <w:vAlign w:val="center"/>
          </w:tcPr>
          <w:p>
            <w:pPr>
              <w:spacing w:after="0"/>
            </w:pPr>
            <w:r/>
            <w:r>
              <w:rPr>
                <w:b w:val="0"/>
                <w:sz w:val="17"/>
              </w:rPr>
              <w:t>tracking-1/tracking-2:8082</w:t>
            </w:r>
          </w:p>
        </w:tc>
        <w:tc>
          <w:tcPr>
            <w:tcW w:type="dxa" w:w="4464"/>
            <w:vAlign w:val="center"/>
          </w:tcPr>
          <w:p>
            <w:pPr>
              <w:spacing w:after="0"/>
            </w:pPr>
            <w:r/>
            <w:r>
              <w:rPr>
                <w:b w:val="0"/>
                <w:sz w:val="17"/>
              </w:rPr>
              <w:t>Routes geofence analysis to tracking engine.</w:t>
            </w:r>
          </w:p>
        </w:tc>
      </w:tr>
      <w:tr>
        <w:tc>
          <w:tcPr>
            <w:tcW w:type="dxa" w:w="2448"/>
            <w:vAlign w:val="center"/>
          </w:tcPr>
          <w:p>
            <w:pPr>
              <w:spacing w:after="0"/>
            </w:pPr>
            <w:r/>
            <w:r>
              <w:rPr>
                <w:b w:val="0"/>
                <w:sz w:val="17"/>
              </w:rPr>
              <w:t>/api/v1/compliance</w:t>
            </w:r>
          </w:p>
        </w:tc>
        <w:tc>
          <w:tcPr>
            <w:tcW w:type="dxa" w:w="2880"/>
            <w:vAlign w:val="center"/>
          </w:tcPr>
          <w:p>
            <w:pPr>
              <w:spacing w:after="0"/>
            </w:pPr>
            <w:r/>
            <w:r>
              <w:rPr>
                <w:b w:val="0"/>
                <w:sz w:val="17"/>
              </w:rPr>
              <w:t>compliance-1/compliance-2:8083</w:t>
            </w:r>
          </w:p>
        </w:tc>
        <w:tc>
          <w:tcPr>
            <w:tcW w:type="dxa" w:w="4464"/>
            <w:vAlign w:val="center"/>
          </w:tcPr>
          <w:p>
            <w:pPr>
              <w:spacing w:after="0"/>
            </w:pPr>
            <w:r/>
            <w:r>
              <w:rPr>
                <w:b w:val="0"/>
                <w:sz w:val="17"/>
              </w:rPr>
              <w:t>Routes violations, stats, and chain APIs to compliance.</w:t>
            </w:r>
          </w:p>
        </w:tc>
      </w:tr>
      <w:tr>
        <w:tc>
          <w:tcPr>
            <w:tcW w:type="dxa" w:w="2448"/>
            <w:vAlign w:val="center"/>
          </w:tcPr>
          <w:p>
            <w:pPr>
              <w:spacing w:after="0"/>
            </w:pPr>
            <w:r/>
            <w:r>
              <w:rPr>
                <w:b w:val="0"/>
                <w:sz w:val="17"/>
              </w:rPr>
              <w:t>/</w:t>
            </w:r>
          </w:p>
        </w:tc>
        <w:tc>
          <w:tcPr>
            <w:tcW w:type="dxa" w:w="2880"/>
            <w:vAlign w:val="center"/>
          </w:tcPr>
          <w:p>
            <w:pPr>
              <w:spacing w:after="0"/>
            </w:pPr>
            <w:r/>
            <w:r>
              <w:rPr>
                <w:b w:val="0"/>
                <w:sz w:val="17"/>
              </w:rPr>
              <w:t>React SPA</w:t>
            </w:r>
          </w:p>
        </w:tc>
        <w:tc>
          <w:tcPr>
            <w:tcW w:type="dxa" w:w="4464"/>
            <w:vAlign w:val="center"/>
          </w:tcPr>
          <w:p>
            <w:pPr>
              <w:spacing w:after="0"/>
            </w:pPr>
            <w:r/>
            <w:r>
              <w:rPr>
                <w:b w:val="0"/>
                <w:sz w:val="17"/>
              </w:rPr>
              <w:t>Nginx try_files fallback supports client-side routing.</w:t>
            </w:r>
          </w:p>
        </w:tc>
      </w:tr>
    </w:tbl>
    <w:p/>
    <w:p>
      <w:pPr>
        <w:pStyle w:val="Heading1"/>
      </w:pPr>
      <w:r>
        <w:rPr>
          <w:b/>
          <w:color w:val="1F4E79"/>
        </w:rPr>
        <w:t>7. Installed Technologies</w:t>
      </w:r>
    </w:p>
    <w:tbl>
      <w:tblPr>
        <w:tblStyle w:val="TableGrid"/>
        <w:tblW w:type="auto" w:w="0"/>
        <w:jc w:val="center"/>
        <w:tblLook w:firstColumn="1" w:firstRow="1" w:lastColumn="0" w:lastRow="0" w:noHBand="0" w:noVBand="1" w:val="04A0"/>
      </w:tblPr>
      <w:tblGrid>
        <w:gridCol w:w="3312"/>
        <w:gridCol w:w="3312"/>
        <w:gridCol w:w="3312"/>
      </w:tblGrid>
      <w:tr>
        <w:tc>
          <w:tcPr>
            <w:tcW w:type="dxa" w:w="1728"/>
            <w:vAlign w:val="center"/>
            <w:shd w:fill="1F4E79"/>
          </w:tcPr>
          <w:p>
            <w:pPr>
              <w:spacing w:after="0"/>
            </w:pPr>
            <w:r/>
            <w:r>
              <w:rPr>
                <w:b/>
                <w:color w:val="FFFFFF"/>
                <w:sz w:val="17"/>
              </w:rPr>
              <w:t>Layer</w:t>
            </w:r>
          </w:p>
        </w:tc>
        <w:tc>
          <w:tcPr>
            <w:tcW w:type="dxa" w:w="4032"/>
            <w:vAlign w:val="center"/>
            <w:shd w:fill="1F4E79"/>
          </w:tcPr>
          <w:p>
            <w:pPr>
              <w:spacing w:after="0"/>
            </w:pPr>
            <w:r/>
            <w:r>
              <w:rPr>
                <w:b/>
                <w:color w:val="FFFFFF"/>
                <w:sz w:val="17"/>
              </w:rPr>
              <w:t>Technology</w:t>
            </w:r>
          </w:p>
        </w:tc>
        <w:tc>
          <w:tcPr>
            <w:tcW w:type="dxa" w:w="4320"/>
            <w:vAlign w:val="center"/>
            <w:shd w:fill="1F4E79"/>
          </w:tcPr>
          <w:p>
            <w:pPr>
              <w:spacing w:after="0"/>
            </w:pPr>
            <w:r/>
            <w:r>
              <w:rPr>
                <w:b/>
                <w:color w:val="FFFFFF"/>
                <w:sz w:val="17"/>
              </w:rPr>
              <w:t>Installed/configured through</w:t>
            </w:r>
          </w:p>
        </w:tc>
      </w:tr>
      <w:tr>
        <w:tc>
          <w:tcPr>
            <w:tcW w:type="dxa" w:w="1728"/>
            <w:vAlign w:val="center"/>
          </w:tcPr>
          <w:p>
            <w:pPr>
              <w:spacing w:after="0"/>
            </w:pPr>
            <w:r/>
            <w:r>
              <w:rPr>
                <w:b w:val="0"/>
                <w:sz w:val="17"/>
              </w:rPr>
              <w:t>Frontend</w:t>
            </w:r>
          </w:p>
        </w:tc>
        <w:tc>
          <w:tcPr>
            <w:tcW w:type="dxa" w:w="4032"/>
            <w:vAlign w:val="center"/>
          </w:tcPr>
          <w:p>
            <w:pPr>
              <w:spacing w:after="0"/>
            </w:pPr>
            <w:r/>
            <w:r>
              <w:rPr>
                <w:b w:val="0"/>
                <w:sz w:val="17"/>
              </w:rPr>
              <w:t>React 18, TypeScript, Vite, Zustand, React-Leaflet, Recharts</w:t>
            </w:r>
          </w:p>
        </w:tc>
        <w:tc>
          <w:tcPr>
            <w:tcW w:type="dxa" w:w="4320"/>
            <w:vAlign w:val="center"/>
          </w:tcPr>
          <w:p>
            <w:pPr>
              <w:spacing w:after="0"/>
            </w:pPr>
            <w:r/>
            <w:r>
              <w:rPr>
                <w:b w:val="0"/>
                <w:sz w:val="17"/>
              </w:rPr>
              <w:t>frontend-react/package.json and gateway Dockerfile.</w:t>
            </w:r>
          </w:p>
        </w:tc>
      </w:tr>
      <w:tr>
        <w:tc>
          <w:tcPr>
            <w:tcW w:type="dxa" w:w="1728"/>
            <w:vAlign w:val="center"/>
          </w:tcPr>
          <w:p>
            <w:pPr>
              <w:spacing w:after="0"/>
            </w:pPr>
            <w:r/>
            <w:r>
              <w:rPr>
                <w:b w:val="0"/>
                <w:sz w:val="17"/>
              </w:rPr>
              <w:t>Backend</w:t>
            </w:r>
          </w:p>
        </w:tc>
        <w:tc>
          <w:tcPr>
            <w:tcW w:type="dxa" w:w="4032"/>
            <w:vAlign w:val="center"/>
          </w:tcPr>
          <w:p>
            <w:pPr>
              <w:spacing w:after="0"/>
            </w:pPr>
            <w:r/>
            <w:r>
              <w:rPr>
                <w:b w:val="0"/>
                <w:sz w:val="17"/>
              </w:rPr>
              <w:t>Java 21, Spring Boot 3.3, Spring Web, Security, JPA, AMQP, Actuator</w:t>
            </w:r>
          </w:p>
        </w:tc>
        <w:tc>
          <w:tcPr>
            <w:tcW w:type="dxa" w:w="4320"/>
            <w:vAlign w:val="center"/>
          </w:tcPr>
          <w:p>
            <w:pPr>
              <w:spacing w:after="0"/>
            </w:pPr>
            <w:r/>
            <w:r>
              <w:rPr>
                <w:b w:val="0"/>
                <w:sz w:val="17"/>
              </w:rPr>
              <w:t>Three Maven POM files and service Dockerfiles.</w:t>
            </w:r>
          </w:p>
        </w:tc>
      </w:tr>
      <w:tr>
        <w:tc>
          <w:tcPr>
            <w:tcW w:type="dxa" w:w="1728"/>
            <w:vAlign w:val="center"/>
          </w:tcPr>
          <w:p>
            <w:pPr>
              <w:spacing w:after="0"/>
            </w:pPr>
            <w:r/>
            <w:r>
              <w:rPr>
                <w:b w:val="0"/>
                <w:sz w:val="17"/>
              </w:rPr>
              <w:t>Messaging</w:t>
            </w:r>
          </w:p>
        </w:tc>
        <w:tc>
          <w:tcPr>
            <w:tcW w:type="dxa" w:w="4032"/>
            <w:vAlign w:val="center"/>
          </w:tcPr>
          <w:p>
            <w:pPr>
              <w:spacing w:after="0"/>
            </w:pPr>
            <w:r/>
            <w:r>
              <w:rPr>
                <w:b w:val="0"/>
                <w:sz w:val="17"/>
              </w:rPr>
              <w:t>RabbitMQ 3.13 Management</w:t>
            </w:r>
          </w:p>
        </w:tc>
        <w:tc>
          <w:tcPr>
            <w:tcW w:type="dxa" w:w="4320"/>
            <w:vAlign w:val="center"/>
          </w:tcPr>
          <w:p>
            <w:pPr>
              <w:spacing w:after="0"/>
            </w:pPr>
            <w:r/>
            <w:r>
              <w:rPr>
                <w:b w:val="0"/>
                <w:sz w:val="17"/>
              </w:rPr>
              <w:t>docker-compose.yml and RabbitMqConfig classes.</w:t>
            </w:r>
          </w:p>
        </w:tc>
      </w:tr>
      <w:tr>
        <w:tc>
          <w:tcPr>
            <w:tcW w:type="dxa" w:w="1728"/>
            <w:vAlign w:val="center"/>
          </w:tcPr>
          <w:p>
            <w:pPr>
              <w:spacing w:after="0"/>
            </w:pPr>
            <w:r/>
            <w:r>
              <w:rPr>
                <w:b w:val="0"/>
                <w:sz w:val="17"/>
              </w:rPr>
              <w:t>Database</w:t>
            </w:r>
          </w:p>
        </w:tc>
        <w:tc>
          <w:tcPr>
            <w:tcW w:type="dxa" w:w="4032"/>
            <w:vAlign w:val="center"/>
          </w:tcPr>
          <w:p>
            <w:pPr>
              <w:spacing w:after="0"/>
            </w:pPr>
            <w:r/>
            <w:r>
              <w:rPr>
                <w:b w:val="0"/>
                <w:sz w:val="17"/>
              </w:rPr>
              <w:t>MySQL 8.0</w:t>
            </w:r>
          </w:p>
        </w:tc>
        <w:tc>
          <w:tcPr>
            <w:tcW w:type="dxa" w:w="4320"/>
            <w:vAlign w:val="center"/>
          </w:tcPr>
          <w:p>
            <w:pPr>
              <w:spacing w:after="0"/>
            </w:pPr>
            <w:r/>
            <w:r>
              <w:rPr>
                <w:b w:val="0"/>
                <w:sz w:val="17"/>
              </w:rPr>
              <w:t>docker-compose.yml, scripts/schema.sql, scripts/seed.sql.</w:t>
            </w:r>
          </w:p>
        </w:tc>
      </w:tr>
      <w:tr>
        <w:tc>
          <w:tcPr>
            <w:tcW w:type="dxa" w:w="1728"/>
            <w:vAlign w:val="center"/>
          </w:tcPr>
          <w:p>
            <w:pPr>
              <w:spacing w:after="0"/>
            </w:pPr>
            <w:r/>
            <w:r>
              <w:rPr>
                <w:b w:val="0"/>
                <w:sz w:val="17"/>
              </w:rPr>
              <w:t>Gateway</w:t>
            </w:r>
          </w:p>
        </w:tc>
        <w:tc>
          <w:tcPr>
            <w:tcW w:type="dxa" w:w="4032"/>
            <w:vAlign w:val="center"/>
          </w:tcPr>
          <w:p>
            <w:pPr>
              <w:spacing w:after="0"/>
            </w:pPr>
            <w:r/>
            <w:r>
              <w:rPr>
                <w:b w:val="0"/>
                <w:sz w:val="17"/>
              </w:rPr>
              <w:t>Nginx 1.27 Alpine</w:t>
            </w:r>
          </w:p>
        </w:tc>
        <w:tc>
          <w:tcPr>
            <w:tcW w:type="dxa" w:w="4320"/>
            <w:vAlign w:val="center"/>
          </w:tcPr>
          <w:p>
            <w:pPr>
              <w:spacing w:after="0"/>
            </w:pPr>
            <w:r/>
            <w:r>
              <w:rPr>
                <w:b w:val="0"/>
                <w:sz w:val="17"/>
              </w:rPr>
              <w:t>gateway/Dockerfile and gateway/nginx.conf.</w:t>
            </w:r>
          </w:p>
        </w:tc>
      </w:tr>
      <w:tr>
        <w:tc>
          <w:tcPr>
            <w:tcW w:type="dxa" w:w="1728"/>
            <w:vAlign w:val="center"/>
          </w:tcPr>
          <w:p>
            <w:pPr>
              <w:spacing w:after="0"/>
            </w:pPr>
            <w:r/>
            <w:r>
              <w:rPr>
                <w:b w:val="0"/>
                <w:sz w:val="17"/>
              </w:rPr>
              <w:t>Observability</w:t>
            </w:r>
          </w:p>
        </w:tc>
        <w:tc>
          <w:tcPr>
            <w:tcW w:type="dxa" w:w="4032"/>
            <w:vAlign w:val="center"/>
          </w:tcPr>
          <w:p>
            <w:pPr>
              <w:spacing w:after="0"/>
            </w:pPr>
            <w:r/>
            <w:r>
              <w:rPr>
                <w:b w:val="0"/>
                <w:sz w:val="17"/>
              </w:rPr>
              <w:t>Prometheus, Grafana, Alertmanager, node-exporter</w:t>
            </w:r>
          </w:p>
        </w:tc>
        <w:tc>
          <w:tcPr>
            <w:tcW w:type="dxa" w:w="4320"/>
            <w:vAlign w:val="center"/>
          </w:tcPr>
          <w:p>
            <w:pPr>
              <w:spacing w:after="0"/>
            </w:pPr>
            <w:r/>
            <w:r>
              <w:rPr>
                <w:b w:val="0"/>
                <w:sz w:val="17"/>
              </w:rPr>
              <w:t>monitoring directory and compose services.</w:t>
            </w:r>
          </w:p>
        </w:tc>
      </w:tr>
      <w:tr>
        <w:tc>
          <w:tcPr>
            <w:tcW w:type="dxa" w:w="1728"/>
            <w:vAlign w:val="center"/>
          </w:tcPr>
          <w:p>
            <w:pPr>
              <w:spacing w:after="0"/>
            </w:pPr>
            <w:r/>
            <w:r>
              <w:rPr>
                <w:b w:val="0"/>
                <w:sz w:val="17"/>
              </w:rPr>
              <w:t>Automation</w:t>
            </w:r>
          </w:p>
        </w:tc>
        <w:tc>
          <w:tcPr>
            <w:tcW w:type="dxa" w:w="4032"/>
            <w:vAlign w:val="center"/>
          </w:tcPr>
          <w:p>
            <w:pPr>
              <w:spacing w:after="0"/>
            </w:pPr>
            <w:r/>
            <w:r>
              <w:rPr>
                <w:b w:val="0"/>
                <w:sz w:val="17"/>
              </w:rPr>
              <w:t>Bash scripts and Jenkinsfile</w:t>
            </w:r>
          </w:p>
        </w:tc>
        <w:tc>
          <w:tcPr>
            <w:tcW w:type="dxa" w:w="4320"/>
            <w:vAlign w:val="center"/>
          </w:tcPr>
          <w:p>
            <w:pPr>
              <w:spacing w:after="0"/>
            </w:pPr>
            <w:r/>
            <w:r>
              <w:rPr>
                <w:b w:val="0"/>
                <w:sz w:val="17"/>
              </w:rPr>
              <w:t>scripts/start.sh, stop.sh, run-tests.sh, chaos_monkey.sh, Jenkinsfile.</w:t>
            </w:r>
          </w:p>
        </w:tc>
      </w:tr>
    </w:tbl>
    <w:p/>
    <w:p>
      <w:pPr>
        <w:pStyle w:val="Heading1"/>
      </w:pPr>
      <w:r>
        <w:rPr>
          <w:b/>
          <w:color w:val="1F4E79"/>
        </w:rPr>
        <w:t>8. Deployment Automation Scripts</w:t>
      </w:r>
    </w:p>
    <w:p>
      <w:r>
        <w:t>The project uses Bash automation rather than Terraform. The scripts are simple, auditable, and sufficient for a VPS or lab machine where Docker is already installed.</w:t>
      </w:r>
    </w:p>
    <w:tbl>
      <w:tblPr>
        <w:tblStyle w:val="TableGrid"/>
        <w:tblW w:type="auto" w:w="0"/>
        <w:jc w:val="center"/>
        <w:tblLook w:firstColumn="1" w:firstRow="1" w:lastColumn="0" w:lastRow="0" w:noHBand="0" w:noVBand="1" w:val="04A0"/>
      </w:tblPr>
      <w:tblGrid>
        <w:gridCol w:w="3312"/>
        <w:gridCol w:w="3312"/>
        <w:gridCol w:w="3312"/>
      </w:tblGrid>
      <w:tr>
        <w:tc>
          <w:tcPr>
            <w:tcW w:type="dxa" w:w="2160"/>
            <w:vAlign w:val="center"/>
            <w:shd w:fill="1F4E79"/>
          </w:tcPr>
          <w:p>
            <w:pPr>
              <w:spacing w:after="0"/>
            </w:pPr>
            <w:r/>
            <w:r>
              <w:rPr>
                <w:b/>
                <w:color w:val="FFFFFF"/>
                <w:sz w:val="17"/>
              </w:rPr>
              <w:t>Script</w:t>
            </w:r>
          </w:p>
        </w:tc>
        <w:tc>
          <w:tcPr>
            <w:tcW w:type="dxa" w:w="3744"/>
            <w:vAlign w:val="center"/>
            <w:shd w:fill="1F4E79"/>
          </w:tcPr>
          <w:p>
            <w:pPr>
              <w:spacing w:after="0"/>
            </w:pPr>
            <w:r/>
            <w:r>
              <w:rPr>
                <w:b/>
                <w:color w:val="FFFFFF"/>
                <w:sz w:val="17"/>
              </w:rPr>
              <w:t>Function</w:t>
            </w:r>
          </w:p>
        </w:tc>
        <w:tc>
          <w:tcPr>
            <w:tcW w:type="dxa" w:w="4320"/>
            <w:vAlign w:val="center"/>
            <w:shd w:fill="1F4E79"/>
          </w:tcPr>
          <w:p>
            <w:pPr>
              <w:spacing w:after="0"/>
            </w:pPr>
            <w:r/>
            <w:r>
              <w:rPr>
                <w:b/>
                <w:color w:val="FFFFFF"/>
                <w:sz w:val="17"/>
              </w:rPr>
              <w:t>How it supports infrastructure marks</w:t>
            </w:r>
          </w:p>
        </w:tc>
      </w:tr>
      <w:tr>
        <w:tc>
          <w:tcPr>
            <w:tcW w:type="dxa" w:w="2160"/>
            <w:vAlign w:val="center"/>
          </w:tcPr>
          <w:p>
            <w:pPr>
              <w:spacing w:after="0"/>
            </w:pPr>
            <w:r/>
            <w:r>
              <w:rPr>
                <w:b w:val="0"/>
                <w:sz w:val="17"/>
              </w:rPr>
              <w:t>scripts/start.sh</w:t>
            </w:r>
          </w:p>
        </w:tc>
        <w:tc>
          <w:tcPr>
            <w:tcW w:type="dxa" w:w="3744"/>
            <w:vAlign w:val="center"/>
          </w:tcPr>
          <w:p>
            <w:pPr>
              <w:spacing w:after="0"/>
            </w:pPr>
            <w:r/>
            <w:r>
              <w:rPr>
                <w:b w:val="0"/>
                <w:sz w:val="17"/>
              </w:rPr>
              <w:t>Builds and starts all containers with docker compose up -d --build.</w:t>
            </w:r>
          </w:p>
        </w:tc>
        <w:tc>
          <w:tcPr>
            <w:tcW w:type="dxa" w:w="4320"/>
            <w:vAlign w:val="center"/>
          </w:tcPr>
          <w:p>
            <w:pPr>
              <w:spacing w:after="0"/>
            </w:pPr>
            <w:r/>
            <w:r>
              <w:rPr>
                <w:b w:val="0"/>
                <w:sz w:val="17"/>
              </w:rPr>
              <w:t>Demonstrates repeatable environment setup.</w:t>
            </w:r>
          </w:p>
        </w:tc>
      </w:tr>
      <w:tr>
        <w:tc>
          <w:tcPr>
            <w:tcW w:type="dxa" w:w="2160"/>
            <w:vAlign w:val="center"/>
          </w:tcPr>
          <w:p>
            <w:pPr>
              <w:spacing w:after="0"/>
            </w:pPr>
            <w:r/>
            <w:r>
              <w:rPr>
                <w:b w:val="0"/>
                <w:sz w:val="17"/>
              </w:rPr>
              <w:t>scripts/stop.sh</w:t>
            </w:r>
          </w:p>
        </w:tc>
        <w:tc>
          <w:tcPr>
            <w:tcW w:type="dxa" w:w="3744"/>
            <w:vAlign w:val="center"/>
          </w:tcPr>
          <w:p>
            <w:pPr>
              <w:spacing w:after="0"/>
            </w:pPr>
            <w:r/>
            <w:r>
              <w:rPr>
                <w:b w:val="0"/>
                <w:sz w:val="17"/>
              </w:rPr>
              <w:t>Stops the stack with docker compose down.</w:t>
            </w:r>
          </w:p>
        </w:tc>
        <w:tc>
          <w:tcPr>
            <w:tcW w:type="dxa" w:w="4320"/>
            <w:vAlign w:val="center"/>
          </w:tcPr>
          <w:p>
            <w:pPr>
              <w:spacing w:after="0"/>
            </w:pPr>
            <w:r/>
            <w:r>
              <w:rPr>
                <w:b w:val="0"/>
                <w:sz w:val="17"/>
              </w:rPr>
              <w:t>Provides controlled shutdown.</w:t>
            </w:r>
          </w:p>
        </w:tc>
      </w:tr>
      <w:tr>
        <w:tc>
          <w:tcPr>
            <w:tcW w:type="dxa" w:w="2160"/>
            <w:vAlign w:val="center"/>
          </w:tcPr>
          <w:p>
            <w:pPr>
              <w:spacing w:after="0"/>
            </w:pPr>
            <w:r/>
            <w:r>
              <w:rPr>
                <w:b w:val="0"/>
                <w:sz w:val="17"/>
              </w:rPr>
              <w:t>scripts/run-tests.sh</w:t>
            </w:r>
          </w:p>
        </w:tc>
        <w:tc>
          <w:tcPr>
            <w:tcW w:type="dxa" w:w="3744"/>
            <w:vAlign w:val="center"/>
          </w:tcPr>
          <w:p>
            <w:pPr>
              <w:spacing w:after="0"/>
            </w:pPr>
            <w:r/>
            <w:r>
              <w:rPr>
                <w:b w:val="0"/>
                <w:sz w:val="17"/>
              </w:rPr>
              <w:t>Runs Maven tests for the three Spring services.</w:t>
            </w:r>
          </w:p>
        </w:tc>
        <w:tc>
          <w:tcPr>
            <w:tcW w:type="dxa" w:w="4320"/>
            <w:vAlign w:val="center"/>
          </w:tcPr>
          <w:p>
            <w:pPr>
              <w:spacing w:after="0"/>
            </w:pPr>
            <w:r/>
            <w:r>
              <w:rPr>
                <w:b w:val="0"/>
                <w:sz w:val="17"/>
              </w:rPr>
              <w:t>Supports validation before deployment.</w:t>
            </w:r>
          </w:p>
        </w:tc>
      </w:tr>
      <w:tr>
        <w:tc>
          <w:tcPr>
            <w:tcW w:type="dxa" w:w="2160"/>
            <w:vAlign w:val="center"/>
          </w:tcPr>
          <w:p>
            <w:pPr>
              <w:spacing w:after="0"/>
            </w:pPr>
            <w:r/>
            <w:r>
              <w:rPr>
                <w:b w:val="0"/>
                <w:sz w:val="17"/>
              </w:rPr>
              <w:t>scripts/chaos_monkey.sh</w:t>
            </w:r>
          </w:p>
        </w:tc>
        <w:tc>
          <w:tcPr>
            <w:tcW w:type="dxa" w:w="3744"/>
            <w:vAlign w:val="center"/>
          </w:tcPr>
          <w:p>
            <w:pPr>
              <w:spacing w:after="0"/>
            </w:pPr>
            <w:r/>
            <w:r>
              <w:rPr>
                <w:b w:val="0"/>
                <w:sz w:val="17"/>
              </w:rPr>
              <w:t>Kills selected containers and measures recovery time.</w:t>
            </w:r>
          </w:p>
        </w:tc>
        <w:tc>
          <w:tcPr>
            <w:tcW w:type="dxa" w:w="4320"/>
            <w:vAlign w:val="center"/>
          </w:tcPr>
          <w:p>
            <w:pPr>
              <w:spacing w:after="0"/>
            </w:pPr>
            <w:r/>
            <w:r>
              <w:rPr>
                <w:b w:val="0"/>
                <w:sz w:val="17"/>
              </w:rPr>
              <w:t>Demonstrates resilience and self-healing behavior.</w:t>
            </w:r>
          </w:p>
        </w:tc>
      </w:tr>
      <w:tr>
        <w:tc>
          <w:tcPr>
            <w:tcW w:type="dxa" w:w="2160"/>
            <w:vAlign w:val="center"/>
          </w:tcPr>
          <w:p>
            <w:pPr>
              <w:spacing w:after="0"/>
            </w:pPr>
            <w:r/>
            <w:r>
              <w:rPr>
                <w:b w:val="0"/>
                <w:sz w:val="17"/>
              </w:rPr>
              <w:t>scripts/schema.sql / seed.sql</w:t>
            </w:r>
          </w:p>
        </w:tc>
        <w:tc>
          <w:tcPr>
            <w:tcW w:type="dxa" w:w="3744"/>
            <w:vAlign w:val="center"/>
          </w:tcPr>
          <w:p>
            <w:pPr>
              <w:spacing w:after="0"/>
            </w:pPr>
            <w:r/>
            <w:r>
              <w:rPr>
                <w:b w:val="0"/>
                <w:sz w:val="17"/>
              </w:rPr>
              <w:t>Creates database schema and demo data.</w:t>
            </w:r>
          </w:p>
        </w:tc>
        <w:tc>
          <w:tcPr>
            <w:tcW w:type="dxa" w:w="4320"/>
            <w:vAlign w:val="center"/>
          </w:tcPr>
          <w:p>
            <w:pPr>
              <w:spacing w:after="0"/>
            </w:pPr>
            <w:r/>
            <w:r>
              <w:rPr>
                <w:b w:val="0"/>
                <w:sz w:val="17"/>
              </w:rPr>
              <w:t>Automates database provisioning.</w:t>
            </w:r>
          </w:p>
        </w:tc>
      </w:tr>
    </w:tbl>
    <w:p/>
    <w:p>
      <w:r>
        <w:t>Core deployment sequence:</w:t>
      </w:r>
    </w:p>
    <w:tbl>
      <w:tblPr>
        <w:tblW w:type="auto" w:w="0"/>
        <w:tblLook w:firstColumn="1" w:firstRow="1" w:lastColumn="0" w:lastRow="0" w:noHBand="0" w:noVBand="1" w:val="04A0"/>
      </w:tblPr>
      <w:tblGrid>
        <w:gridCol w:w="9936"/>
      </w:tblGrid>
      <w:tr>
        <w:tc>
          <w:tcPr>
            <w:tcW w:type="dxa" w:w="9936"/>
            <w:shd w:fill="111827"/>
          </w:tcPr>
          <w:p>
            <w:pPr>
              <w:spacing w:after="0"/>
            </w:pPr>
            <w:r>
              <w:rPr>
                <w:rFonts w:ascii="Consolas" w:hAnsi="Consolas"/>
                <w:color w:val="E5E7EB"/>
                <w:sz w:val="17"/>
              </w:rPr>
              <w:t>cp .env.example .env</w:t>
              <w:br/>
            </w:r>
            <w:r>
              <w:rPr>
                <w:rFonts w:ascii="Consolas" w:hAnsi="Consolas"/>
                <w:color w:val="E5E7EB"/>
                <w:sz w:val="17"/>
              </w:rPr>
              <w:t># edit .env: MYSQL_ROOT_PASSWORD, MYSQL_PASSWORD, RABBITMQ_PASSWORD, JWT_SECRET, GRAFANA_PASSWORD</w:t>
              <w:br/>
            </w:r>
            <w:r>
              <w:rPr>
                <w:rFonts w:ascii="Consolas" w:hAnsi="Consolas"/>
                <w:color w:val="E5E7EB"/>
                <w:sz w:val="17"/>
              </w:rPr>
              <w:t>./scripts/start.sh</w:t>
              <w:br/>
            </w:r>
            <w:r>
              <w:rPr>
                <w:rFonts w:ascii="Consolas" w:hAnsi="Consolas"/>
                <w:color w:val="E5E7EB"/>
                <w:sz w:val="17"/>
              </w:rPr>
              <w:t>docker compose ps</w:t>
              <w:br/>
            </w:r>
            <w:r>
              <w:rPr>
                <w:rFonts w:ascii="Consolas" w:hAnsi="Consolas"/>
                <w:color w:val="E5E7EB"/>
                <w:sz w:val="17"/>
              </w:rPr>
              <w:t>curl http://localhost/health</w:t>
            </w:r>
          </w:p>
        </w:tc>
      </w:tr>
    </w:tbl>
    <w:p/>
    <w:p>
      <w:pPr>
        <w:pStyle w:val="Heading1"/>
      </w:pPr>
      <w:r>
        <w:rPr>
          <w:b/>
          <w:color w:val="1F4E79"/>
        </w:rPr>
        <w:t>9. Monitoring and Health Checks</w:t>
      </w:r>
    </w:p>
    <w:p>
      <w:r>
        <w:t>Each Spring service exposes health and Prometheus endpoints through Spring Actuator. Docker Compose uses health checks before allowing dependent services such as Nginx to start. Prometheus scrapes ingestion, tracking, compliance, and node-exporter targets.</w:t>
      </w:r>
    </w:p>
    <w:tbl>
      <w:tblPr>
        <w:tblStyle w:val="TableGrid"/>
        <w:tblW w:type="auto" w:w="0"/>
        <w:jc w:val="center"/>
        <w:tblLook w:firstColumn="1" w:firstRow="1" w:lastColumn="0" w:lastRow="0" w:noHBand="0" w:noVBand="1" w:val="04A0"/>
      </w:tblPr>
      <w:tblGrid>
        <w:gridCol w:w="3312"/>
        <w:gridCol w:w="3312"/>
        <w:gridCol w:w="3312"/>
      </w:tblGrid>
      <w:tr>
        <w:tc>
          <w:tcPr>
            <w:tcW w:type="dxa" w:w="2232"/>
            <w:vAlign w:val="center"/>
            <w:shd w:fill="1F4E79"/>
          </w:tcPr>
          <w:p>
            <w:pPr>
              <w:spacing w:after="0"/>
            </w:pPr>
            <w:r/>
            <w:r>
              <w:rPr>
                <w:b/>
                <w:color w:val="FFFFFF"/>
                <w:sz w:val="17"/>
              </w:rPr>
              <w:t>Monitoring item</w:t>
            </w:r>
          </w:p>
        </w:tc>
        <w:tc>
          <w:tcPr>
            <w:tcW w:type="dxa" w:w="3816"/>
            <w:vAlign w:val="center"/>
            <w:shd w:fill="1F4E79"/>
          </w:tcPr>
          <w:p>
            <w:pPr>
              <w:spacing w:after="0"/>
            </w:pPr>
            <w:r/>
            <w:r>
              <w:rPr>
                <w:b/>
                <w:color w:val="FFFFFF"/>
                <w:sz w:val="17"/>
              </w:rPr>
              <w:t>Implemented configuration</w:t>
            </w:r>
          </w:p>
        </w:tc>
        <w:tc>
          <w:tcPr>
            <w:tcW w:type="dxa" w:w="4176"/>
            <w:vAlign w:val="center"/>
            <w:shd w:fill="1F4E79"/>
          </w:tcPr>
          <w:p>
            <w:pPr>
              <w:spacing w:after="0"/>
            </w:pPr>
            <w:r/>
            <w:r>
              <w:rPr>
                <w:b/>
                <w:color w:val="FFFFFF"/>
                <w:sz w:val="17"/>
              </w:rPr>
              <w:t>Purpose</w:t>
            </w:r>
          </w:p>
        </w:tc>
      </w:tr>
      <w:tr>
        <w:tc>
          <w:tcPr>
            <w:tcW w:type="dxa" w:w="2232"/>
            <w:vAlign w:val="center"/>
          </w:tcPr>
          <w:p>
            <w:pPr>
              <w:spacing w:after="0"/>
            </w:pPr>
            <w:r/>
            <w:r>
              <w:rPr>
                <w:b w:val="0"/>
                <w:sz w:val="17"/>
              </w:rPr>
              <w:t>Spring Actuator</w:t>
            </w:r>
          </w:p>
        </w:tc>
        <w:tc>
          <w:tcPr>
            <w:tcW w:type="dxa" w:w="3816"/>
            <w:vAlign w:val="center"/>
          </w:tcPr>
          <w:p>
            <w:pPr>
              <w:spacing w:after="0"/>
            </w:pPr>
            <w:r/>
            <w:r>
              <w:rPr>
                <w:b w:val="0"/>
                <w:sz w:val="17"/>
              </w:rPr>
              <w:t>health,prometheus,info endpoints</w:t>
            </w:r>
          </w:p>
        </w:tc>
        <w:tc>
          <w:tcPr>
            <w:tcW w:type="dxa" w:w="4176"/>
            <w:vAlign w:val="center"/>
          </w:tcPr>
          <w:p>
            <w:pPr>
              <w:spacing w:after="0"/>
            </w:pPr>
            <w:r/>
            <w:r>
              <w:rPr>
                <w:b w:val="0"/>
                <w:sz w:val="17"/>
              </w:rPr>
              <w:t>Service liveness and metrics export.</w:t>
            </w:r>
          </w:p>
        </w:tc>
      </w:tr>
      <w:tr>
        <w:tc>
          <w:tcPr>
            <w:tcW w:type="dxa" w:w="2232"/>
            <w:vAlign w:val="center"/>
          </w:tcPr>
          <w:p>
            <w:pPr>
              <w:spacing w:after="0"/>
            </w:pPr>
            <w:r/>
            <w:r>
              <w:rPr>
                <w:b w:val="0"/>
                <w:sz w:val="17"/>
              </w:rPr>
              <w:t>Prometheus scrape jobs</w:t>
            </w:r>
          </w:p>
        </w:tc>
        <w:tc>
          <w:tcPr>
            <w:tcW w:type="dxa" w:w="3816"/>
            <w:vAlign w:val="center"/>
          </w:tcPr>
          <w:p>
            <w:pPr>
              <w:spacing w:after="0"/>
            </w:pPr>
            <w:r/>
            <w:r>
              <w:rPr>
                <w:b w:val="0"/>
                <w:sz w:val="17"/>
              </w:rPr>
              <w:t>ingestion, tracking, compliance, node-exporter</w:t>
            </w:r>
          </w:p>
        </w:tc>
        <w:tc>
          <w:tcPr>
            <w:tcW w:type="dxa" w:w="4176"/>
            <w:vAlign w:val="center"/>
          </w:tcPr>
          <w:p>
            <w:pPr>
              <w:spacing w:after="0"/>
            </w:pPr>
            <w:r/>
            <w:r>
              <w:rPr>
                <w:b w:val="0"/>
                <w:sz w:val="17"/>
              </w:rPr>
              <w:t>Central metrics collection.</w:t>
            </w:r>
          </w:p>
        </w:tc>
      </w:tr>
      <w:tr>
        <w:tc>
          <w:tcPr>
            <w:tcW w:type="dxa" w:w="2232"/>
            <w:vAlign w:val="center"/>
          </w:tcPr>
          <w:p>
            <w:pPr>
              <w:spacing w:after="0"/>
            </w:pPr>
            <w:r/>
            <w:r>
              <w:rPr>
                <w:b w:val="0"/>
                <w:sz w:val="17"/>
              </w:rPr>
              <w:t>Alert rules</w:t>
            </w:r>
          </w:p>
        </w:tc>
        <w:tc>
          <w:tcPr>
            <w:tcW w:type="dxa" w:w="3816"/>
            <w:vAlign w:val="center"/>
          </w:tcPr>
          <w:p>
            <w:pPr>
              <w:spacing w:after="0"/>
            </w:pPr>
            <w:r/>
            <w:r>
              <w:rPr>
                <w:b w:val="0"/>
                <w:sz w:val="17"/>
              </w:rPr>
              <w:t>ServiceDown, HighCPU, LowMemory</w:t>
            </w:r>
          </w:p>
        </w:tc>
        <w:tc>
          <w:tcPr>
            <w:tcW w:type="dxa" w:w="4176"/>
            <w:vAlign w:val="center"/>
          </w:tcPr>
          <w:p>
            <w:pPr>
              <w:spacing w:after="0"/>
            </w:pPr>
            <w:r/>
            <w:r>
              <w:rPr>
                <w:b w:val="0"/>
                <w:sz w:val="17"/>
              </w:rPr>
              <w:t>Operational alerting for outages and resource pressure.</w:t>
            </w:r>
          </w:p>
        </w:tc>
      </w:tr>
      <w:tr>
        <w:tc>
          <w:tcPr>
            <w:tcW w:type="dxa" w:w="2232"/>
            <w:vAlign w:val="center"/>
          </w:tcPr>
          <w:p>
            <w:pPr>
              <w:spacing w:after="0"/>
            </w:pPr>
            <w:r/>
            <w:r>
              <w:rPr>
                <w:b w:val="0"/>
                <w:sz w:val="17"/>
              </w:rPr>
              <w:t>Grafana datasource</w:t>
            </w:r>
          </w:p>
        </w:tc>
        <w:tc>
          <w:tcPr>
            <w:tcW w:type="dxa" w:w="3816"/>
            <w:vAlign w:val="center"/>
          </w:tcPr>
          <w:p>
            <w:pPr>
              <w:spacing w:after="0"/>
            </w:pPr>
            <w:r/>
            <w:r>
              <w:rPr>
                <w:b w:val="0"/>
                <w:sz w:val="17"/>
              </w:rPr>
              <w:t>Prometheus provisioned as default</w:t>
            </w:r>
          </w:p>
        </w:tc>
        <w:tc>
          <w:tcPr>
            <w:tcW w:type="dxa" w:w="4176"/>
            <w:vAlign w:val="center"/>
          </w:tcPr>
          <w:p>
            <w:pPr>
              <w:spacing w:after="0"/>
            </w:pPr>
            <w:r/>
            <w:r>
              <w:rPr>
                <w:b w:val="0"/>
                <w:sz w:val="17"/>
              </w:rPr>
              <w:t>Dashboard-ready monitoring datasource.</w:t>
            </w:r>
          </w:p>
        </w:tc>
      </w:tr>
      <w:tr>
        <w:tc>
          <w:tcPr>
            <w:tcW w:type="dxa" w:w="2232"/>
            <w:vAlign w:val="center"/>
          </w:tcPr>
          <w:p>
            <w:pPr>
              <w:spacing w:after="0"/>
            </w:pPr>
            <w:r/>
            <w:r>
              <w:rPr>
                <w:b w:val="0"/>
                <w:sz w:val="17"/>
              </w:rPr>
              <w:t>Docker health checks</w:t>
            </w:r>
          </w:p>
        </w:tc>
        <w:tc>
          <w:tcPr>
            <w:tcW w:type="dxa" w:w="3816"/>
            <w:vAlign w:val="center"/>
          </w:tcPr>
          <w:p>
            <w:pPr>
              <w:spacing w:after="0"/>
            </w:pPr>
            <w:r/>
            <w:r>
              <w:rPr>
                <w:b w:val="0"/>
                <w:sz w:val="17"/>
              </w:rPr>
              <w:t>wget /actuator/health for each service</w:t>
            </w:r>
          </w:p>
        </w:tc>
        <w:tc>
          <w:tcPr>
            <w:tcW w:type="dxa" w:w="4176"/>
            <w:vAlign w:val="center"/>
          </w:tcPr>
          <w:p>
            <w:pPr>
              <w:spacing w:after="0"/>
            </w:pPr>
            <w:r/>
            <w:r>
              <w:rPr>
                <w:b w:val="0"/>
                <w:sz w:val="17"/>
              </w:rPr>
              <w:t>Container readiness and dependency ordering.</w:t>
            </w:r>
          </w:p>
        </w:tc>
      </w:tr>
    </w:tbl>
    <w:p/>
    <w:p>
      <w:pPr>
        <w:pStyle w:val="Heading1"/>
      </w:pPr>
      <w:r>
        <w:rPr>
          <w:b/>
          <w:color w:val="1F4E79"/>
        </w:rPr>
        <w:t>10. Deployment Evidence Links and Screenshots</w:t>
      </w:r>
    </w:p>
    <w:p>
      <w:r>
        <w:t>The following URLs are the expected evidence points after running ./scripts/start.sh on a lab machine or VPS. These are the screenshots that should be captured for submission.</w:t>
      </w:r>
    </w:p>
    <w:tbl>
      <w:tblPr>
        <w:tblStyle w:val="TableGrid"/>
        <w:tblW w:type="auto" w:w="0"/>
        <w:jc w:val="center"/>
        <w:tblLook w:firstColumn="1" w:firstRow="1" w:lastColumn="0" w:lastRow="0" w:noHBand="0" w:noVBand="1" w:val="04A0"/>
      </w:tblPr>
      <w:tblGrid>
        <w:gridCol w:w="3312"/>
        <w:gridCol w:w="3312"/>
        <w:gridCol w:w="3312"/>
      </w:tblGrid>
      <w:tr>
        <w:tc>
          <w:tcPr>
            <w:tcW w:type="dxa" w:w="2592"/>
            <w:vAlign w:val="center"/>
            <w:shd w:fill="1F4E79"/>
          </w:tcPr>
          <w:p>
            <w:pPr>
              <w:spacing w:after="0"/>
            </w:pPr>
            <w:r/>
            <w:r>
              <w:rPr>
                <w:b/>
                <w:color w:val="FFFFFF"/>
                <w:sz w:val="17"/>
              </w:rPr>
              <w:t>Evidence screenshot</w:t>
            </w:r>
          </w:p>
        </w:tc>
        <w:tc>
          <w:tcPr>
            <w:tcW w:type="dxa" w:w="3456"/>
            <w:vAlign w:val="center"/>
            <w:shd w:fill="1F4E79"/>
          </w:tcPr>
          <w:p>
            <w:pPr>
              <w:spacing w:after="0"/>
            </w:pPr>
            <w:r/>
            <w:r>
              <w:rPr>
                <w:b/>
                <w:color w:val="FFFFFF"/>
                <w:sz w:val="17"/>
              </w:rPr>
              <w:t>URL or command</w:t>
            </w:r>
          </w:p>
        </w:tc>
        <w:tc>
          <w:tcPr>
            <w:tcW w:type="dxa" w:w="4320"/>
            <w:vAlign w:val="center"/>
            <w:shd w:fill="1F4E79"/>
          </w:tcPr>
          <w:p>
            <w:pPr>
              <w:spacing w:after="0"/>
            </w:pPr>
            <w:r/>
            <w:r>
              <w:rPr>
                <w:b/>
                <w:color w:val="FFFFFF"/>
                <w:sz w:val="17"/>
              </w:rPr>
              <w:t>Expected result</w:t>
            </w:r>
          </w:p>
        </w:tc>
      </w:tr>
      <w:tr>
        <w:tc>
          <w:tcPr>
            <w:tcW w:type="dxa" w:w="2592"/>
            <w:vAlign w:val="center"/>
          </w:tcPr>
          <w:p>
            <w:pPr>
              <w:spacing w:after="0"/>
            </w:pPr>
            <w:r/>
            <w:r>
              <w:rPr>
                <w:b w:val="0"/>
                <w:sz w:val="17"/>
              </w:rPr>
              <w:t>Frontend SPA</w:t>
            </w:r>
          </w:p>
        </w:tc>
        <w:tc>
          <w:tcPr>
            <w:tcW w:type="dxa" w:w="3456"/>
            <w:vAlign w:val="center"/>
          </w:tcPr>
          <w:p>
            <w:pPr>
              <w:spacing w:after="0"/>
            </w:pPr>
            <w:r/>
            <w:r>
              <w:rPr>
                <w:b w:val="0"/>
                <w:sz w:val="17"/>
              </w:rPr>
              <w:t>http://localhost:80</w:t>
            </w:r>
          </w:p>
        </w:tc>
        <w:tc>
          <w:tcPr>
            <w:tcW w:type="dxa" w:w="4320"/>
            <w:vAlign w:val="center"/>
          </w:tcPr>
          <w:p>
            <w:pPr>
              <w:spacing w:after="0"/>
            </w:pPr>
            <w:r/>
            <w:r>
              <w:rPr>
                <w:b w:val="0"/>
                <w:sz w:val="17"/>
              </w:rPr>
              <w:t>BorderWatch login page and dashboard after login.</w:t>
            </w:r>
          </w:p>
        </w:tc>
      </w:tr>
      <w:tr>
        <w:tc>
          <w:tcPr>
            <w:tcW w:type="dxa" w:w="2592"/>
            <w:vAlign w:val="center"/>
          </w:tcPr>
          <w:p>
            <w:pPr>
              <w:spacing w:after="0"/>
            </w:pPr>
            <w:r/>
            <w:r>
              <w:rPr>
                <w:b w:val="0"/>
                <w:sz w:val="17"/>
              </w:rPr>
              <w:t>Gateway health</w:t>
            </w:r>
          </w:p>
        </w:tc>
        <w:tc>
          <w:tcPr>
            <w:tcW w:type="dxa" w:w="3456"/>
            <w:vAlign w:val="center"/>
          </w:tcPr>
          <w:p>
            <w:pPr>
              <w:spacing w:after="0"/>
            </w:pPr>
            <w:r/>
            <w:r>
              <w:rPr>
                <w:b w:val="0"/>
                <w:sz w:val="17"/>
              </w:rPr>
              <w:t>http://localhost/health</w:t>
            </w:r>
          </w:p>
        </w:tc>
        <w:tc>
          <w:tcPr>
            <w:tcW w:type="dxa" w:w="4320"/>
            <w:vAlign w:val="center"/>
          </w:tcPr>
          <w:p>
            <w:pPr>
              <w:spacing w:after="0"/>
            </w:pPr>
            <w:r/>
            <w:r>
              <w:rPr>
                <w:b w:val="0"/>
                <w:sz w:val="17"/>
              </w:rPr>
              <w:t>{"status":"ok"} response.</w:t>
            </w:r>
          </w:p>
        </w:tc>
      </w:tr>
      <w:tr>
        <w:tc>
          <w:tcPr>
            <w:tcW w:type="dxa" w:w="2592"/>
            <w:vAlign w:val="center"/>
          </w:tcPr>
          <w:p>
            <w:pPr>
              <w:spacing w:after="0"/>
            </w:pPr>
            <w:r/>
            <w:r>
              <w:rPr>
                <w:b w:val="0"/>
                <w:sz w:val="17"/>
              </w:rPr>
              <w:t>Grafana</w:t>
            </w:r>
          </w:p>
        </w:tc>
        <w:tc>
          <w:tcPr>
            <w:tcW w:type="dxa" w:w="3456"/>
            <w:vAlign w:val="center"/>
          </w:tcPr>
          <w:p>
            <w:pPr>
              <w:spacing w:after="0"/>
            </w:pPr>
            <w:r/>
            <w:r>
              <w:rPr>
                <w:b w:val="0"/>
                <w:sz w:val="17"/>
              </w:rPr>
              <w:t>http://localhost:3000</w:t>
            </w:r>
          </w:p>
        </w:tc>
        <w:tc>
          <w:tcPr>
            <w:tcW w:type="dxa" w:w="4320"/>
            <w:vAlign w:val="center"/>
          </w:tcPr>
          <w:p>
            <w:pPr>
              <w:spacing w:after="0"/>
            </w:pPr>
            <w:r/>
            <w:r>
              <w:rPr>
                <w:b w:val="0"/>
                <w:sz w:val="17"/>
              </w:rPr>
              <w:t>Grafana login with Prometheus datasource configured.</w:t>
            </w:r>
          </w:p>
        </w:tc>
      </w:tr>
      <w:tr>
        <w:tc>
          <w:tcPr>
            <w:tcW w:type="dxa" w:w="2592"/>
            <w:vAlign w:val="center"/>
          </w:tcPr>
          <w:p>
            <w:pPr>
              <w:spacing w:after="0"/>
            </w:pPr>
            <w:r/>
            <w:r>
              <w:rPr>
                <w:b w:val="0"/>
                <w:sz w:val="17"/>
              </w:rPr>
              <w:t>Prometheus targets</w:t>
            </w:r>
          </w:p>
        </w:tc>
        <w:tc>
          <w:tcPr>
            <w:tcW w:type="dxa" w:w="3456"/>
            <w:vAlign w:val="center"/>
          </w:tcPr>
          <w:p>
            <w:pPr>
              <w:spacing w:after="0"/>
            </w:pPr>
            <w:r/>
            <w:r>
              <w:rPr>
                <w:b w:val="0"/>
                <w:sz w:val="17"/>
              </w:rPr>
              <w:t>http://localhost:9090/targets</w:t>
            </w:r>
          </w:p>
        </w:tc>
        <w:tc>
          <w:tcPr>
            <w:tcW w:type="dxa" w:w="4320"/>
            <w:vAlign w:val="center"/>
          </w:tcPr>
          <w:p>
            <w:pPr>
              <w:spacing w:after="0"/>
            </w:pPr>
            <w:r/>
            <w:r>
              <w:rPr>
                <w:b w:val="0"/>
                <w:sz w:val="17"/>
              </w:rPr>
              <w:t>ingestion, tracking, compliance and node-exporter targets UP.</w:t>
            </w:r>
          </w:p>
        </w:tc>
      </w:tr>
      <w:tr>
        <w:tc>
          <w:tcPr>
            <w:tcW w:type="dxa" w:w="2592"/>
            <w:vAlign w:val="center"/>
          </w:tcPr>
          <w:p>
            <w:pPr>
              <w:spacing w:after="0"/>
            </w:pPr>
            <w:r/>
            <w:r>
              <w:rPr>
                <w:b w:val="0"/>
                <w:sz w:val="17"/>
              </w:rPr>
              <w:t>RabbitMQ management</w:t>
            </w:r>
          </w:p>
        </w:tc>
        <w:tc>
          <w:tcPr>
            <w:tcW w:type="dxa" w:w="3456"/>
            <w:vAlign w:val="center"/>
          </w:tcPr>
          <w:p>
            <w:pPr>
              <w:spacing w:after="0"/>
            </w:pPr>
            <w:r/>
            <w:r>
              <w:rPr>
                <w:b w:val="0"/>
                <w:sz w:val="17"/>
              </w:rPr>
              <w:t>http://localhost:15672</w:t>
            </w:r>
          </w:p>
        </w:tc>
        <w:tc>
          <w:tcPr>
            <w:tcW w:type="dxa" w:w="4320"/>
            <w:vAlign w:val="center"/>
          </w:tcPr>
          <w:p>
            <w:pPr>
              <w:spacing w:after="0"/>
            </w:pPr>
            <w:r/>
            <w:r>
              <w:rPr>
                <w:b w:val="0"/>
                <w:sz w:val="17"/>
              </w:rPr>
              <w:t>RabbitMQ management console for queues/exchange.</w:t>
            </w:r>
          </w:p>
        </w:tc>
      </w:tr>
      <w:tr>
        <w:tc>
          <w:tcPr>
            <w:tcW w:type="dxa" w:w="2592"/>
            <w:vAlign w:val="center"/>
          </w:tcPr>
          <w:p>
            <w:pPr>
              <w:spacing w:after="0"/>
            </w:pPr>
            <w:r/>
            <w:r>
              <w:rPr>
                <w:b w:val="0"/>
                <w:sz w:val="17"/>
              </w:rPr>
              <w:t>Container status</w:t>
            </w:r>
          </w:p>
        </w:tc>
        <w:tc>
          <w:tcPr>
            <w:tcW w:type="dxa" w:w="3456"/>
            <w:vAlign w:val="center"/>
          </w:tcPr>
          <w:p>
            <w:pPr>
              <w:spacing w:after="0"/>
            </w:pPr>
            <w:r/>
            <w:r>
              <w:rPr>
                <w:b w:val="0"/>
                <w:sz w:val="17"/>
              </w:rPr>
              <w:t>docker compose ps</w:t>
            </w:r>
          </w:p>
        </w:tc>
        <w:tc>
          <w:tcPr>
            <w:tcW w:type="dxa" w:w="4320"/>
            <w:vAlign w:val="center"/>
          </w:tcPr>
          <w:p>
            <w:pPr>
              <w:spacing w:after="0"/>
            </w:pPr>
            <w:r/>
            <w:r>
              <w:rPr>
                <w:b w:val="0"/>
                <w:sz w:val="17"/>
              </w:rPr>
              <w:t>All application containers running/healthy.</w:t>
            </w:r>
          </w:p>
        </w:tc>
      </w:tr>
      <w:tr>
        <w:tc>
          <w:tcPr>
            <w:tcW w:type="dxa" w:w="2592"/>
            <w:vAlign w:val="center"/>
          </w:tcPr>
          <w:p>
            <w:pPr>
              <w:spacing w:after="0"/>
            </w:pPr>
            <w:r/>
            <w:r>
              <w:rPr>
                <w:b w:val="0"/>
                <w:sz w:val="17"/>
              </w:rPr>
              <w:t>Smoke telemetry</w:t>
            </w:r>
          </w:p>
        </w:tc>
        <w:tc>
          <w:tcPr>
            <w:tcW w:type="dxa" w:w="3456"/>
            <w:vAlign w:val="center"/>
          </w:tcPr>
          <w:p>
            <w:pPr>
              <w:spacing w:after="0"/>
            </w:pPr>
            <w:r/>
            <w:r>
              <w:rPr>
                <w:b w:val="0"/>
                <w:sz w:val="17"/>
              </w:rPr>
              <w:t>python simulator/simulator.py --rps 100 --duration 10</w:t>
            </w:r>
          </w:p>
        </w:tc>
        <w:tc>
          <w:tcPr>
            <w:tcW w:type="dxa" w:w="4320"/>
            <w:vAlign w:val="center"/>
          </w:tcPr>
          <w:p>
            <w:pPr>
              <w:spacing w:after="0"/>
            </w:pPr>
            <w:r/>
            <w:r>
              <w:rPr>
                <w:b w:val="0"/>
                <w:sz w:val="17"/>
              </w:rPr>
              <w:t>Accepted telemetry requests and P95 latency output.</w:t>
            </w:r>
          </w:p>
        </w:tc>
      </w:tr>
    </w:tbl>
    <w:p/>
    <w:p>
      <w:pPr>
        <w:pStyle w:val="Heading1"/>
      </w:pPr>
      <w:r>
        <w:rPr>
          <w:b/>
          <w:color w:val="1F4E79"/>
        </w:rPr>
        <w:t>11. Security Notes and Production Hardening</w:t>
      </w:r>
    </w:p>
    <w:tbl>
      <w:tblPr>
        <w:tblW w:type="auto" w:w="0"/>
        <w:jc w:val="center"/>
        <w:tblLook w:firstColumn="1" w:firstRow="1" w:lastColumn="0" w:lastRow="0" w:noHBand="0" w:noVBand="1" w:val="04A0"/>
      </w:tblPr>
      <w:tblGrid>
        <w:gridCol w:w="9936"/>
      </w:tblGrid>
      <w:tr>
        <w:tc>
          <w:tcPr>
            <w:tcW w:type="dxa" w:w="9936"/>
            <w:shd w:fill="EAF7F4"/>
          </w:tcPr>
          <w:p>
            <w:pPr>
              <w:spacing w:after="40"/>
            </w:pPr>
            <w:r>
              <w:rPr>
                <w:b/>
                <w:color w:val="0F766E"/>
                <w:sz w:val="20"/>
              </w:rPr>
              <w:t xml:space="preserve">Important: </w:t>
            </w:r>
            <w:r>
              <w:rPr>
                <w:sz w:val="20"/>
              </w:rPr>
              <w:t>The repository currently supports a demonstration deployment. For production, rotate all .env secrets, restrict admin ports by source IP or VPN, add TLS on port 443, validate each GPS beacon API key against trucks.api_key_hash, and remove public demo credentials.</w:t>
            </w:r>
          </w:p>
        </w:tc>
      </w:tr>
    </w:tbl>
    <w:p/>
    <w:p>
      <w:pPr>
        <w:pStyle w:val="ListBullet"/>
      </w:pPr>
      <w:r>
        <w:t>Keep only Nginx public; do not expose Spring service ports directly.</w:t>
      </w:r>
    </w:p>
    <w:p>
      <w:pPr>
        <w:pStyle w:val="ListBullet"/>
      </w:pPr>
      <w:r>
        <w:t>Restrict Grafana, Prometheus, Alertmanager, RabbitMQ management, and MySQL to administrators.</w:t>
      </w:r>
    </w:p>
    <w:p>
      <w:pPr>
        <w:pStyle w:val="ListBullet"/>
      </w:pPr>
      <w:r>
        <w:t>Replace default JWT, MySQL, RabbitMQ, and Grafana secrets before deployment.</w:t>
      </w:r>
    </w:p>
    <w:p>
      <w:pPr>
        <w:pStyle w:val="ListBullet"/>
      </w:pPr>
      <w:r>
        <w:t>Use HTTPS with Let's Encrypt or another certificate authority for browser and beacon traffic.</w:t>
      </w:r>
    </w:p>
    <w:p>
      <w:pPr>
        <w:pStyle w:val="ListBullet"/>
      </w:pPr>
      <w:r>
        <w:t>Add backup policy for MySQL volume and RabbitMQ state if deployed beyond a classroom demo.</w:t>
      </w:r>
    </w:p>
    <w:p>
      <w:pPr>
        <w:pStyle w:val="Heading1"/>
      </w:pPr>
      <w:r>
        <w:rPr>
          <w:b/>
          <w:color w:val="1F4E79"/>
        </w:rPr>
        <w:t>12. Marking Summary</w:t>
      </w:r>
    </w:p>
    <w:tbl>
      <w:tblPr>
        <w:tblStyle w:val="TableGrid"/>
        <w:tblW w:type="auto" w:w="0"/>
        <w:jc w:val="center"/>
        <w:tblLook w:firstColumn="1" w:firstRow="1" w:lastColumn="0" w:lastRow="0" w:noHBand="0" w:noVBand="1" w:val="04A0"/>
      </w:tblPr>
      <w:tblGrid>
        <w:gridCol w:w="4968"/>
        <w:gridCol w:w="4968"/>
      </w:tblGrid>
      <w:tr>
        <w:tc>
          <w:tcPr>
            <w:tcW w:type="dxa" w:w="3168"/>
            <w:vAlign w:val="center"/>
            <w:shd w:fill="1F4E79"/>
          </w:tcPr>
          <w:p>
            <w:pPr>
              <w:spacing w:after="0"/>
            </w:pPr>
            <w:r/>
            <w:r>
              <w:rPr>
                <w:b/>
                <w:color w:val="FFFFFF"/>
                <w:sz w:val="17"/>
              </w:rPr>
              <w:t>Requirement</w:t>
            </w:r>
          </w:p>
        </w:tc>
        <w:tc>
          <w:tcPr>
            <w:tcW w:type="dxa" w:w="6912"/>
            <w:vAlign w:val="center"/>
            <w:shd w:fill="1F4E79"/>
          </w:tcPr>
          <w:p>
            <w:pPr>
              <w:spacing w:after="0"/>
            </w:pPr>
            <w:r/>
            <w:r>
              <w:rPr>
                <w:b/>
                <w:color w:val="FFFFFF"/>
                <w:sz w:val="17"/>
              </w:rPr>
              <w:t>How BorderWatch satisfies it</w:t>
            </w:r>
          </w:p>
        </w:tc>
      </w:tr>
      <w:tr>
        <w:tc>
          <w:tcPr>
            <w:tcW w:type="dxa" w:w="3168"/>
            <w:vAlign w:val="center"/>
          </w:tcPr>
          <w:p>
            <w:pPr>
              <w:spacing w:after="0"/>
            </w:pPr>
            <w:r/>
            <w:r>
              <w:rPr>
                <w:b w:val="0"/>
                <w:sz w:val="17"/>
              </w:rPr>
              <w:t>Provision cloud/on-premise resources</w:t>
            </w:r>
          </w:p>
        </w:tc>
        <w:tc>
          <w:tcPr>
            <w:tcW w:type="dxa" w:w="6912"/>
            <w:vAlign w:val="center"/>
          </w:tcPr>
          <w:p>
            <w:pPr>
              <w:spacing w:after="0"/>
            </w:pPr>
            <w:r/>
            <w:r>
              <w:rPr>
                <w:b w:val="0"/>
                <w:sz w:val="17"/>
              </w:rPr>
              <w:t>The stack is VPS-ready and deploys on a Docker-capable Linux host using docker-compose.yml.</w:t>
            </w:r>
          </w:p>
        </w:tc>
      </w:tr>
      <w:tr>
        <w:tc>
          <w:tcPr>
            <w:tcW w:type="dxa" w:w="3168"/>
            <w:vAlign w:val="center"/>
          </w:tcPr>
          <w:p>
            <w:pPr>
              <w:spacing w:after="0"/>
            </w:pPr>
            <w:r/>
            <w:r>
              <w:rPr>
                <w:b w:val="0"/>
                <w:sz w:val="17"/>
              </w:rPr>
              <w:t>Install necessary technologies</w:t>
            </w:r>
          </w:p>
        </w:tc>
        <w:tc>
          <w:tcPr>
            <w:tcW w:type="dxa" w:w="6912"/>
            <w:vAlign w:val="center"/>
          </w:tcPr>
          <w:p>
            <w:pPr>
              <w:spacing w:after="0"/>
            </w:pPr>
            <w:r/>
            <w:r>
              <w:rPr>
                <w:b w:val="0"/>
                <w:sz w:val="17"/>
              </w:rPr>
              <w:t>Dockerfiles and Compose install Java services, Node/Vite frontend build, Nginx, MySQL, RabbitMQ and monitoring tools.</w:t>
            </w:r>
          </w:p>
        </w:tc>
      </w:tr>
      <w:tr>
        <w:tc>
          <w:tcPr>
            <w:tcW w:type="dxa" w:w="3168"/>
            <w:vAlign w:val="center"/>
          </w:tcPr>
          <w:p>
            <w:pPr>
              <w:spacing w:after="0"/>
            </w:pPr>
            <w:r/>
            <w:r>
              <w:rPr>
                <w:b w:val="0"/>
                <w:sz w:val="17"/>
              </w:rPr>
              <w:t>Configure networking/firewall/reverse proxies</w:t>
            </w:r>
          </w:p>
        </w:tc>
        <w:tc>
          <w:tcPr>
            <w:tcW w:type="dxa" w:w="6912"/>
            <w:vAlign w:val="center"/>
          </w:tcPr>
          <w:p>
            <w:pPr>
              <w:spacing w:after="0"/>
            </w:pPr>
            <w:r/>
            <w:r>
              <w:rPr>
                <w:b w:val="0"/>
                <w:sz w:val="17"/>
              </w:rPr>
              <w:t>Nginx gateway routes API traffic; Docker bridge network isolates services; recommended UFW rules are documented.</w:t>
            </w:r>
          </w:p>
        </w:tc>
      </w:tr>
      <w:tr>
        <w:tc>
          <w:tcPr>
            <w:tcW w:type="dxa" w:w="3168"/>
            <w:vAlign w:val="center"/>
          </w:tcPr>
          <w:p>
            <w:pPr>
              <w:spacing w:after="0"/>
            </w:pPr>
            <w:r/>
            <w:r>
              <w:rPr>
                <w:b w:val="0"/>
                <w:sz w:val="17"/>
              </w:rPr>
              <w:t>Use Docker/Kubernetes/relevant tools</w:t>
            </w:r>
          </w:p>
        </w:tc>
        <w:tc>
          <w:tcPr>
            <w:tcW w:type="dxa" w:w="6912"/>
            <w:vAlign w:val="center"/>
          </w:tcPr>
          <w:p>
            <w:pPr>
              <w:spacing w:after="0"/>
            </w:pPr>
            <w:r/>
            <w:r>
              <w:rPr>
                <w:b w:val="0"/>
                <w:sz w:val="17"/>
              </w:rPr>
              <w:t>Docker Compose is the implemented orchestration tool. Kubernetes/Terraform can be added later but are not required for the current repository.</w:t>
            </w:r>
          </w:p>
        </w:tc>
      </w:tr>
      <w:tr>
        <w:tc>
          <w:tcPr>
            <w:tcW w:type="dxa" w:w="3168"/>
            <w:vAlign w:val="center"/>
          </w:tcPr>
          <w:p>
            <w:pPr>
              <w:spacing w:after="0"/>
            </w:pPr>
            <w:r/>
            <w:r>
              <w:rPr>
                <w:b w:val="0"/>
                <w:sz w:val="17"/>
              </w:rPr>
              <w:t>Infrastructure diagram</w:t>
            </w:r>
          </w:p>
        </w:tc>
        <w:tc>
          <w:tcPr>
            <w:tcW w:type="dxa" w:w="6912"/>
            <w:vAlign w:val="center"/>
          </w:tcPr>
          <w:p>
            <w:pPr>
              <w:spacing w:after="0"/>
            </w:pPr>
            <w:r/>
            <w:r>
              <w:rPr>
                <w:b w:val="0"/>
                <w:sz w:val="17"/>
              </w:rPr>
              <w:t>Included in this document as Figure 1.</w:t>
            </w:r>
          </w:p>
        </w:tc>
      </w:tr>
      <w:tr>
        <w:tc>
          <w:tcPr>
            <w:tcW w:type="dxa" w:w="3168"/>
            <w:vAlign w:val="center"/>
          </w:tcPr>
          <w:p>
            <w:pPr>
              <w:spacing w:after="0"/>
            </w:pPr>
            <w:r/>
            <w:r>
              <w:rPr>
                <w:b w:val="0"/>
                <w:sz w:val="17"/>
              </w:rPr>
              <w:t>Terraform/Bash scripts</w:t>
            </w:r>
          </w:p>
        </w:tc>
        <w:tc>
          <w:tcPr>
            <w:tcW w:type="dxa" w:w="6912"/>
            <w:vAlign w:val="center"/>
          </w:tcPr>
          <w:p>
            <w:pPr>
              <w:spacing w:after="0"/>
            </w:pPr>
            <w:r/>
            <w:r>
              <w:rPr>
                <w:b w:val="0"/>
                <w:sz w:val="17"/>
              </w:rPr>
              <w:t>Bash scripts are present under scripts/ and CI automation is described in Jenkinsfile.</w:t>
            </w:r>
          </w:p>
        </w:tc>
      </w:tr>
      <w:tr>
        <w:tc>
          <w:tcPr>
            <w:tcW w:type="dxa" w:w="3168"/>
            <w:vAlign w:val="center"/>
          </w:tcPr>
          <w:p>
            <w:pPr>
              <w:spacing w:after="0"/>
            </w:pPr>
            <w:r/>
            <w:r>
              <w:rPr>
                <w:b w:val="0"/>
                <w:sz w:val="17"/>
              </w:rPr>
              <w:t>Screenshots and links</w:t>
            </w:r>
          </w:p>
        </w:tc>
        <w:tc>
          <w:tcPr>
            <w:tcW w:type="dxa" w:w="6912"/>
            <w:vAlign w:val="center"/>
          </w:tcPr>
          <w:p>
            <w:pPr>
              <w:spacing w:after="0"/>
            </w:pPr>
            <w:r/>
            <w:r>
              <w:rPr>
                <w:b w:val="0"/>
                <w:sz w:val="17"/>
              </w:rPr>
              <w:t>Evidence links and screenshot targets are listed for frontend, health, Prometheus, Grafana, RabbitMQ and Compose status.</w:t>
            </w:r>
          </w:p>
        </w:tc>
      </w:tr>
    </w:tbl>
    <w:p/>
    <w:p>
      <w:pPr>
        <w:sectPr>
          <w:footerReference w:type="default" r:id="rId10"/>
          <w:pgSz w:w="12240" w:h="15840"/>
          <w:pgMar w:top="1080" w:right="1152" w:bottom="1080" w:left="1152" w:header="720" w:footer="720" w:gutter="0"/>
          <w:cols w:space="720"/>
          <w:docGrid w:linePitch="360"/>
        </w:sectPr>
      </w:pPr>
    </w:p>
    <w:sectPr w:rsidR="00FC693F" w:rsidRPr="0006063C" w:rsidSect="00034616">
      <w:type w:val="continuous"/>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BorderWatch - Section 1 Infrastructure Setup - Updated from project repository evidence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